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D4CD5D8-FAC9-4809-99C0-E6B720813941" style="width:450.45pt;height:383.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caps/>
          <w:noProof/>
        </w:rPr>
      </w:pPr>
      <w:bookmarkStart w:id="0" w:name="_GoBack"/>
      <w:bookmarkEnd w:id="0"/>
      <w:r>
        <w:rPr>
          <w:noProof/>
        </w:rPr>
        <w:lastRenderedPageBreak/>
        <w:t xml:space="preserve">ANHANG </w:t>
      </w:r>
      <w:r>
        <w:rPr>
          <w:noProof/>
        </w:rPr>
        <w:br/>
      </w:r>
      <w:r>
        <w:rPr>
          <w:caps/>
          <w:noProof/>
        </w:rPr>
        <w:t xml:space="preserve">Schlüsselkompetenzen für lebenslanges Lernen </w:t>
      </w:r>
      <w:r>
        <w:rPr>
          <w:caps/>
          <w:noProof/>
        </w:rPr>
        <w:br/>
        <w:t>Ein europäischer Referenzrahmen</w:t>
      </w:r>
    </w:p>
    <w:p>
      <w:pPr>
        <w:rPr>
          <w:b/>
          <w:noProof/>
        </w:rPr>
      </w:pPr>
      <w:r>
        <w:rPr>
          <w:b/>
          <w:noProof/>
        </w:rPr>
        <w:t>Hintergrund und Ziele</w:t>
      </w:r>
    </w:p>
    <w:p>
      <w:pPr>
        <w:ind w:left="720"/>
        <w:rPr>
          <w:i/>
          <w:noProof/>
        </w:rPr>
      </w:pPr>
      <w:r>
        <w:rPr>
          <w:i/>
          <w:noProof/>
        </w:rPr>
        <w:t>Jeder Mensch hat das Recht auf allgemeine und berufliche Bildung und lebenslanges Lernen von hoher Qualität und in inklusiver Form, damit er Kompetenzen bewahren und erwerben kann, die es ihm ermöglichen, vollständig am gesellschaftlichen Leben teilzuhaben und Übergänge auf dem Arbeitsmarkt erfolgreich zu bewältigen.</w:t>
      </w:r>
    </w:p>
    <w:p>
      <w:pPr>
        <w:ind w:left="720"/>
        <w:rPr>
          <w:i/>
          <w:noProof/>
        </w:rPr>
      </w:pPr>
      <w:r>
        <w:rPr>
          <w:i/>
          <w:noProof/>
        </w:rPr>
        <w:t>Jeder Mensch hat das Recht auf frühzeitige und bedarfsgerechte Unterstützung zur Verbesserung der Beschäftigungs- oder Selbständigkeitsaussichten. Dies schließt das Recht auf Unterstützung bei der Arbeitssuche, bei Fortbildung und Umschulung ein.</w:t>
      </w:r>
    </w:p>
    <w:p>
      <w:pPr>
        <w:rPr>
          <w:noProof/>
        </w:rPr>
      </w:pPr>
      <w:r>
        <w:rPr>
          <w:noProof/>
        </w:rPr>
        <w:t>Diese Grundsätze sind in der europäischen „Säule sozialer Rechte“ definiert.</w:t>
      </w:r>
    </w:p>
    <w:p>
      <w:pPr>
        <w:rPr>
          <w:noProof/>
        </w:rPr>
      </w:pPr>
      <w:r>
        <w:rPr>
          <w:noProof/>
        </w:rPr>
        <w:t xml:space="preserve">In einer Welt, die durch raschen Wandel und zunehmende Vernetzung gekennzeichnet ist, wird jeder Mensch ein breites Spektrum von Fertigkeiten und Kompetenzen benötigen und diese lebenslang fortwährend weiterentwickeln müssen. Die in diesem Referenzrahmen definierten Schlüsselkompetenzen sollen die Grundlage für die Entstehung gerechterer und demokratischerer Gesellschaften bilden. Sie bieten eine Antwort auf die Forderung nach nachhaltigem und inklusivem Wachstum, sozialem Zusammenhalt und Weiterentwicklung der demokratischen Kultur. </w:t>
      </w:r>
    </w:p>
    <w:p>
      <w:pPr>
        <w:rPr>
          <w:noProof/>
        </w:rPr>
      </w:pPr>
      <w:r>
        <w:rPr>
          <w:noProof/>
        </w:rPr>
        <w:t>Die wichtigsten Ziele des Referenzrahmens sind</w:t>
      </w:r>
    </w:p>
    <w:p>
      <w:pPr>
        <w:pStyle w:val="ListNumber3"/>
        <w:rPr>
          <w:noProof/>
        </w:rPr>
      </w:pPr>
      <w:r>
        <w:rPr>
          <w:noProof/>
        </w:rPr>
        <w:t>a) die Schlüsselkompetenzen zu definieren, die für Beschäftigungsfähigkeit, persönliche Entfaltung, aktive Bürgerschaft und soziale Inklusion nötig sind;</w:t>
      </w:r>
    </w:p>
    <w:p>
      <w:pPr>
        <w:pStyle w:val="ListNumber3"/>
        <w:rPr>
          <w:noProof/>
        </w:rPr>
      </w:pPr>
      <w:r>
        <w:rPr>
          <w:noProof/>
        </w:rPr>
        <w:t>b) politischen Entscheidungsträgern, Bildungs- und Berufsbildungsanbietern sowie Bildungspersonal, Arbeitgebern und den Lernenden selbst ein europäisches Referenzinstrument an die Hand zu geben;</w:t>
      </w:r>
    </w:p>
    <w:p>
      <w:pPr>
        <w:pStyle w:val="ListNumber3"/>
        <w:rPr>
          <w:noProof/>
        </w:rPr>
      </w:pPr>
      <w:r>
        <w:rPr>
          <w:noProof/>
        </w:rPr>
        <w:t>c) die Bemühungen auf europäischer, nationaler, regionaler und lokaler Ebene um Förderung der Kompetenzentwicklung unter dem Gesichtspunkt des lebenslangen Lernens zu unterstützen.</w:t>
      </w:r>
    </w:p>
    <w:p>
      <w:pPr>
        <w:rPr>
          <w:b/>
          <w:noProof/>
        </w:rPr>
      </w:pPr>
      <w:r>
        <w:rPr>
          <w:b/>
          <w:noProof/>
        </w:rPr>
        <w:t>Schlüsselkompetenzen</w:t>
      </w:r>
    </w:p>
    <w:p>
      <w:pPr>
        <w:rPr>
          <w:noProof/>
        </w:rPr>
      </w:pPr>
      <w:r>
        <w:rPr>
          <w:noProof/>
        </w:rPr>
        <w:t xml:space="preserve">Für die Zwecke dieser Empfehlung werden Kompetenzen als eine Kombination aus Kenntnissen, Fertigkeiten und Einstellungen definiert, wobei </w:t>
      </w:r>
    </w:p>
    <w:p>
      <w:pPr>
        <w:spacing w:before="0" w:after="200" w:line="276" w:lineRule="auto"/>
        <w:jc w:val="left"/>
        <w:rPr>
          <w:noProof/>
          <w:szCs w:val="24"/>
        </w:rPr>
      </w:pPr>
      <w:r>
        <w:rPr>
          <w:noProof/>
        </w:rPr>
        <w:t>a) Kenntnisse Fakten und Zahlen, Konzepte, Ideen und Theorien umfassen, die bereits etabliert sind und das Verständnis eines bestimmten Bereichs oder Fachgebiets fördern;</w:t>
      </w:r>
    </w:p>
    <w:p>
      <w:pPr>
        <w:rPr>
          <w:noProof/>
          <w:szCs w:val="24"/>
        </w:rPr>
      </w:pPr>
      <w:r>
        <w:rPr>
          <w:noProof/>
        </w:rPr>
        <w:t>b) Fertigkeiten als die Fähigkeit definiert sind, Prozesse auszuführen und vorhandenes Wissen einzusetzen, um so Ergebnisse zu erzielen;</w:t>
      </w:r>
    </w:p>
    <w:p>
      <w:pPr>
        <w:rPr>
          <w:noProof/>
          <w:szCs w:val="24"/>
        </w:rPr>
      </w:pPr>
      <w:r>
        <w:rPr>
          <w:noProof/>
        </w:rPr>
        <w:t>c) Einstellungen die Bereitschaft, zu handeln oder auf Ideen, Personen oder Situationen zu reagieren, sowie entsprechende Denkmuster beschreiben.</w:t>
      </w:r>
    </w:p>
    <w:p>
      <w:pPr>
        <w:rPr>
          <w:noProof/>
        </w:rPr>
      </w:pPr>
      <w:r>
        <w:rPr>
          <w:noProof/>
        </w:rPr>
        <w:t>Schlüsselkompetenzen sind diejenigen Kompetenzen, die alle Menschen für ihre persönliche Entfaltung und Entwicklung, Beschäftigung, soziale Inklusion und aktive Bürgerschaft benötigen. Sie werden von Kindesbeinen an während des gesamten Erwachsenenlebens in einem lebenslangen Lernprozess durch formales, nichtformales und informelles Lernen entwickelt.</w:t>
      </w:r>
    </w:p>
    <w:p>
      <w:pPr>
        <w:rPr>
          <w:noProof/>
        </w:rPr>
      </w:pPr>
      <w:r>
        <w:rPr>
          <w:noProof/>
        </w:rPr>
        <w:t xml:space="preserve">Die Schlüsselkompetenzen gelten alle als gleichermaßen wichtig, da jede von ihnen zu einem erfolgreichen Leben in der Gesellschaft beiträgt. Kompetenzen können in vielen </w:t>
      </w:r>
      <w:r>
        <w:rPr>
          <w:noProof/>
        </w:rPr>
        <w:lastRenderedPageBreak/>
        <w:t xml:space="preserve">verschiedenen Kontexten und in zahlreichen Kombinationen angewandt werden. Sie überschneiden sich und greifen ineinander; wichtige Aspekte in einem Bereich unterstützen die Kompetenzen in einem anderen. Fertigkeiten wie kritisches Denken, Problemlösung, Teamwork, Kommunikations- und Verhandlungskompetenz, analytische Fähigkeiten, Kreativität und interkulturelle Kompetenz tauchen bei den Schlüsselkompetenzen immer wieder auf. </w:t>
      </w:r>
    </w:p>
    <w:p>
      <w:pPr>
        <w:pStyle w:val="Bullet0"/>
        <w:numPr>
          <w:ilvl w:val="0"/>
          <w:numId w:val="12"/>
        </w:numPr>
        <w:rPr>
          <w:noProof/>
        </w:rPr>
      </w:pPr>
      <w:r>
        <w:rPr>
          <w:noProof/>
        </w:rPr>
        <w:t>Der Referenzrahmen umfasst acht Schlüsselkompetenzen:</w:t>
      </w:r>
    </w:p>
    <w:p>
      <w:pPr>
        <w:pStyle w:val="Bullet0"/>
        <w:numPr>
          <w:ilvl w:val="0"/>
          <w:numId w:val="11"/>
        </w:numPr>
        <w:rPr>
          <w:noProof/>
        </w:rPr>
      </w:pPr>
      <w:r>
        <w:rPr>
          <w:noProof/>
        </w:rPr>
        <w:t>Lese- und Schreibkompetenz</w:t>
      </w:r>
    </w:p>
    <w:p>
      <w:pPr>
        <w:pStyle w:val="Bullet0"/>
        <w:rPr>
          <w:noProof/>
        </w:rPr>
      </w:pPr>
      <w:r>
        <w:rPr>
          <w:noProof/>
        </w:rPr>
        <w:t>Fremdsprachliche Kompetenz</w:t>
      </w:r>
    </w:p>
    <w:p>
      <w:pPr>
        <w:pStyle w:val="Bullet0"/>
        <w:rPr>
          <w:noProof/>
        </w:rPr>
      </w:pPr>
      <w:r>
        <w:rPr>
          <w:noProof/>
        </w:rPr>
        <w:t>Mathematische Kompetenz und Kompetenz in Naturwissenschaften, Informatik und Technik</w:t>
      </w:r>
    </w:p>
    <w:p>
      <w:pPr>
        <w:pStyle w:val="Bullet0"/>
        <w:rPr>
          <w:noProof/>
        </w:rPr>
      </w:pPr>
      <w:r>
        <w:rPr>
          <w:noProof/>
        </w:rPr>
        <w:t>Digitale Kompetenz</w:t>
      </w:r>
    </w:p>
    <w:p>
      <w:pPr>
        <w:pStyle w:val="Bullet0"/>
        <w:rPr>
          <w:noProof/>
        </w:rPr>
      </w:pPr>
      <w:r>
        <w:rPr>
          <w:noProof/>
        </w:rPr>
        <w:t>Persönliche, soziale und Lernkompetenz</w:t>
      </w:r>
    </w:p>
    <w:p>
      <w:pPr>
        <w:pStyle w:val="Bullet0"/>
        <w:rPr>
          <w:noProof/>
        </w:rPr>
      </w:pPr>
      <w:r>
        <w:rPr>
          <w:noProof/>
        </w:rPr>
        <w:t>Bürgerkompetenz</w:t>
      </w:r>
    </w:p>
    <w:p>
      <w:pPr>
        <w:pStyle w:val="Bullet0"/>
        <w:rPr>
          <w:noProof/>
        </w:rPr>
      </w:pPr>
      <w:r>
        <w:rPr>
          <w:noProof/>
        </w:rPr>
        <w:t xml:space="preserve">Unternehmerische Kompetenz </w:t>
      </w:r>
    </w:p>
    <w:p>
      <w:pPr>
        <w:pStyle w:val="Bullet0"/>
        <w:rPr>
          <w:noProof/>
        </w:rPr>
      </w:pPr>
      <w:r>
        <w:rPr>
          <w:noProof/>
        </w:rPr>
        <w:t>Kulturbewusstsein und kulturelle Ausdrucksfähigkeit</w:t>
      </w:r>
    </w:p>
    <w:p>
      <w:pPr>
        <w:pStyle w:val="ListNumber"/>
        <w:rPr>
          <w:b/>
          <w:noProof/>
        </w:rPr>
      </w:pPr>
      <w:r>
        <w:rPr>
          <w:b/>
          <w:noProof/>
        </w:rPr>
        <w:t>Lese- und Schreibkompetenz</w:t>
      </w:r>
    </w:p>
    <w:p>
      <w:pPr>
        <w:rPr>
          <w:noProof/>
        </w:rPr>
      </w:pPr>
      <w:r>
        <w:rPr>
          <w:noProof/>
        </w:rPr>
        <w:t xml:space="preserve">Lese- und Schreibkompetenz ist die Fähigkeit, Konzepte, Gefühle, Tatsachen und Meinungen sowohl mündlich als auch schriftlich mithilfe von visuellen, Ton- und digitalen Materialien in verschiedenen Disziplinen und Kontexten zu erkennen, zu verstehen, auszudrücken, zu erzeugen und zu interpretieren. Sie impliziert die Fähigkeit, auf angemessene und kreative Weise mit anderen Menschen wirksam zu kommunizieren und in Beziehung zu treten. </w:t>
      </w:r>
    </w:p>
    <w:p>
      <w:pPr>
        <w:rPr>
          <w:noProof/>
        </w:rPr>
      </w:pPr>
      <w:r>
        <w:rPr>
          <w:noProof/>
        </w:rPr>
        <w:t xml:space="preserve">Die Entwicklung der Lese- und Schreibkompetenz bildet die Grundlage für weiteres Lernen und weitere sprachliche Interaktion. Je nach Kontext kann die Lese- und Schreibkompetenz in der Muttersprache, der Unterrichtssprache und/oder der Amtssprache eines Landes oder einer Region entwickelt werden. </w:t>
      </w:r>
    </w:p>
    <w:p>
      <w:pPr>
        <w:rPr>
          <w:i/>
          <w:noProof/>
        </w:rPr>
      </w:pPr>
      <w:r>
        <w:rPr>
          <w:i/>
          <w:noProof/>
        </w:rPr>
        <w:t>Wesentliche Kenntnisse, Fertigkeiten und Einstellungen im Zusammenhang mit dieser Kompetenz</w:t>
      </w:r>
    </w:p>
    <w:p>
      <w:pPr>
        <w:rPr>
          <w:noProof/>
        </w:rPr>
      </w:pPr>
      <w:r>
        <w:rPr>
          <w:noProof/>
        </w:rPr>
        <w:t>Die Lese- und Schreibkompetenz beinhaltet, dass eine Person lesen und schreiben und schriftliche Informationen gut verstehen kann. Lese- und Schreibkompetenz erfordert Wortschatz- und Grammatikkenntnisse sowie das Wissen um die Funktionen der Sprache. Sie umfasst ein Bewusstsein für die wichtigsten Arten der verbalen Interaktion, eine Reihe literarischer und nichtliterarischer Texte sowie für die wichtigsten Merkmale verschiedener Sprachstile und –register.</w:t>
      </w:r>
    </w:p>
    <w:p>
      <w:pPr>
        <w:rPr>
          <w:noProof/>
        </w:rPr>
      </w:pPr>
      <w:r>
        <w:rPr>
          <w:noProof/>
        </w:rPr>
        <w:t>Der Einzelne sollte die Fähigkeit besitzen, mündlich und schriftlich eine Vielzahl von Kommunikationssituationen zu bewältigen, sein Kommunikationsverhalten zu beobachten und an die Erfordernisse der jeweiligen Situation anzupassen. Diese Kompetenz umfasst auch die Fähigkeit, verschiedene Arten von Quellen zu unterscheiden und zu verwenden, Informationen zu recherchieren, zu sammeln und zu verarbeiten, Hilfsmittel zu benutzen und die eigenen Argumente kontextabhängig auf überzeugende Weise zu formulieren und auszudrücken.</w:t>
      </w:r>
    </w:p>
    <w:p>
      <w:pPr>
        <w:rPr>
          <w:noProof/>
        </w:rPr>
      </w:pPr>
      <w:r>
        <w:rPr>
          <w:noProof/>
        </w:rPr>
        <w:t>Eine positive Einstellung zur Lese- und Schreibkompetenz ist mit der Bereitschaft zum kritischen und konstruktiven Dialog, Verständnis für die Ästhetik der Sprache und Interesse an der Interaktion mit anderen verbunden. Dies setzt das Bewusstsein für die Wirkung von Sprache auf andere und die Notwendigkeit, Sprache auf eine positive und sozial verantwortliche Art zu verstehen und zu verwenden, voraus.</w:t>
      </w:r>
    </w:p>
    <w:p>
      <w:pPr>
        <w:pStyle w:val="ListNumber"/>
        <w:rPr>
          <w:b/>
          <w:noProof/>
        </w:rPr>
      </w:pPr>
      <w:r>
        <w:rPr>
          <w:b/>
          <w:noProof/>
        </w:rPr>
        <w:t>Fremdsprachliche Kompetenz</w:t>
      </w:r>
    </w:p>
    <w:p>
      <w:pPr>
        <w:rPr>
          <w:noProof/>
        </w:rPr>
      </w:pPr>
      <w:r>
        <w:rPr>
          <w:noProof/>
        </w:rPr>
        <w:t>Diese Kompetenz wird als die Fähigkeit definiert, mehrere Sprachen angemessen und wirksam für die Kommunikation zu verwenden. Sie erfordert im Wesentlichen dieselben Fähigkeiten wie die Lese- und Schreibkompetenz: Sie beruht auf der Fähigkeit, Konzepte, Gedanken, Gefühle, Tatsachen und Meinungen sowohl mündlich als auch schriftlich in einer angemessenen Zahl gesellschaftlicher und kultureller Kontexte entsprechend den eigenen Wünschen oder Bedürfnissen zu verstehen, auszudrücken und zu interpretieren (Hören, Sprechen, Lesen und Schreiben). Gegebenenfalls kann sie den Erhalt und die Weiterentwicklung muttersprachlicher Kompetenzen einschließen.</w:t>
      </w:r>
    </w:p>
    <w:p>
      <w:pPr>
        <w:rPr>
          <w:i/>
          <w:noProof/>
        </w:rPr>
      </w:pPr>
      <w:r>
        <w:rPr>
          <w:i/>
          <w:noProof/>
        </w:rPr>
        <w:t>Wesentliche Kenntnisse, Fertigkeiten und Einstellungen im Zusammenhang mit dieser Kompetenz</w:t>
      </w:r>
    </w:p>
    <w:p>
      <w:pPr>
        <w:rPr>
          <w:noProof/>
        </w:rPr>
      </w:pPr>
      <w:r>
        <w:rPr>
          <w:noProof/>
        </w:rPr>
        <w:t>Diese Kompetenz erfordert Wortschatz- und Grammatikkenntnisse in verschiedenen Sprachen sowie das Wissen um die wichtigsten Arten der verbalen Interaktion und der Sprachregister. Wichtig ist auch die Kenntnis gesellschaftlicher Konventionen sowie kultureller Aspekte und der Variabilität von Sprachen.</w:t>
      </w:r>
    </w:p>
    <w:p>
      <w:pPr>
        <w:rPr>
          <w:noProof/>
        </w:rPr>
      </w:pPr>
      <w:r>
        <w:rPr>
          <w:noProof/>
        </w:rPr>
        <w:t xml:space="preserve">Zu den wesentlichen Fähigkeiten dieser Kompetenz zählt die Fähigkeit, mündliche Mitteilungen zu verstehen, ein Gespräch zu beginnen, aufrechtzuerhalten und zu beenden, sowie Texte auf verschiedenen Kompetenzniveaus in verschiedenen Sprachen entsprechend den Bedürfnissen des Einzelnen zu lesen, zu verstehen und zu verfassen. Der Einzelne sollte auch in der Lage sein, Hilfsmittel angemessen zu benutzen und Sprachen während des ganzen Lebens formal, nichtformal und informell zu erlernen. </w:t>
      </w:r>
    </w:p>
    <w:p>
      <w:pPr>
        <w:rPr>
          <w:noProof/>
        </w:rPr>
      </w:pPr>
      <w:r>
        <w:rPr>
          <w:noProof/>
        </w:rPr>
        <w:t xml:space="preserve">Eine positive Einstellung ist mit der Anerkennung kultureller Vielfalt sowie mit Neugier und dem Interesse an Sprachen und interkultureller Kommunikation verbunden. Sie beinhaltet darüber hinaus Achtung vor dem sprachlichen Hintergrund eines jedes Einzelnen; dazu gehört die Achtung vor der Muttersprache von Menschen, die Minderheiten angehören und/oder einen Migrationshintergrund haben. </w:t>
      </w:r>
    </w:p>
    <w:p>
      <w:pPr>
        <w:pStyle w:val="ListNumber"/>
        <w:rPr>
          <w:b/>
          <w:noProof/>
        </w:rPr>
      </w:pPr>
      <w:r>
        <w:rPr>
          <w:b/>
          <w:noProof/>
        </w:rPr>
        <w:t xml:space="preserve">Mathematische Kompetenz und Kompetenz in Naturwissenschaften, Informatik und Technik </w:t>
      </w:r>
    </w:p>
    <w:p>
      <w:pPr>
        <w:rPr>
          <w:noProof/>
        </w:rPr>
      </w:pPr>
      <w:r>
        <w:rPr>
          <w:noProof/>
        </w:rPr>
        <w:t>A. Mathematische Kompetenz ist die Fähigkeit, mathematisches Denken zu entwickeln und anzuwenden, um Probleme in Alltagssituationen zu lösen. Ausgehend von guten Rechenkenntnissen liegt der Schwerpunkt sowohl auf Verfahren und Aktivität als auch auf Wissen. Mathematische Kompetenz ist — in unterschiedlichem Maße — mit der Fähigkeit und Bereitschaft zur Benutzung von mathematischen Denkarten (logisches und räumliches Denken) und Darstellungen (Formeln, Modellen, Konstruktionen, Kurven, Tabellen) verbunden.</w:t>
      </w:r>
    </w:p>
    <w:p>
      <w:pPr>
        <w:rPr>
          <w:noProof/>
        </w:rPr>
      </w:pPr>
      <w:r>
        <w:rPr>
          <w:noProof/>
        </w:rPr>
        <w:t>B. Naturwissenschaftliche Kompetenz ist die Fähigkeit und Bereitschaft, die natürliche Welt anhand des vorhandenen Wissens und bestimmter Methoden zu erklären, um Fragen zu stellen und evidenzbasierte Schlussfolgerungen zu ziehen. Kompetenz in Informatik und Technik ist die Anwendung dieses Wissens und dieser Methoden, um Antworten auf festgestellte menschliche Wünsche oder Bedürfnisse zu finden. Die Kompetenzen in Naturwissenschaften, Informatik und Technik setzen das Verstehen von durch die Aktivität des Menschen ausgelösten Veränderungen und ein Verantwortungsbewusstsein als Bürger voraus.</w:t>
      </w:r>
    </w:p>
    <w:p>
      <w:pPr>
        <w:rPr>
          <w:i/>
          <w:noProof/>
        </w:rPr>
      </w:pPr>
      <w:r>
        <w:rPr>
          <w:i/>
          <w:noProof/>
        </w:rPr>
        <w:t>Wesentliche Kenntnisse, Fertigkeiten und Einstellungen im Zusammenhang mit dieser Kompetenz</w:t>
      </w:r>
    </w:p>
    <w:p>
      <w:pPr>
        <w:rPr>
          <w:noProof/>
        </w:rPr>
      </w:pPr>
      <w:r>
        <w:rPr>
          <w:noProof/>
        </w:rPr>
        <w:t>A. Zu den erforderlichen Kenntnissen in Mathematik zählen eine fundierte Kenntnis der Zahlen, Maßeinheiten und Strukturen, der Grundrechenarten und grundlegender mathematischer Darstellungen, das Verstehen mathematischer Begriffe und Konzepte sowie ein Bewusstsein dessen, auf welche Fragen die Mathematik Antworten geben kann.</w:t>
      </w:r>
    </w:p>
    <w:p>
      <w:pPr>
        <w:rPr>
          <w:noProof/>
        </w:rPr>
      </w:pPr>
      <w:r>
        <w:rPr>
          <w:noProof/>
        </w:rPr>
        <w:t xml:space="preserve">Der Einzelne sollte über die Fähigkeit verfügen, einfache mathematische Prinzipien und Prozesse in Alltagssituationen zu Hause und bei der Arbeit anzuwenden (z. B. finanzielle Kompetenzen) und Argumentationsketten zu verstehen und zu beurteilen. Er sollte in der Lage sein, mathematisch zu denken, mathematische Beweise zu verstehen und in der Sprache der Mathematik zu kommunizieren sowie geeignete Hilfsmittel wie beispielsweise statistische Daten und Grafiken zu verwenden. </w:t>
      </w:r>
    </w:p>
    <w:p>
      <w:pPr>
        <w:rPr>
          <w:noProof/>
        </w:rPr>
      </w:pPr>
      <w:r>
        <w:rPr>
          <w:noProof/>
        </w:rPr>
        <w:t>Eine positive Einstellung zur Mathematik beruht auf der Achtung der Wahrheit und der Bereitschaft, nach Gründen zu suchen und deren Gültigkeit zu prüfen.</w:t>
      </w:r>
    </w:p>
    <w:p>
      <w:pPr>
        <w:rPr>
          <w:noProof/>
        </w:rPr>
      </w:pPr>
      <w:r>
        <w:rPr>
          <w:noProof/>
        </w:rPr>
        <w:t>B. Zu den wesentlichen Kenntnissen in den Bereichen Naturwissenschaften, Informatik und Technik gehören die Grundprinzipien der natürlichen Welt, grundlegende wissenschaftliche Konzepte, Theorien, Grundsätze und Methoden, Technik, technische Produkte und Verfahren sowie das Verständnis der Wirkung von Wissenschaft, Informatik und Technik und der Aktivität des Menschen im Allgemeinen auf die natürliche Welt. Diese Kompetenzen sollen den Einzelnen in die Lage versetzen, Fortschritte, Grenzen und Risiken wissenschaftlicher Theorien, Anwendungen und Techniken in der Gesellschaft im Allgemeinen (in Bezug auf Entscheidungsfindung, Werte, moralische Fragen, Kultur usw.) besser zu verstehen.</w:t>
      </w:r>
    </w:p>
    <w:p>
      <w:pPr>
        <w:rPr>
          <w:noProof/>
        </w:rPr>
      </w:pPr>
      <w:r>
        <w:rPr>
          <w:noProof/>
        </w:rPr>
        <w:t>Zu den Fertigkeiten zählt das Verständnis von Wissenschaft als einem Verfahren zur Erforschung der Natur in kontrollierten Experimenten, die Fähigkeit, technische Hilfsmittel und Apparate sowie wissenschaftliche Daten zu benutzen und mit ihnen umzugehen, um ein bestimmtes Ziel zu erreichen oder zu einer evidenzbasierten Entscheidung oder Schlussfolgerung zu gelangen, und die Bereitschaft, seine eigenen Überzeugungen zu verwerfen, wenn sie im Widerspruch zu neuen experimentellen Ergebnissen stehen. Der Einzelne sollte auch in der Lage sein, die wichtigsten Merkmale einer wissenschaftlichen Untersuchung zu erkennen und die Schlussfolgerungen sowie die zugehörige Argumentation darzulegen.</w:t>
      </w:r>
    </w:p>
    <w:p>
      <w:pPr>
        <w:rPr>
          <w:noProof/>
        </w:rPr>
      </w:pPr>
      <w:r>
        <w:rPr>
          <w:noProof/>
        </w:rPr>
        <w:t>Diese Kompetenz setzt eine von  kritischer Anerkennung und Neugier geprägte Einstellung voraus, sowie ein Interesse an ethischen Fragen und Respekt vor Sicherheits- und Nachhaltigkeitsaspekten, insbesondere im Hinblick auf den wissenschaftlichen und technischen Fortschritt und seine Auswirkungen auf die eigene Person, die Familie, die Gemeinschaft und globale Fragen.</w:t>
      </w:r>
    </w:p>
    <w:p>
      <w:pPr>
        <w:pStyle w:val="ListNumber"/>
        <w:rPr>
          <w:b/>
          <w:noProof/>
        </w:rPr>
      </w:pPr>
      <w:r>
        <w:rPr>
          <w:b/>
          <w:noProof/>
        </w:rPr>
        <w:t>Digitale Kompetenz</w:t>
      </w:r>
    </w:p>
    <w:p>
      <w:pPr>
        <w:rPr>
          <w:noProof/>
        </w:rPr>
      </w:pPr>
      <w:r>
        <w:rPr>
          <w:noProof/>
        </w:rPr>
        <w:t xml:space="preserve">Digitale Kompetenz umfasst die sichere, kritische und verantwortungsvolle Nutzung von und Auseinandersetzung mit digitalen Technologien für die allgemeine und berufliche Bildung, die Arbeit und die Teilhabe an der Gesellschaft. Sie beinhaltet Informations- und Datenkompetenz, Kommunikation und Zusammenarbeit, die Erstellung digitaler Inhalte (einschließlich Programmieren), Sicherheit (einschließlich digitales Wohlergehen und Kompetenzen in Verbindung mit Cybersicherheit) und Problemlösung. </w:t>
      </w:r>
    </w:p>
    <w:p>
      <w:pPr>
        <w:rPr>
          <w:i/>
          <w:noProof/>
        </w:rPr>
      </w:pPr>
      <w:r>
        <w:rPr>
          <w:i/>
          <w:noProof/>
        </w:rPr>
        <w:t>Wesentliche Kenntnisse, Fertigkeiten und Einstellungen im Zusammenhang mit dieser Kompetenz</w:t>
      </w:r>
    </w:p>
    <w:p>
      <w:pPr>
        <w:rPr>
          <w:noProof/>
        </w:rPr>
      </w:pPr>
      <w:r>
        <w:rPr>
          <w:noProof/>
        </w:rPr>
        <w:t>Der Einzelne sollte verstehen, wie digitale Technologien Kommunikation, Kreativität und Innovation fördern können, und sich der damit verbundenen Chancen, Grenzen, Wirkungen und Risiken bewusst sein. Er sollte die zugrundeliegenden allgemeinen Prinzipien, Regeln und die Logik der digitalen Technologien im Wandel verstehen und sich mit den grundlegenden Funktionen und der Nutzung verschiedener Geräte, Programme und Netzwerke auskennen. Der Einzelne sollte eine kritische Haltung gegenüber der Gültigkeit, Verlässlichkeit und Wirkung von digital verfügbaren Informationen und Daten entwickeln und sich der rechtlichen und ethischen Grundsätze bewusst sein, die mit dem Umgang mit digitaler Technologien verbunden sind.</w:t>
      </w:r>
    </w:p>
    <w:p>
      <w:pPr>
        <w:rPr>
          <w:noProof/>
        </w:rPr>
      </w:pPr>
      <w:r>
        <w:rPr>
          <w:noProof/>
        </w:rPr>
        <w:t>Der Einzelne sollte in der Lage sein, digitale Technologien für die aktive Bürgerschaft und soziale Inklusion, die Zusammenarbeit mit anderen und die Kreativität zur Verfolgung persönlicher, gesellschaftlicher oder kommerzieller Ziele zu nutzen. Zu den Fertigkeiten zählt die Fähigkeit, digitale Inhalte zu nutzen, aufzurufen, zu filtern, zu beurteilen, zu erstellen, zu programmieren und zu teilen. Der Einzelne sollte in der Lage sein, Informationen, Inhalte, Daten und digitale Profile zu verwalten und zu schützen sowie Programme, Geräte, künstliche Intelligenz oder Roboter zu erkennen und auf effektive Weise zu nutzen.</w:t>
      </w:r>
    </w:p>
    <w:p>
      <w:pPr>
        <w:rPr>
          <w:noProof/>
        </w:rPr>
      </w:pPr>
      <w:r>
        <w:rPr>
          <w:noProof/>
        </w:rPr>
        <w:t>Die Interaktion mit digitalen Technologien und Inhalten erfordert eine reflektierende, kritische und gleichzeitig neugierige und aufgeschlossene Einstellung gegenüber ihrer Entwicklung. Sie erfordert darüber hinaus einen ethischen, sicheren und verantwortungsvollen Umgang mit diesen Hilfsmitteln.</w:t>
      </w:r>
    </w:p>
    <w:p>
      <w:pPr>
        <w:pStyle w:val="ListNumber"/>
        <w:rPr>
          <w:b/>
          <w:noProof/>
        </w:rPr>
      </w:pPr>
      <w:r>
        <w:rPr>
          <w:b/>
          <w:noProof/>
        </w:rPr>
        <w:t>Persönliche, soziale und Lernkompetenz</w:t>
      </w:r>
    </w:p>
    <w:p>
      <w:pPr>
        <w:keepNext/>
        <w:rPr>
          <w:noProof/>
        </w:rPr>
      </w:pPr>
      <w:r>
        <w:rPr>
          <w:noProof/>
        </w:rPr>
        <w:t xml:space="preserve">Persönliche, soziale und Lernkompetenz ist die Fähigkeit, sich selbst zu reflektieren, Zeit und Informationen effektiv zu verwalten, konstruktiv mit anderen zusammenzuarbeiten, seine Resilienz zu erhalten und seinen Bildungs- und Berufsweg selbst in die Hand zu nehmen. Dazu zählt die Fähigkeit, mit Ungewissheit und komplexen Sachverhalten umzugehen, zu lernen, wie man lernt, das eigene körperliche und emotionale Wohlergehen zu fördern, Empathie zu empfinden und Konflikten zu bewältigen. </w:t>
      </w:r>
    </w:p>
    <w:p>
      <w:pPr>
        <w:rPr>
          <w:i/>
          <w:noProof/>
        </w:rPr>
      </w:pPr>
      <w:r>
        <w:rPr>
          <w:i/>
          <w:noProof/>
        </w:rPr>
        <w:t>Wesentliche Kenntnisse, Fertigkeiten und Einstellungen im Zusammenhang mit dieser Kompetenz</w:t>
      </w:r>
    </w:p>
    <w:p>
      <w:pPr>
        <w:rPr>
          <w:noProof/>
        </w:rPr>
      </w:pPr>
      <w:r>
        <w:rPr>
          <w:noProof/>
        </w:rPr>
        <w:t xml:space="preserve">Für eine erfolgreiche interpersonelle Kommunikation und gesellschaftliche Teilhabe ist es wichtig, die in unterschiedlichen Gesellschaften und Umfeldern allgemein akzeptierten Verhaltensweisen und Kommunikationsregeln zu verstehen. Persönliche, soziale und Lernkompetenz erfordert auch das Wissen darüber, was einen gesunden Verstand, Körper und Lebensstil ausmacht. Sie setzt voraus, dass man seine bevorzugten Lernstrategien, seinen Kompetenzentwicklungsbedarf und unterschiedliche Wege zur Kompetenzentwicklung kennt und nach den verfügbaren Bildungs-, Berufsbildungs- und Karrieremöglichkeiten und der entsprechenden Beratung oder Unterstützung zu suchen. </w:t>
      </w:r>
    </w:p>
    <w:p>
      <w:pPr>
        <w:rPr>
          <w:noProof/>
        </w:rPr>
      </w:pPr>
      <w:r>
        <w:rPr>
          <w:noProof/>
        </w:rPr>
        <w:t xml:space="preserve">Zu den Fertigkeiten gehört die Fähigkeit, seine eigenen Fähigkeiten zu ermitteln, Schwerpunkte zu setzen, mit komplexen Sachverhalten umzugehen sowie Entscheidungen kritisch zu hinterfragen und zu treffen. Die schließt die Fähigkeit, sowohl mit anderen als auch selbstständig zu lernen und zu arbeiten, sein eigenes Lernen zu organisieren und Ausdauer zu beweisen, es zu beurteilen und sich darüber auszutauschen, gegebenenfalls Unterstützung zu suchen und seinen eigenen Berufsweg und seine sozialen Interaktionen effektiv zu gestalten. Der Einzelne sollte resilient und in der Lage sein, mit Ungewissheit und Stress umzugehen. Er sollte in verschiedenen Umgebungen konstruktiv kommunizieren, in Teams arbeiten und Verhandlungen führen können. Dies setzt Toleranz, die Formulierung und das Verständnis unterschiedlicher Standpunkte sowie die Fähigkeit, Vertrauen zu erzeugen und Empathie zu empfinden, voraus. </w:t>
      </w:r>
    </w:p>
    <w:p>
      <w:pPr>
        <w:rPr>
          <w:noProof/>
        </w:rPr>
      </w:pPr>
      <w:r>
        <w:rPr>
          <w:noProof/>
        </w:rPr>
        <w:t>Diese Kompetenz beruht auf einer positiven Einstellung gegenüber dem persönlichen, dem sozialen und dem körperlichen Wohlergehen sowie dem lebenslangen Lernen. Sie basiert auf der Bereitschaft zur Zusammenarbeit, auf Selbstsicherheit und auf Integrität. Dazu gehören der Respekt für andere und die Bereitschaft, Vorurteile zu überwinden und Kompromisse einzugehen. Der Einzelne sollte in der Lage sein, Ziele zu erkennen und zu formulieren, sich selbst zu motivieren und Resilienz und Selbstvertrauen zu entwickeln, um ein ganzes Leben lang erfolgreich weiter zu lernen. Eine problemlösungsorientierte Einstellung kommt sowohl dem Lernprozess als auch der Fähigkeit des Einzelnen zugute, mit Hindernissen und Veränderungen umzugehen. Sie beinhaltet den Wunsch, auf früheren Lern- und Lebenserfahrungen aufzubauen, und die Neugier, neue Lernmöglichkeiten zu suchen und sich in zahlreichen Lebensbereichen weiterzuentwickeln.</w:t>
      </w:r>
    </w:p>
    <w:p>
      <w:pPr>
        <w:pStyle w:val="ListNumber"/>
        <w:rPr>
          <w:b/>
          <w:noProof/>
        </w:rPr>
      </w:pPr>
      <w:r>
        <w:rPr>
          <w:b/>
          <w:noProof/>
        </w:rPr>
        <w:t>Bürgerkompetenz</w:t>
      </w:r>
    </w:p>
    <w:p>
      <w:pPr>
        <w:rPr>
          <w:noProof/>
        </w:rPr>
      </w:pPr>
      <w:r>
        <w:rPr>
          <w:noProof/>
        </w:rPr>
        <w:t xml:space="preserve">Bürgerkompetenz ist die Fähigkeit, als verantwortungsvoller Bürger zu handeln und uneingeschränkt am gesellschaftlichen und sozialen Leben teilzunehmen, und zwar auf der Grundlage der Kenntnis gesellschaftlicher, wirtschaftlicher und politischer Konzepte und Strukturen sowie einem Verständnis von globalen Entwicklungen und Nachhaltigkeit. </w:t>
      </w:r>
    </w:p>
    <w:p>
      <w:pPr>
        <w:rPr>
          <w:i/>
          <w:noProof/>
        </w:rPr>
      </w:pPr>
      <w:r>
        <w:rPr>
          <w:i/>
          <w:noProof/>
        </w:rPr>
        <w:t>Wesentliche Kenntnisse, Fertigkeiten und Einstellungen im Zusammenhang mit dieser Kompetenz</w:t>
      </w:r>
    </w:p>
    <w:p>
      <w:pPr>
        <w:rPr>
          <w:noProof/>
        </w:rPr>
      </w:pPr>
      <w:r>
        <w:rPr>
          <w:noProof/>
        </w:rPr>
        <w:t>Bürgerkompetenz beruht auf der Kenntnis der grundlegenden Konzepte in Bezug auf Einzelpersonen, Gruppen, Arbeitsorganisationen, Gesellschaft, Wirtschaft und Kultur. Dazu gehört ein Verständnis der gemeinsamen europäischen Werte nach Artikel 2 des Vertrags über die Europäische Union und der Charta der Grundrechte der Europäischen Union. Sie umfasst die Kenntnis von Ereignissen der Zeitgeschichte sowie ein kritisches Verständnis der wichtigsten Entwicklungen in der nationalen, der europäischen und der Weltgeschichte. Sie schließt ferner ein Bewusstsein für die Ziele, Werte und politischen Strategien sozialer und politischer Bewegungen sowie für nachhaltige Systeme ein, insbesondere für den Klimawandel und den weltweiten demographischen Wandel sowie die diesen zugrundeliegenden Ursachen. Von wesentlicher Bedeutung sind ferner die Kenntnis von der europäischen Integration sowie ein Bewusstsein für die Vielfalt und kulturelle Identität in Europa und der Welt. Dazu gehört es, die multikulturellen und sozioökonomischen Dimensionen der europäischen Gesellschaften zu kennen und zu wissen, wie die nationale kulturelle Identität zur europäischen Identität beiträgt.</w:t>
      </w:r>
    </w:p>
    <w:p>
      <w:pPr>
        <w:rPr>
          <w:noProof/>
        </w:rPr>
      </w:pPr>
      <w:r>
        <w:rPr>
          <w:noProof/>
        </w:rPr>
        <w:t xml:space="preserve">Bürgerkompetenz erfordert die Fähigkeit, Beziehungen zu anderen im gemeinsamen oder öffentlichen Interesse oder zur nachhaltigen Entwicklung der Gesellschaft einzugehen. Hierzu gehören das kritische Nachdenken sowie die konstruktive Teilnahme an gemeinschaftlichen Aktivitäten und an der Entscheidungsfindung auf allen Ebenen – von der lokalen über die nationale bis hin zur europäischen und internationalen Ebene. Ferner umfasst dies die Fähigkeit, auf herkömmliche und neue Medien zuzugreifen, ein kritisches Verständnis für diese zu entwickeln und mit diesen zu interagieren. </w:t>
      </w:r>
    </w:p>
    <w:p>
      <w:pPr>
        <w:rPr>
          <w:noProof/>
        </w:rPr>
      </w:pPr>
      <w:r>
        <w:rPr>
          <w:noProof/>
        </w:rPr>
        <w:t>Die Achtung der Menschenrechte als Grundlage der Demokratie legt den Grundstein für eine verantwortungsbewusste und konstruktive Einstellung. Die konstruktive Beteiligung setzt die Bereitschaft voraus, an der demokratischen Entscheidungsfindung auf allen Ebenen und bei allen öffentlichen Aktivitäten mitzuwirken. Sie beinhaltet die Unterstützung der gesellschaftlichen und kulturellen Vielfalt, der Gleichstellung der Geschlechter und des gesellschaftlichen Zusammenhalts sowie die Bereitschaft, die Privatsphäre anderer zu respektieren und Verantwortung für die Umwelt zu übernehmen. Es bedarf eines Interesses an politischen und sozioökonomischen Entwicklungen und interkultureller Kommunikation, um Vorurteile zu überwinden und gegebenenfalls Kompromisse einzugehen sowie für soziale Gerechtigkeit und Fairness einzutreten.</w:t>
      </w:r>
    </w:p>
    <w:p>
      <w:pPr>
        <w:pStyle w:val="ListNumber"/>
        <w:rPr>
          <w:b/>
          <w:noProof/>
        </w:rPr>
      </w:pPr>
      <w:r>
        <w:rPr>
          <w:b/>
          <w:noProof/>
        </w:rPr>
        <w:t>Unternehmerische Kompetenz</w:t>
      </w:r>
    </w:p>
    <w:p>
      <w:pPr>
        <w:rPr>
          <w:noProof/>
        </w:rPr>
      </w:pPr>
      <w:r>
        <w:rPr>
          <w:noProof/>
        </w:rPr>
        <w:t>Unternehmerische Kompetenz bezieht sich auf die Fähigkeit, Chancen und Ideen umzusetzen und in Werte für andere zu verwandeln. Sie beruht auf Kreativität, kritischem Denken und Problemlösung, Eigeninitiative und Durchhaltevermögen und der Fähigkeit, mit anderen zusammenzuarbeiten, um Projekte zu planen und durchzuführen, die von kulturellem, gesellschaftlichem oder kommerziellem Wert sind.</w:t>
      </w:r>
    </w:p>
    <w:p>
      <w:pPr>
        <w:rPr>
          <w:i/>
          <w:noProof/>
        </w:rPr>
      </w:pPr>
      <w:r>
        <w:rPr>
          <w:i/>
          <w:noProof/>
        </w:rPr>
        <w:t>Wesentliche Kenntnisse, Fertigkeiten und Einstellungen im Zusammenhang mit dieser Kompetenz</w:t>
      </w:r>
    </w:p>
    <w:p>
      <w:pPr>
        <w:rPr>
          <w:noProof/>
        </w:rPr>
      </w:pPr>
      <w:r>
        <w:rPr>
          <w:noProof/>
        </w:rPr>
        <w:t>Unternehmerische Kompetenz erfordert das Wissen, dass es verschiedene Kontexte und Gelegenheiten gibt, um Ideen in persönliche, soziale und berufliche Tätigkeiten umzusetzen, sowie ein Verständnis dafür, wie diese entstehen. Der Einzelne sollte Ansätze zur Planung und Durchführung von Projekten kennen und verstehen, die sowohl Prozesse als auch Ressourcen berücksichtigen. Er sollte ein Verständnis von der Wirtschaft und den Chancen und Herausforderungen haben, mit denen ein Arbeitgeber, eine Organisation oder die Gesellschaft konfrontiert werden. Er sollte sich außerdem ethischer Grundsätze sowie seiner eigenen Stärken und Schwächen bewusst sein.</w:t>
      </w:r>
    </w:p>
    <w:p>
      <w:pPr>
        <w:rPr>
          <w:noProof/>
        </w:rPr>
      </w:pPr>
      <w:r>
        <w:rPr>
          <w:noProof/>
        </w:rPr>
        <w:t>Unternehmerische Fähigkeiten basieren auf Kreativität, die Einfallsreichtum, strategisches Denken und Problemlösung sowie kritisches und konstruktives Nachdenken innerhalb wechselnder kreativer Prozesse und Innovationen umfasst. Dazu gehört die Fähigkeit, sowohl eigenständig als auch im Team zu arbeiten, Ressourcen zu mobilisieren (Menschen und Dinge) und Tätigkeiten aufrechtzuerhalten. Dies umfasst die Fähigkeit, finanzielle Entscheidungen im Hinblick auf Kosten und Wert zu treffen. Die Fähigkeit, mit anderen effektiv zu kommunizieren und zu verhandeln und im Rahmen einer fundierten Entscheidungsfindung mit Ungewissheit, Widersprüchlichkeiten und Risiken umgehen zu können, ist von zentraler Bedeutung.</w:t>
      </w:r>
    </w:p>
    <w:p>
      <w:pPr>
        <w:rPr>
          <w:noProof/>
        </w:rPr>
      </w:pPr>
      <w:r>
        <w:rPr>
          <w:noProof/>
        </w:rPr>
        <w:t>Eine unternehmerische Einstellung ist gekennzeichnet durch Eigeninitiative, das Bewusstsein für die eigene Handlungsfähigkeit, vorausschauendes Handeln, Zukunftsorientiertheit, Mut und Ausdauer beim Erreichen von Zielen. Sie beinhaltet den Wunsch, andere zu motivieren und ihre Ideen zu würdigen, Empathie und Verantwortungsbewusstsein für Menschen und die Welt sowie die Bereitschaft, Verantwortung für ethisches Verhalten zu übernehmen.</w:t>
      </w:r>
    </w:p>
    <w:p>
      <w:pPr>
        <w:pStyle w:val="ListNumber"/>
        <w:rPr>
          <w:b/>
          <w:noProof/>
        </w:rPr>
      </w:pPr>
      <w:r>
        <w:rPr>
          <w:b/>
          <w:noProof/>
        </w:rPr>
        <w:t>Kulturbewusstsein und kulturelle Ausdrucksfähigkeit</w:t>
      </w:r>
    </w:p>
    <w:p>
      <w:pPr>
        <w:rPr>
          <w:noProof/>
        </w:rPr>
      </w:pPr>
      <w:r>
        <w:rPr>
          <w:noProof/>
        </w:rPr>
        <w:t>Kulturbewusstsein und kulturelle Ausdrucksfähigkeit sind mit einem Verständnis und einer Achtung davor verbunden, wie Ideen und Sinn in verschiedenen Kulturen und durch verschiedene Künste und Kulturformen auf kreative Weise ausgedrückt und kommuniziert werden. Sie beinhalten, eigene Ideen zu erkennen, zu entwickeln und auszudrücken und seinen Platz oder seine Rolle in der Gesellschaft auf vielfältige Weise und in vielfältigen Kontexten wahrzunehmen.</w:t>
      </w:r>
    </w:p>
    <w:p>
      <w:pPr>
        <w:rPr>
          <w:i/>
          <w:noProof/>
        </w:rPr>
      </w:pPr>
      <w:r>
        <w:rPr>
          <w:i/>
          <w:noProof/>
        </w:rPr>
        <w:t>Wesentliche Kenntnisse, Fertigkeiten und Einstellungen im Zusammenhang mit dieser Kompetenz</w:t>
      </w:r>
    </w:p>
    <w:p>
      <w:pPr>
        <w:rPr>
          <w:noProof/>
        </w:rPr>
      </w:pPr>
      <w:r>
        <w:rPr>
          <w:noProof/>
        </w:rPr>
        <w:t>Diese Kompetenz erfordert die Kenntnis lokaler, nationaler, europäischer und globaler Kulturen und Ausdrucksformen, einschließlich ihrer Sprachen, ihres kulturellen Erbes und ihrer Traditionen und Kulturprodukte, sowie ein Verständnis dafür, wie diese Ausdrucksformen einander beeinflussen, wie sie sich aber auch auf die Ideen des Einzelnen auswirken können. Sie beinhaltet das Verständnis der verschiedenen Formen der Vermittlung von Ideen zwischen Autor, Teilnehmer oder Publikum in geschriebenen, gedruckten und digitalen Texten, Theater, Film, Tanz, Spielen, Kunst und Design, Musik, Ritualen und Architektur sowie in gemischten Formen. Sie erfordert ein Verständnis für die Entwicklung der eigenen Identität in einer multikulturellen Welt und dafür, wie Künste und andere Kulturformen es ermöglichen, die Welt einerseits zu betrachten und andererseits zu gestalten.</w:t>
      </w:r>
    </w:p>
    <w:p>
      <w:pPr>
        <w:rPr>
          <w:noProof/>
        </w:rPr>
      </w:pPr>
      <w:r>
        <w:rPr>
          <w:noProof/>
        </w:rPr>
        <w:t>Zu den Fertigkeiten zählen die Fähigkeit, bildhafte und abstrakte Ideen, Erfahrungen und Emotionen mit Empathie auszudrücken und zu interpretieren, und die Fähigkeit, dies in verschiedenen Kunst- und anderen Kulturformen zu tun. Zu den Fertigkeiten gehören außerdem die Fähigkeit, persönliche, soziale und kommerzielle Möglichkeiten durch die Künste und andere kulturelle Formen zu erkennen und umzusetzen, sowie die Fähigkeit, sich sowohl einzeln als auch gemeinsam mit anderen an kreativen Prozessen zu beteiligen.</w:t>
      </w:r>
    </w:p>
    <w:p>
      <w:pPr>
        <w:rPr>
          <w:noProof/>
        </w:rPr>
      </w:pPr>
      <w:r>
        <w:rPr>
          <w:noProof/>
        </w:rPr>
        <w:t xml:space="preserve">Wichtig sind eine offene Einstellung und Respekt gegenüber der Vielfalt des kulturellen Ausdrucks und der ethische und verantwortungsvolle Umgang mit geistigem und kulturellem Eigentum. Eine positive Einstellung beinhaltet auch, der Welt mit Neugier zu begegnen, Offenheit für neue Wege und die Bereitschaft, an kulturellen Erfahrungen teilzunehmen. </w:t>
      </w:r>
    </w:p>
    <w:p>
      <w:pPr>
        <w:pStyle w:val="ListNumber"/>
        <w:rPr>
          <w:b/>
          <w:noProof/>
        </w:rPr>
      </w:pPr>
      <w:r>
        <w:rPr>
          <w:b/>
          <w:noProof/>
        </w:rPr>
        <w:t>Förderung der Entwicklung von Schlüsselkompetenzen</w:t>
      </w:r>
    </w:p>
    <w:p>
      <w:pPr>
        <w:rPr>
          <w:noProof/>
          <w:szCs w:val="24"/>
        </w:rPr>
      </w:pPr>
      <w:r>
        <w:rPr>
          <w:noProof/>
        </w:rPr>
        <w:t xml:space="preserve">Schlüsselkompetenzen sind eine dynamische Kombination aus Kenntnissen, Fertigkeiten und Einstellungen, die ein Lernender von Kindheit an während des ganzen Lebens entwickeln muss. Allgemeine und berufliche Bildung und lebenslanges Lernen von hoher Qualität und in inklusiver Form bietet jedem die Gelegenheit, Schlüsselkompetenzen zu entwickeln. Daher können kompetenzorientierte Ansätze in allen Bildungs-, Ausbildungs- und Lernumgebungen und in allen Lebensphasen zum Einsatz kommen. </w:t>
      </w:r>
    </w:p>
    <w:p>
      <w:pPr>
        <w:rPr>
          <w:noProof/>
          <w:szCs w:val="24"/>
        </w:rPr>
      </w:pPr>
      <w:r>
        <w:rPr>
          <w:noProof/>
        </w:rPr>
        <w:t>Es wurden drei Herausforderungen ermittelt, wenn es um die Förderung kompetenzorientierter Bildung und Lernprozesse geht: die Verwendung einer Vielzahl von Lernansätzen und -kontexten, die Unterstützung von Lehrkräften und anderem Bildungspersonal und die Beurteilung und Validierung im Bereich der Kompetenzentwicklung Als Antwort auf diese Herausforderungen haben sich bestimmte bewährte Verfahren herausgebildet.</w:t>
      </w:r>
    </w:p>
    <w:p>
      <w:pPr>
        <w:pStyle w:val="ListNumber2"/>
        <w:rPr>
          <w:i/>
          <w:noProof/>
        </w:rPr>
      </w:pPr>
      <w:r>
        <w:rPr>
          <w:i/>
          <w:noProof/>
        </w:rPr>
        <w:t>Eine Vielzahl von Lernansätzen und -kontexten</w:t>
      </w:r>
    </w:p>
    <w:p>
      <w:pPr>
        <w:pStyle w:val="Point3letter"/>
        <w:numPr>
          <w:ilvl w:val="7"/>
          <w:numId w:val="10"/>
        </w:numPr>
        <w:rPr>
          <w:noProof/>
          <w:szCs w:val="24"/>
        </w:rPr>
      </w:pPr>
      <w:r>
        <w:rPr>
          <w:noProof/>
        </w:rPr>
        <w:t>Fächerübergreifendes Lernen, Partnerschaften zwischen verschiedenen Bildungsebenen und Akteuren der allgemeinen und beruflichen Bildung – einschließlich des Arbeitsmarkts – sowie Konzepte wie der schulumfassende Ansatz („whole school approach“), die einen Schwerpunkt auf kollaborativen Unterricht und kollaboratives Lernen sowie die aktive Teilnahme und Entscheidungsfindung der Lernenden legen, können die Lernprozesse bereichern. Die sektorübergreifende Zusammenarbeit zwischen Einrichtungen der allgemeinen und beruflichen Bildung und externen Akteuren aus Wirtschaft, Künsten, Sport und der Jugendarbeit, der Hochschulbildung oder der Forschung können entscheidend zu einer effektiven Kompetenzentwicklung beitragen.</w:t>
      </w:r>
    </w:p>
    <w:p>
      <w:pPr>
        <w:pStyle w:val="Point3letter"/>
        <w:rPr>
          <w:noProof/>
        </w:rPr>
      </w:pPr>
      <w:r>
        <w:rPr>
          <w:noProof/>
        </w:rPr>
        <w:t>Der Erwerb von Grundkompetenzen sowie die Entwicklung breiter angelegter Kompetenzen können durch die systematische Ergänzung des akademischen Lernens mithilfe des sozialen und emotionalen Lernens, der Künste und des Sports gefördert werden. Die Stärkung der persönlichen, sozialen und Lernkompetenzen von früh an kann als Grundlage für die Entwicklung der Grundkompetenzen dienen.</w:t>
      </w:r>
    </w:p>
    <w:p>
      <w:pPr>
        <w:pStyle w:val="Point3letter"/>
        <w:rPr>
          <w:noProof/>
        </w:rPr>
      </w:pPr>
      <w:r>
        <w:rPr>
          <w:noProof/>
        </w:rPr>
        <w:t>Lernmethoden wie forschend-entdeckendes, projektgestütztes, gemischtes, kunstgestütztes und spielebasiertes Lernen können die Motivation und die Beteiligung steigern. Ebenso können experimentelles Lernen, Lernen am Arbeitsplatz und wissenschaftliche Methoden in Mathematik, Informatik, Naturwissenschaften und Technik (MINT) für die Entwicklung eines breiten Spektrums von Kompetenzen förderlich sein.</w:t>
      </w:r>
    </w:p>
    <w:p>
      <w:pPr>
        <w:pStyle w:val="Point3letter"/>
        <w:rPr>
          <w:noProof/>
        </w:rPr>
      </w:pPr>
      <w:r>
        <w:rPr>
          <w:noProof/>
        </w:rPr>
        <w:t>Lernende, Bildungspersonal und Bildungsanbieter könnten ermutigt werden, digitale Technologien zur Verbesserung der Lernprozesse und zur Unterstützung der Entwicklung digitaler Kompetenzen einzusetzen. Beispielsweise durch Teilnahme an Initiativen der Union wie „EU Code Week“</w:t>
      </w:r>
      <w:r>
        <w:rPr>
          <w:rStyle w:val="FootnoteReference"/>
          <w:noProof/>
        </w:rPr>
        <w:footnoteReference w:id="1"/>
      </w:r>
      <w:r>
        <w:rPr>
          <w:noProof/>
        </w:rPr>
        <w:t>. Durch den Einsatz von Selbstbeurteilungsinstrumenten, wie z. B. SELFIE</w:t>
      </w:r>
      <w:r>
        <w:rPr>
          <w:rStyle w:val="FootnoteReference"/>
          <w:noProof/>
        </w:rPr>
        <w:footnoteReference w:id="2"/>
      </w:r>
      <w:r>
        <w:rPr>
          <w:noProof/>
        </w:rPr>
        <w:t xml:space="preserve">, könnten die digitalen Kompetenzen von Bildungs- und Berufsbildungsanbietern verbessert werden. </w:t>
      </w:r>
    </w:p>
    <w:p>
      <w:pPr>
        <w:pStyle w:val="Point3letter"/>
        <w:rPr>
          <w:noProof/>
        </w:rPr>
      </w:pPr>
      <w:r>
        <w:rPr>
          <w:noProof/>
        </w:rPr>
        <w:t>Vor allem Möglichkeiten, unternehmerische Erfahrungen zu sammeln, wie z. B. Mini-Unternehmen, Unternehmenspraktika oder Unternehmer, die Bildungs- und Berufsbildungseinrichtungen besuchen, könnten für junge Menschen, aber auch für Erwachsene und Lehrkräfte sehr wertvoll sein. Junge Menschen könnten die Möglichkeit bekommen, mindestens eine unternehmerische Erfahrung während der Primar- und Sekundarschulbildung zu machen. Partnerschaften zwischen Schulen und Unternehmen sowie lokalen Plattformen kann insbesondere in ländlichen Gebieten eine zentrale Rolle bei der Vermittlung unternehmerischer Bildung zukommen. Geeignete Schulungen und Unterstützung für Lehrkräfte und Schulleitungen könnten eine wesentliche Rolle dabei spielen, nachhaltige Fortschritte zu erzielen und eine Vorreiterrolle zu übernehmen.</w:t>
      </w:r>
    </w:p>
    <w:p>
      <w:pPr>
        <w:pStyle w:val="Point3letter"/>
        <w:rPr>
          <w:noProof/>
        </w:rPr>
      </w:pPr>
      <w:r>
        <w:rPr>
          <w:noProof/>
        </w:rPr>
        <w:t>Fremdsprachliche Kompetenzen können durch enge Zusammenarbeit mit Bildungs-, Ausbildungs- und Lernumgebungen im Ausland, die Mobilität von Bildungspersonal und Lernenden oder den Einsatz von eTwinning, EPALE und/oder ähnlichen Online-Portalen entwickelt werden.</w:t>
      </w:r>
    </w:p>
    <w:p>
      <w:pPr>
        <w:pStyle w:val="Point3letter"/>
        <w:rPr>
          <w:noProof/>
        </w:rPr>
      </w:pPr>
      <w:r>
        <w:rPr>
          <w:noProof/>
        </w:rPr>
        <w:t>Junge Menschen und Erwachsene, die entweder aufgrund ihres sozioökonomischen oder ihres Migrationshintergrunds benachteiligt sind oder besondere Bildungsbedürfnisse haben, könnten in inklusiven Umgebungen angemessen unterstützt werden, um ihr Bildungspotenzial auszuschöpfen. Eine solche Unterstützung könnte in Form von sprachlicher, akademischer oder emotionaler Unterstützung, Peer-Coaching, außerschulischen Aktivitäten, Berufsberatung oder materieller Hilfe erfolgen.</w:t>
      </w:r>
    </w:p>
    <w:p>
      <w:pPr>
        <w:pStyle w:val="Point3letter"/>
        <w:rPr>
          <w:noProof/>
        </w:rPr>
      </w:pPr>
      <w:r>
        <w:rPr>
          <w:noProof/>
        </w:rPr>
        <w:t xml:space="preserve">Die Zusammenarbeit zwischen Bildungs- und Lernumgebungen auf allen Ebenen kann wesentlich zu einer größeren Kontinuität der lebenslangen Kompetenzentwicklung bei Lernenden und zur Entwicklung innovativer Lernansätze beitragen. </w:t>
      </w:r>
    </w:p>
    <w:p>
      <w:pPr>
        <w:pStyle w:val="Point3letter"/>
        <w:rPr>
          <w:noProof/>
        </w:rPr>
      </w:pPr>
      <w:r>
        <w:rPr>
          <w:noProof/>
        </w:rPr>
        <w:t>Die Zusammenarbeit zwischen Bildungs- und Berufsbildungseinrichtungen, örtlichen außerschulischen Partnern und Arbeitgebern kann in Kombination mit dem formalen und dem nichtformalen Lernen Kompetenzentwicklung fördern und den Übergang von Schule ins Arbeitsleben erleichtern.</w:t>
      </w:r>
    </w:p>
    <w:p>
      <w:pPr>
        <w:pStyle w:val="ListNumber2"/>
        <w:rPr>
          <w:i/>
          <w:noProof/>
        </w:rPr>
      </w:pPr>
      <w:r>
        <w:rPr>
          <w:i/>
          <w:noProof/>
        </w:rPr>
        <w:t>Unterstützung von Bildungspersonal</w:t>
      </w:r>
    </w:p>
    <w:p>
      <w:pPr>
        <w:pStyle w:val="Point3letter"/>
        <w:numPr>
          <w:ilvl w:val="7"/>
          <w:numId w:val="8"/>
        </w:numPr>
        <w:rPr>
          <w:noProof/>
        </w:rPr>
      </w:pPr>
      <w:r>
        <w:rPr>
          <w:noProof/>
        </w:rPr>
        <w:t xml:space="preserve">Die Einbindung kompetenzorientierter Ansätze in Unterrichts- und Lernprozesse der Aus- und Weiterbildungssysteme kann Bildungspersonal dabei helfen, die Veränderung von Unterrichts- und Lernprozessen in ihren Umgebungen voranzutreiben und über die notwendigen Kompetenzen für die Verwirklichung des kompetenzorientierten Ansatzes zu verfügen. </w:t>
      </w:r>
    </w:p>
    <w:p>
      <w:pPr>
        <w:pStyle w:val="Point3letter"/>
        <w:numPr>
          <w:ilvl w:val="7"/>
          <w:numId w:val="8"/>
        </w:numPr>
        <w:rPr>
          <w:noProof/>
        </w:rPr>
      </w:pPr>
      <w:r>
        <w:rPr>
          <w:noProof/>
        </w:rPr>
        <w:t>Durch Personalaustausch und Peer-Learning-Aktivitäten, die ein flexibles und selbstständiges Lernen ermöglichen (Netzwerke, Zusammenarbeit, Anwendergemeinschaften) könnten Lehrkräfte bei der Entwicklung kompetenzorientierter Ansätze in ihrem jeweiligen Kontext unterstützt werden.</w:t>
      </w:r>
    </w:p>
    <w:p>
      <w:pPr>
        <w:pStyle w:val="Point3letter"/>
        <w:numPr>
          <w:ilvl w:val="7"/>
          <w:numId w:val="8"/>
        </w:numPr>
        <w:rPr>
          <w:noProof/>
        </w:rPr>
      </w:pPr>
      <w:r>
        <w:rPr>
          <w:noProof/>
        </w:rPr>
        <w:t xml:space="preserve">Bildungspersonal könnte Unterstützung enthalten, um innovative Praktiken zu entwickeln, an der Forschung teilzunehmen und die Technologien für kompetenzorientierte Ansätze im Unterricht und in Lernprozessen zu nutzen. </w:t>
      </w:r>
    </w:p>
    <w:p>
      <w:pPr>
        <w:pStyle w:val="Point3letter"/>
        <w:numPr>
          <w:ilvl w:val="7"/>
          <w:numId w:val="8"/>
        </w:numPr>
        <w:rPr>
          <w:noProof/>
        </w:rPr>
      </w:pPr>
      <w:r>
        <w:rPr>
          <w:noProof/>
        </w:rPr>
        <w:t xml:space="preserve">Bildungspersonal könnte Leitlinien sowie Zugang zu Kompetenzzentren und zu geeigneten Werkzeugen und Materialien erhalten, die Lehr- und Lernmethoden sowie </w:t>
      </w:r>
      <w:r>
        <w:rPr>
          <w:noProof/>
        </w:rPr>
        <w:noBreakHyphen/>
        <w:t>praxis verbessern können.</w:t>
      </w:r>
    </w:p>
    <w:p>
      <w:pPr>
        <w:pStyle w:val="ListNumber2"/>
        <w:rPr>
          <w:i/>
          <w:noProof/>
        </w:rPr>
      </w:pPr>
      <w:r>
        <w:rPr>
          <w:i/>
          <w:noProof/>
        </w:rPr>
        <w:t xml:space="preserve">Beurteilung und Validierung im Bereich der Kompetenzentwicklung </w:t>
      </w:r>
    </w:p>
    <w:p>
      <w:pPr>
        <w:pStyle w:val="Point3letter"/>
        <w:numPr>
          <w:ilvl w:val="7"/>
          <w:numId w:val="9"/>
        </w:numPr>
        <w:rPr>
          <w:noProof/>
        </w:rPr>
      </w:pPr>
      <w:r>
        <w:rPr>
          <w:noProof/>
        </w:rPr>
        <w:t>Die Beschreibung von Schlüsselkompetenzen könnten in Rahmen für Lernergebnisse umgesetzt werden, die mithilfe geeigneter Werkzeuge für die Zwecke einer diagnostischen, bildungsbezogenen und summativen Beurteilung und Validierung auf geeignetem Niveau ergänzt werden könnten.</w:t>
      </w:r>
      <w:r>
        <w:rPr>
          <w:rStyle w:val="FootnoteReference"/>
          <w:noProof/>
        </w:rPr>
        <w:footnoteReference w:id="3"/>
      </w:r>
      <w:r>
        <w:rPr>
          <w:noProof/>
        </w:rPr>
        <w:t xml:space="preserve"> </w:t>
      </w:r>
    </w:p>
    <w:p>
      <w:pPr>
        <w:pStyle w:val="Point3letter"/>
        <w:numPr>
          <w:ilvl w:val="7"/>
          <w:numId w:val="9"/>
        </w:numPr>
        <w:rPr>
          <w:noProof/>
        </w:rPr>
      </w:pPr>
      <w:r>
        <w:rPr>
          <w:noProof/>
        </w:rPr>
        <w:t>Insbesondere digitale Technologien könnten helfen, die verschiedenen Dimensionen abzudecken, die für den Fortschritt der Lernenden, auch für das unternehmerische Lernen, relevant sind.</w:t>
      </w:r>
    </w:p>
    <w:p>
      <w:pPr>
        <w:pStyle w:val="Point3letter"/>
        <w:numPr>
          <w:ilvl w:val="7"/>
          <w:numId w:val="9"/>
        </w:numPr>
        <w:rPr>
          <w:noProof/>
        </w:rPr>
      </w:pPr>
      <w:r>
        <w:rPr>
          <w:noProof/>
        </w:rPr>
        <w:t>Es könnten verschiedene Ansätze für die Beurteilung von Schlüsselkompetenzen in nichtformalen und informellen Lernumgebungen entwickelt werden, einschließlich der Aktivitäten von Arbeitgebern, Berufsberatungsanbietern und Sozialpartnern. Diese sollten allen zur Verfügung stehen, insbesondere Geringqualifizierten, um das weitere Lernen zu unterstützen.</w:t>
      </w:r>
    </w:p>
    <w:p>
      <w:pPr>
        <w:pStyle w:val="Point3letter"/>
        <w:numPr>
          <w:ilvl w:val="7"/>
          <w:numId w:val="9"/>
        </w:numPr>
        <w:rPr>
          <w:noProof/>
        </w:rPr>
      </w:pPr>
      <w:r>
        <w:rPr>
          <w:noProof/>
        </w:rPr>
        <w:t>Die Validierung von Lernergebnissen, die durch nichtformales und informelles Lernen erworben wurden, könnte im Einklang mit der Empfehlung des Rates zur Validierung nichtformalen und informellen Lernens ausgebaut und optimiert werden, unter anderem mittels verschiedene Validierungsverfahren und des Einsatzes von Instrumenten wie Europass und Youthpass.</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The Code Week, http://codeweek.eu/.</w:t>
      </w:r>
    </w:p>
  </w:footnote>
  <w:footnote w:id="2">
    <w:p>
      <w:pPr>
        <w:pStyle w:val="FootnoteText"/>
        <w:ind w:left="0" w:firstLine="0"/>
      </w:pPr>
      <w:r>
        <w:rPr>
          <w:rStyle w:val="FootnoteReference"/>
        </w:rPr>
        <w:footnoteRef/>
      </w:r>
      <w:r>
        <w:tab/>
        <w:t xml:space="preserve">Tool zur Selbstbeurteilung der digitalen Fähigkeiten (SELFIE), </w:t>
      </w:r>
      <w:hyperlink r:id="rId1">
        <w:r>
          <w:rPr>
            <w:rStyle w:val="Hyperlink"/>
          </w:rPr>
          <w:t>https://ec.europa.eu/jrc/en/digcomporg/selfie-tool</w:t>
        </w:r>
      </w:hyperlink>
      <w:r>
        <w:t xml:space="preserve">, oder  </w:t>
      </w:r>
      <w:r>
        <w:tab/>
        <w:t xml:space="preserve">HEInnovate, </w:t>
      </w:r>
      <w:hyperlink r:id="rId2">
        <w:r>
          <w:rPr>
            <w:rStyle w:val="Hyperlink"/>
          </w:rPr>
          <w:t>https://heinnovate.eu/</w:t>
        </w:r>
      </w:hyperlink>
      <w:r>
        <w:t>.</w:t>
      </w:r>
    </w:p>
  </w:footnote>
  <w:footnote w:id="3">
    <w:p>
      <w:pPr>
        <w:pStyle w:val="FootnoteText"/>
        <w:ind w:left="0" w:firstLine="0"/>
      </w:pPr>
      <w:r>
        <w:rPr>
          <w:rStyle w:val="FootnoteReference"/>
        </w:rPr>
        <w:footnoteRef/>
      </w:r>
      <w:r>
        <w:tab/>
        <w:t>Der Gemeinsame europäische Referenzrahmen für Sprachen, der Referenzrahmen für digitale Kompetenzen und der Referenzrahmen für unternehmerische Kompetenzen sowie Kompetenzbeschreibungen im Rahmen von PISA sind Beispiele für unterstützendes Material für die Beurteilung von Kompetenzen.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7CC0508"/>
    <w:lvl w:ilvl="0">
      <w:start w:val="1"/>
      <w:numFmt w:val="decimal"/>
      <w:pStyle w:val="ListNumber4"/>
      <w:lvlText w:val="%1."/>
      <w:lvlJc w:val="left"/>
      <w:pPr>
        <w:tabs>
          <w:tab w:val="num" w:pos="1209"/>
        </w:tabs>
        <w:ind w:left="1209" w:hanging="360"/>
      </w:pPr>
    </w:lvl>
  </w:abstractNum>
  <w:abstractNum w:abstractNumId="1">
    <w:nsid w:val="FFFFFF7F"/>
    <w:multiLevelType w:val="singleLevel"/>
    <w:tmpl w:val="73029EFA"/>
    <w:name w:val="Point22"/>
    <w:lvl w:ilvl="0">
      <w:start w:val="1"/>
      <w:numFmt w:val="lowerLetter"/>
      <w:pStyle w:val="ListNumber2"/>
      <w:lvlText w:val="%1."/>
      <w:lvlJc w:val="left"/>
      <w:pPr>
        <w:ind w:left="643" w:hanging="360"/>
      </w:pPr>
    </w:lvl>
  </w:abstractNum>
  <w:abstractNum w:abstractNumId="2">
    <w:nsid w:val="FFFFFF81"/>
    <w:multiLevelType w:val="singleLevel"/>
    <w:tmpl w:val="D306230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7B34F1A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A3EC076A"/>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2C46FCCC"/>
    <w:lvl w:ilvl="0">
      <w:start w:val="1"/>
      <w:numFmt w:val="decimal"/>
      <w:pStyle w:val="ListNumber"/>
      <w:lvlText w:val="%1."/>
      <w:lvlJc w:val="left"/>
      <w:pPr>
        <w:tabs>
          <w:tab w:val="num" w:pos="360"/>
        </w:tabs>
        <w:ind w:left="360" w:hanging="360"/>
      </w:pPr>
    </w:lvl>
  </w:abstractNum>
  <w:abstractNum w:abstractNumId="6">
    <w:nsid w:val="FFFFFF89"/>
    <w:multiLevelType w:val="singleLevel"/>
    <w:tmpl w:val="14A086C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num>
  <w:num w:numId="12">
    <w:abstractNumId w:val="13"/>
    <w:lvlOverride w:ilvl="0">
      <w:startOverride w:val="1"/>
    </w:lvlOverride>
  </w:num>
  <w:num w:numId="13">
    <w:abstractNumId w:val="17"/>
  </w:num>
  <w:num w:numId="14">
    <w:abstractNumId w:val="11"/>
  </w:num>
  <w:num w:numId="15">
    <w:abstractNumId w:val="19"/>
  </w:num>
  <w:num w:numId="16">
    <w:abstractNumId w:val="10"/>
  </w:num>
  <w:num w:numId="17">
    <w:abstractNumId w:val="12"/>
  </w:num>
  <w:num w:numId="18">
    <w:abstractNumId w:val="8"/>
  </w:num>
  <w:num w:numId="19">
    <w:abstractNumId w:val="18"/>
  </w:num>
  <w:num w:numId="20">
    <w:abstractNumId w:val="7"/>
  </w:num>
  <w:num w:numId="21">
    <w:abstractNumId w:val="13"/>
  </w:num>
  <w:num w:numId="22">
    <w:abstractNumId w:val="15"/>
  </w:num>
  <w:num w:numId="23">
    <w:abstractNumId w:val="16"/>
  </w:num>
  <w:num w:numId="24">
    <w:abstractNumId w:val="9"/>
  </w:num>
  <w:num w:numId="25">
    <w:abstractNumId w:val="14"/>
  </w:num>
  <w:num w:numId="26">
    <w:abstractNumId w:val="20"/>
  </w:num>
  <w:num w:numId="27">
    <w:abstractNumId w:val="17"/>
  </w:num>
  <w:num w:numId="28">
    <w:abstractNumId w:val="11"/>
  </w:num>
  <w:num w:numId="29">
    <w:abstractNumId w:val="19"/>
  </w:num>
  <w:num w:numId="30">
    <w:abstractNumId w:val="10"/>
  </w:num>
  <w:num w:numId="31">
    <w:abstractNumId w:val="12"/>
  </w:num>
  <w:num w:numId="32">
    <w:abstractNumId w:val="8"/>
  </w:num>
  <w:num w:numId="33">
    <w:abstractNumId w:val="18"/>
  </w:num>
  <w:num w:numId="34">
    <w:abstractNumId w:val="7"/>
  </w:num>
  <w:num w:numId="35">
    <w:abstractNumId w:val="13"/>
  </w:num>
  <w:num w:numId="36">
    <w:abstractNumId w:val="15"/>
  </w:num>
  <w:num w:numId="37">
    <w:abstractNumId w:val="16"/>
  </w:num>
  <w:num w:numId="38">
    <w:abstractNumId w:val="9"/>
  </w:num>
  <w:num w:numId="39">
    <w:abstractNumId w:val="14"/>
  </w:num>
  <w:num w:numId="4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8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6:31: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des"/>
    <w:docVar w:name="LW_ACCOMPAGNANT.CP" w:val="des"/>
    <w:docVar w:name="LW_ANNEX_NBR_FIRST" w:val="1"/>
    <w:docVar w:name="LW_ANNEX_NBR_LAST" w:val="1"/>
    <w:docVar w:name="LW_ANNEX_UNIQUE" w:val="1"/>
    <w:docVar w:name="LW_CORRIGENDUM" w:val="&lt;UNUSED&gt;"/>
    <w:docVar w:name="LW_COVERPAGE_EXISTS" w:val="True"/>
    <w:docVar w:name="LW_COVERPAGE_GUID" w:val="4D4CD5D8-FAC9-4809-99C0-E6B720813941"/>
    <w:docVar w:name="LW_COVERPAGE_TYPE" w:val="1"/>
    <w:docVar w:name="LW_CROSSREFERENCE" w:val="{SWD(2018) 14 final}"/>
    <w:docVar w:name="LW_DocType" w:val="ANNEX"/>
    <w:docVar w:name="LW_EMISSION" w:val="17.1.2018"/>
    <w:docVar w:name="LW_EMISSION_ISODATE" w:val="2018-01-17"/>
    <w:docVar w:name="LW_EMISSION_LOCATION" w:val="BRX"/>
    <w:docVar w:name="LW_EMISSION_PREFIX" w:val="Brüssel, den"/>
    <w:docVar w:name="LW_EMISSION_SUFFIX" w:val="&lt;EMPTY&gt;"/>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zu Schlüsselkompetenzen für lebenslanges Lernen"/>
    <w:docVar w:name="LW_OBJETACTEPRINCIPAL.CP" w:val="zu Schlüsselkompetenzen für lebenslanges Lernen"/>
    <w:docVar w:name="LW_PART_NBR" w:val="1"/>
    <w:docVar w:name="LW_PART_NBR_TOTAL" w:val="1"/>
    <w:docVar w:name="LW_REF.INST.NEW" w:val="COM"/>
    <w:docVar w:name="LW_REF.INST.NEW_ADOPTED" w:val="final"/>
    <w:docVar w:name="LW_REF.INST.NEW_TEXT" w:val="(2018)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 Empfehlung des Rates"/>
    <w:docVar w:name="LW_TYPEACTEPRINCIPAL.CP" w:val="Vorschlags für eine Empfehlung des Rates"/>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unhideWhenUsed/>
    <w:pPr>
      <w:contextualSpacing/>
    </w:pPr>
  </w:style>
  <w:style w:type="paragraph" w:styleId="ListNumber4">
    <w:name w:val="List Number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unhideWhenUsed/>
    <w:pPr>
      <w:contextualSpacing/>
    </w:pPr>
  </w:style>
  <w:style w:type="paragraph" w:styleId="ListNumber4">
    <w:name w:val="List Number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heinnovate.eu/" TargetMode="External"/><Relationship Id="rId1" Type="http://schemas.openxmlformats.org/officeDocument/2006/relationships/hyperlink" Target="https://ec.europa.eu/jrc/en/digcomporg/selfie-t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BEC9-38E1-4CFF-B6F4-E47C15AE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12</Pages>
  <Words>3976</Words>
  <Characters>28390</Characters>
  <Application>Microsoft Office Word</Application>
  <DocSecurity>0</DocSecurity>
  <Lines>465</Lines>
  <Paragraphs>115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CLEVE Sabine (EAC)</dc:creator>
  <cp:lastModifiedBy>DIGIT/A3</cp:lastModifiedBy>
  <cp:revision>8</cp:revision>
  <cp:lastPrinted>2017-12-14T13:59:00Z</cp:lastPrinted>
  <dcterms:created xsi:type="dcterms:W3CDTF">2018-01-19T12:53:00Z</dcterms:created>
  <dcterms:modified xsi:type="dcterms:W3CDTF">2018-01-22T15:31:00Z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