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9EA4D05-90E1-4DAB-97C6-D60D5B580296" style="width:450.25pt;height:461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</w:t>
      </w:r>
    </w:p>
    <w:p>
      <w:pPr>
        <w:pStyle w:val="Annexetitreexpos"/>
        <w:rPr>
          <w:noProof/>
        </w:rPr>
      </w:pPr>
      <w:r>
        <w:rPr>
          <w:noProof/>
        </w:rPr>
        <w:t>Seznam harmonizacijske zakonodaje Unije</w:t>
      </w:r>
    </w:p>
    <w:p>
      <w:pPr>
        <w:pStyle w:val="NumPar1"/>
        <w:numPr>
          <w:ilvl w:val="0"/>
          <w:numId w:val="6"/>
        </w:numPr>
        <w:rPr>
          <w:noProof/>
        </w:rPr>
      </w:pPr>
      <w:r>
        <w:rPr>
          <w:noProof/>
        </w:rPr>
        <w:t>Direktiva Sveta 69/493/EGS z dne 15. decembra 1969 o približevanju zakonodaje držav članic o kristalnem steklu (UL L 326, 29.12.1969, str. 599);</w:t>
      </w:r>
    </w:p>
    <w:p>
      <w:pPr>
        <w:pStyle w:val="NumPar1"/>
        <w:rPr>
          <w:noProof/>
        </w:rPr>
      </w:pPr>
      <w:r>
        <w:rPr>
          <w:noProof/>
        </w:rPr>
        <w:t xml:space="preserve">Direktiva Sveta 70/157/EGS z dne 6. februarja 1970 o približevanju zakonodaje držav članic o dovoljeni ravni hrupa in izpušnem sistemu motornih vozil (UL L 42, 23.2.1970, str. 16–20);  </w:t>
      </w:r>
    </w:p>
    <w:p>
      <w:pPr>
        <w:pStyle w:val="NumPar1"/>
        <w:rPr>
          <w:noProof/>
        </w:rPr>
      </w:pPr>
      <w:r>
        <w:rPr>
          <w:noProof/>
        </w:rPr>
        <w:t>Direktiva Sveta 75/107/EGS z dne 19. decembra 1974 o približevanju zakonodaje držav članic v zvezi s steklenicami, ki se uporabljajo kot merilne posode (UL L 42, 15.2.1975, str. 14–20);</w:t>
      </w:r>
    </w:p>
    <w:p>
      <w:pPr>
        <w:pStyle w:val="NumPar1"/>
        <w:rPr>
          <w:noProof/>
        </w:rPr>
      </w:pPr>
      <w:r>
        <w:rPr>
          <w:noProof/>
        </w:rPr>
        <w:t xml:space="preserve">Direktiva Sveta 75/324/EGS z dne 20. maja 1975 o približevanju zakonodaje držav članic o aerosolnih razpršilnikih (UL L 147, 9.6.1975, str. 40–47);  </w:t>
      </w:r>
    </w:p>
    <w:p>
      <w:pPr>
        <w:pStyle w:val="NumPar1"/>
        <w:rPr>
          <w:noProof/>
        </w:rPr>
      </w:pPr>
      <w:r>
        <w:rPr>
          <w:noProof/>
        </w:rPr>
        <w:t>Direktiva Sveta 76/211/EGS z dne 20. januarja 1976 o približevanju zakonodaje držav članic v zvezi s pripravo določenih predpakiranih proizvodov glede na maso ali prostornino (UL L 46, 21.2.1976, str. 1–11);</w:t>
      </w:r>
    </w:p>
    <w:p>
      <w:pPr>
        <w:pStyle w:val="NumPar1"/>
        <w:rPr>
          <w:noProof/>
        </w:rPr>
      </w:pPr>
      <w:r>
        <w:rPr>
          <w:noProof/>
        </w:rPr>
        <w:t>Direktiva Sveta 80/181/EGS z dne 20. decembra 1979 o približevanju zakonodaje držav članic, ki se nanaša na merske enote, in o razveljavitvi Direktive 71/354/EGS (UL L 39, 15.2.1980, str. 40–50);</w:t>
      </w:r>
    </w:p>
    <w:p>
      <w:pPr>
        <w:pStyle w:val="NumPar1"/>
        <w:rPr>
          <w:noProof/>
        </w:rPr>
      </w:pPr>
      <w:r>
        <w:rPr>
          <w:noProof/>
        </w:rPr>
        <w:t>Direktiva Sveta 92/42/EGS z dne 21. maja 1992 o zahtevanih izkoristkih novih toplovodnih kotlov na tekoča ali plinasta goriva (UL L 167, 22.6.1992, str. 17–28);</w:t>
      </w:r>
    </w:p>
    <w:p>
      <w:pPr>
        <w:pStyle w:val="NumPar1"/>
        <w:rPr>
          <w:noProof/>
        </w:rPr>
      </w:pPr>
      <w:r>
        <w:rPr>
          <w:noProof/>
        </w:rPr>
        <w:t>Direktiva Evropskega parlamenta in Sveta 94/11/ES z dne 23. marca 1994 o približevanju na področju zakonov in drugih predpisov držav članic v zvezi z označevanjem materialov, ki se uporabljajo za glavne sestavne dele obutve, namenjene prodaji potrošnikom (UL L 100, 19.4.1994, str. 37-41);</w:t>
      </w:r>
    </w:p>
    <w:p>
      <w:pPr>
        <w:pStyle w:val="NumPar1"/>
        <w:rPr>
          <w:noProof/>
        </w:rPr>
      </w:pPr>
      <w:r>
        <w:rPr>
          <w:noProof/>
        </w:rPr>
        <w:t>Direktiva Evropskega parlamenta in Sveta 94/62/ES z dne 20. decembra 1994 o embalaži in odpadni embalaži (UL L 365, 31.12.1994, str. 10–23);</w:t>
      </w:r>
    </w:p>
    <w:p>
      <w:pPr>
        <w:pStyle w:val="NumPar1"/>
        <w:rPr>
          <w:noProof/>
        </w:rPr>
      </w:pPr>
      <w:r>
        <w:rPr>
          <w:noProof/>
        </w:rPr>
        <w:t>Direktiva Evropskega parlamenta in Sveta 98/70/ES z dne 13. oktobra 1998 o kakovosti motornega bencina in dizelskega goriva ter spremembi Direktive 93/12/EGS (UL L 350, 28.12.1998, str. 58–68);</w:t>
      </w:r>
    </w:p>
    <w:p>
      <w:pPr>
        <w:pStyle w:val="NumPar1"/>
        <w:rPr>
          <w:noProof/>
        </w:rPr>
      </w:pPr>
      <w:r>
        <w:rPr>
          <w:noProof/>
        </w:rPr>
        <w:t>Direktiva 2000/14/ES Evropskega parlamenta in Sveta z dne 8. maja 2000 o približevanju zakonodaje držav članic v zvezi z emisijo hrupa v okolje, ki ga povzroča oprema, ki se uporablja na prostem (UL L 162, 3.7.2000, str. 1–78);</w:t>
      </w:r>
    </w:p>
    <w:p>
      <w:pPr>
        <w:pStyle w:val="NumPar1"/>
        <w:rPr>
          <w:noProof/>
        </w:rPr>
      </w:pPr>
      <w:r>
        <w:rPr>
          <w:noProof/>
        </w:rPr>
        <w:t>Direktiva 2000/53/ES Evropskega parlamenta in Sveta z dne 18. septembra 2000 o izrabljenih vozilih (UL L 269, 21.10.2000, str. 34–43);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 2003/2003 Evropskega parlamenta in Sveta z dne 13. oktobra 2003 o gnojilih (UL L 304, 21.11.2003, str. 1–194);  </w:t>
      </w:r>
    </w:p>
    <w:p>
      <w:pPr>
        <w:pStyle w:val="NumPar1"/>
        <w:rPr>
          <w:noProof/>
        </w:rPr>
      </w:pPr>
      <w:r>
        <w:rPr>
          <w:noProof/>
        </w:rPr>
        <w:t>Uredba (ES) št. 273/2004 Evropskega parlamenta in Sveta z dne 11. februarja 2004 o predhodnih sestavinah pri prepovedanih drogah (UL L 47, 18.2.2004, str. 1–10 );</w:t>
      </w:r>
    </w:p>
    <w:p>
      <w:pPr>
        <w:pStyle w:val="NumPar1"/>
        <w:rPr>
          <w:noProof/>
        </w:rPr>
      </w:pPr>
      <w:r>
        <w:rPr>
          <w:noProof/>
        </w:rPr>
        <w:t>Uredba (ES) št. 552/2004 Evropskega parlamenta in Sveta z dne 10. marca 2004 o interoperabilnosti evropske mreže za upravljanje zračnega prometa (uredba o interoperabilnosti) (UL L 96, 31.3.2004, str. 26–42);</w:t>
      </w:r>
    </w:p>
    <w:p>
      <w:pPr>
        <w:pStyle w:val="NumPar1"/>
        <w:rPr>
          <w:noProof/>
        </w:rPr>
      </w:pPr>
      <w:r>
        <w:rPr>
          <w:noProof/>
        </w:rPr>
        <w:t>Uredba (ES) št. 648/2004 Evropskega parlamenta in Sveta z dne 31. marca 2004 o detergentih (UL L 104, 8.4.2004, str. 1–35);</w:t>
      </w:r>
    </w:p>
    <w:p>
      <w:pPr>
        <w:pStyle w:val="NumPar1"/>
        <w:rPr>
          <w:noProof/>
        </w:rPr>
      </w:pPr>
      <w:r>
        <w:rPr>
          <w:noProof/>
        </w:rPr>
        <w:t xml:space="preserve">Uredba Evropskega parlamenta in Sveta (ES) št. 850/2004 z dne 29. aprila 2004 o obstojnih organskih onesnaževalih in spremembi Direktive 79/117/EGS (UL L 158, 30.4.2004, str. 7–49);  </w:t>
      </w:r>
    </w:p>
    <w:p>
      <w:pPr>
        <w:pStyle w:val="NumPar1"/>
        <w:rPr>
          <w:noProof/>
        </w:rPr>
      </w:pPr>
      <w:r>
        <w:rPr>
          <w:noProof/>
        </w:rPr>
        <w:t>Direktiva 2004/42/ES Evropskega parlamenta in Sveta z dne 21. aprila 2004 o omejevanju emisij hlapnih organskih spojin zaradi uporabe organskih topil v nekaterih barvah in lakih in proizvodih za ličenje vozil ter o spremembi Direktive 1999/13/ES (UL L 143, 30.4.2004, str. 87–96);</w:t>
      </w:r>
    </w:p>
    <w:p>
      <w:pPr>
        <w:pStyle w:val="NumPar1"/>
        <w:rPr>
          <w:noProof/>
        </w:rPr>
      </w:pPr>
      <w:r>
        <w:rPr>
          <w:noProof/>
        </w:rPr>
        <w:t xml:space="preserve">Direktiva Evropskega parlamenta in Sveta 2004/52/ES z dne 29. aprila 2004 o interoperabilnosti elektronskih cestninskih sistemov v Skupnosti (UL L 200, 7.6.2004, str. 50–57); </w:t>
      </w:r>
    </w:p>
    <w:p>
      <w:pPr>
        <w:pStyle w:val="NumPar1"/>
        <w:rPr>
          <w:noProof/>
        </w:rPr>
      </w:pPr>
      <w:r>
        <w:rPr>
          <w:noProof/>
        </w:rPr>
        <w:t>Direktiva Evropskega parlamenta in Sveta 2005/64/ES z dne 26. oktobra 2005 o homologaciji motornih vozil glede na njihovo ponovno uporabnost, možnost recikliranja in predelave ter o spremembi Direktive Sveta 70/156/EGS (UL L 310, 25.11.2005, str. 10–27);</w:t>
      </w:r>
    </w:p>
    <w:p>
      <w:pPr>
        <w:pStyle w:val="NumPar1"/>
        <w:rPr>
          <w:noProof/>
        </w:rPr>
      </w:pPr>
      <w:r>
        <w:rPr>
          <w:noProof/>
        </w:rPr>
        <w:t>Direktiva 2006/42/ES Evropskega parlamenta in Sveta z dne 17. maja 2006 o strojih in spremembah Direktive 95/16/ES (UL L 157, 9.6.2006, str. 24–86);</w:t>
      </w:r>
    </w:p>
    <w:p>
      <w:pPr>
        <w:pStyle w:val="NumPar1"/>
        <w:rPr>
          <w:noProof/>
        </w:rPr>
      </w:pPr>
      <w:r>
        <w:rPr>
          <w:noProof/>
        </w:rPr>
        <w:t xml:space="preserve">Direktiva 2006/40/ES Evropskega parlamenta in Sveta z dne 17. maja 2006 o emisijah iz klimatskih naprav v motornih vozilih in spremembi Direktive Sveta 70/156/EGS (UL L 161, 14.6.2006, str. 12–18); </w:t>
      </w:r>
    </w:p>
    <w:p>
      <w:pPr>
        <w:pStyle w:val="NumPar1"/>
        <w:rPr>
          <w:noProof/>
        </w:rPr>
      </w:pPr>
      <w:r>
        <w:rPr>
          <w:noProof/>
        </w:rPr>
        <w:t>Direktiva 2006/66/ES Evropskega parlamenta in Sveta z dne 6. septembra 2006 o baterijah in akumulatorjih ter odpadnih baterijah in akumulatorjih in razveljavitvi Direktive 91/157/EGS (UL L 266, 26.9.2006, str. 1–14);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 1907/2006 Evropskega parlamenta in Sveta z dne 18. decembra 2006 o registraciji, evalvaciji, avtorizaciji in omejevanju kemikalij (REACH) ter o ustanovitvi Evropske agencije za kemikalije in o spremembi Direktive 1999/45/ES ter o razveljavitvi Uredbe Sveta (EGS) št. 793/93 in Uredbe Komisije (ES) št. 1488/94 ter Direktive Sveta 76/769/EGS in direktiv Komisije 91/155/EGS, 93/67/EGS, 93/105/ES in 2000/21/ES (UL L 396, 30.12.2006, str. 1); </w:t>
      </w:r>
    </w:p>
    <w:p>
      <w:pPr>
        <w:pStyle w:val="NumPar1"/>
        <w:rPr>
          <w:noProof/>
        </w:rPr>
      </w:pPr>
      <w:r>
        <w:rPr>
          <w:noProof/>
        </w:rPr>
        <w:t xml:space="preserve">Uredba (ES) št. 715/2007 Evropskega parlamenta in Sveta z dne 20. junija 2007 o homologaciji motornih vozil glede na emisije iz lahkih potniških in gospodarskih vozil (Euro 5 in Euro 6) in o dostopu do informacij o popravilu in vzdrževanju vozil (UL L 171, 29.6.2007, str. 1–16); </w:t>
      </w:r>
    </w:p>
    <w:p>
      <w:pPr>
        <w:pStyle w:val="NumPar1"/>
        <w:rPr>
          <w:noProof/>
        </w:rPr>
      </w:pPr>
      <w:r>
        <w:rPr>
          <w:noProof/>
        </w:rPr>
        <w:t>Direktiva 2007/45/ES Evropskega parlamenta in Sveta z dne 5. septembra 2007 o določitvi predpisov v zvezi z nazivnimi količinami predpakiranih proizvodov, razveljavitvi direktiv Sveta 75/106/EGS in 80/232/EGS ter spremembi Direktive Sveta 76/211/EGS (UL L 247, 21.9.2007, str. 17–20);</w:t>
      </w:r>
    </w:p>
    <w:p>
      <w:pPr>
        <w:pStyle w:val="NumPar1"/>
        <w:rPr>
          <w:noProof/>
        </w:rPr>
      </w:pPr>
      <w:r>
        <w:rPr>
          <w:noProof/>
        </w:rPr>
        <w:t xml:space="preserve">Direktiva 2007/46/ES Evropskega parlamenta in Sveta z dne 5. septembra 2007 o vzpostavitvi okvira za odobritev motornih in priklopnih vozil ter sistemov, sestavnih delov in samostojnih tehničnih enot, namenjenih za taka vozila (UL L 263, 9.10.2007, str. 1–160);  </w:t>
      </w:r>
    </w:p>
    <w:p>
      <w:pPr>
        <w:pStyle w:val="NumPar1"/>
        <w:rPr>
          <w:noProof/>
        </w:rPr>
      </w:pPr>
      <w:r>
        <w:rPr>
          <w:noProof/>
        </w:rPr>
        <w:t>Direktiva 2008/2/ES Evropskega parlamenta in Sveta z dne 15. januarja 2008 o vidnem polju in brisalcih vetrobranskega stekla za kmetijske ali gozdarske traktorje na kolesih (Kodificirana različica) (UL L 24, 29.1.2008, str. 30–38);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 1272/2008 Evropskega parlamenta in Sveta z dne 16. decembra 2008 o razvrščanju, označevanju in pakiranju snovi ter zmesi, o spremembi in razveljavitvi direktiv 67/548/EGS in 1999/45/ES ter spremembi Uredbe (ES) št. 1907/2006 (UL L 353, 31.12.2008, str. 1–1355); 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 78/2009 Evropskega parlamenta in Sveta z dne 14. januarja 2009 o homologaciji motornih vozil glede zaščite pešcev in drugih izpostavljenih udeležencev v cestnem prometu, o spremembi Direktive 2007/46/ES in razveljavitvi direktiv 2003/102/ES in 2005/66/ES (UL L 35, 4.2.2009, str. 1–31); </w:t>
      </w:r>
    </w:p>
    <w:p>
      <w:pPr>
        <w:pStyle w:val="NumPar1"/>
        <w:rPr>
          <w:noProof/>
        </w:rPr>
      </w:pPr>
      <w:r>
        <w:rPr>
          <w:noProof/>
        </w:rPr>
        <w:t>Uredba (ES) št. 79/2009 Evropskega parlamenta in Sveta z dne 14. januarja 2009 o homologaciji motornih vozil s pogonom na vodik in spremembi Direktive 2007/46/ES (UL L 35, 4.2.2009, str. 32–46);</w:t>
      </w:r>
    </w:p>
    <w:p>
      <w:pPr>
        <w:pStyle w:val="NumPar1"/>
        <w:rPr>
          <w:noProof/>
        </w:rPr>
      </w:pPr>
      <w:r>
        <w:rPr>
          <w:noProof/>
        </w:rPr>
        <w:t xml:space="preserve">Direktiva 2009/34/ES Evropskega parlamenta in Sveta z dne 23. aprila 2009 o skupnih določbah za merilne instrumente in metode meroslovne kontrole (UL L 106, 28.4.2009, str. 7–24); </w:t>
      </w:r>
    </w:p>
    <w:p>
      <w:pPr>
        <w:pStyle w:val="NumPar1"/>
        <w:rPr>
          <w:noProof/>
        </w:rPr>
      </w:pPr>
      <w:r>
        <w:rPr>
          <w:noProof/>
        </w:rPr>
        <w:t>Direktiva 2009/48/ES Evropskega parlamenta in Sveta z dne 18. junija 2009 o varnosti igrač (UL L 170, 30.6.2009, str. 1–37);</w:t>
      </w:r>
    </w:p>
    <w:p>
      <w:pPr>
        <w:pStyle w:val="NumPar1"/>
        <w:rPr>
          <w:noProof/>
        </w:rPr>
      </w:pPr>
      <w:r>
        <w:rPr>
          <w:noProof/>
        </w:rPr>
        <w:t>Uredba (ES) št. 595/2009 Evropskega parlamenta in Sveta z dne 18. junija 2009 o homologaciji motornih vozil in motorjev glede na emisije iz težkih vozil (Euro VI) in o dostopu do informacij o popravilu in vzdrževanju vozil ter o spremembi Uredbe (ES) št. 715/2007 in Direktive 2007/46/ES ter o razveljavitvi direktiv 80/1269/EGS, 2005/55/ES in 2005/78/ES (UL L 188, 18.7.2009, str. 1–13);</w:t>
      </w:r>
    </w:p>
    <w:p>
      <w:pPr>
        <w:pStyle w:val="NumPar1"/>
        <w:rPr>
          <w:noProof/>
        </w:rPr>
      </w:pPr>
      <w:r>
        <w:rPr>
          <w:noProof/>
        </w:rPr>
        <w:t xml:space="preserve">Uredba (ES) št. 661/2009 Evropskega parlamenta in Sveta z dne 13. julija 2009 o zahtevah za homologacijo za splošno varnost motornih vozil, njihovih priklopnikov ter sistemov, sestavnih delov in samostojnih tehničnih enot, namenjenih za taka vozila (UL L 200, 31.7.2009, str. 1–24);  </w:t>
      </w:r>
    </w:p>
    <w:p>
      <w:pPr>
        <w:pStyle w:val="NumPar1"/>
        <w:rPr>
          <w:noProof/>
        </w:rPr>
      </w:pPr>
      <w:r>
        <w:rPr>
          <w:noProof/>
        </w:rPr>
        <w:t>Direktiva 2009/125/ES Evropskega parlamenta in Sveta z dne 21. oktobra 2009 o vzpostavitvi okvira za določanje zahtev za okoljsko primerno zasnovo izdelkov, povezanih z energijo (UL L 285, 31.10.2009, str. 10–35);</w:t>
      </w:r>
    </w:p>
    <w:p>
      <w:pPr>
        <w:pStyle w:val="NumPar1"/>
        <w:rPr>
          <w:noProof/>
        </w:rPr>
      </w:pPr>
      <w:r>
        <w:rPr>
          <w:noProof/>
        </w:rPr>
        <w:t>Uredba (ES) št. 1005/2009 Evropskega parlamenta in Sveta z dne 16. septembra 2009 o snoveh, ki tanjšajo ozonski plašč (UL L 286, 31.10.2009, str. 1–30);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 1222/2009 Evropskega parlamenta in Sveta z dne 25. novembra 2009 o označevanju pnevmatik glede na izkoristek goriva in druge bistvene parametre (UL L 342, 22.12.2009, str. 46–58); </w:t>
      </w:r>
    </w:p>
    <w:p>
      <w:pPr>
        <w:pStyle w:val="NumPar1"/>
        <w:rPr>
          <w:noProof/>
        </w:rPr>
      </w:pPr>
      <w:r>
        <w:rPr>
          <w:noProof/>
        </w:rPr>
        <w:t>Uredba (ES) št. 1223/2009 Evropskega parlamenta in Sveta z dne 30. novembra 2009 o kozmetičnih izdelkih (UL L 342, 22.12.2009, str. 59–209);</w:t>
      </w:r>
    </w:p>
    <w:p>
      <w:pPr>
        <w:pStyle w:val="NumPar1"/>
        <w:rPr>
          <w:noProof/>
        </w:rPr>
      </w:pPr>
      <w:r>
        <w:rPr>
          <w:noProof/>
        </w:rPr>
        <w:t xml:space="preserve">Uredba (ES) št. 66/2010 Evropskega parlamenta in Sveta z dne 25. novembra 2009 o znaku EU za okolje (UL L 27, 30.1.2010, str. 1–19); </w:t>
      </w:r>
    </w:p>
    <w:p>
      <w:pPr>
        <w:pStyle w:val="NumPar1"/>
        <w:rPr>
          <w:noProof/>
        </w:rPr>
      </w:pPr>
      <w:r>
        <w:rPr>
          <w:noProof/>
        </w:rPr>
        <w:t>Direktiva 2010/35/EU Evropskega parlamenta in Sveta z dne 16. junija 2010 o premični tlačni opremi in o razveljavitvi direktiv Sveta 76/767/EGS, 84/525/EGS, 84/526/EGS, 84/527/EGS in 1999/36/ES (UL L 165, 30.6.2010, str. 1–18);</w:t>
      </w:r>
    </w:p>
    <w:p>
      <w:pPr>
        <w:pStyle w:val="NumPar1"/>
        <w:rPr>
          <w:noProof/>
        </w:rPr>
      </w:pPr>
      <w:r>
        <w:rPr>
          <w:noProof/>
        </w:rPr>
        <w:t>Uredba (EU) št. 305/2011 Evropskega parlamenta in Sveta z dne 9. marca 2011 o določitvi usklajenih pogojev za trženje gradbenih proizvodov in razveljavitvi Direktive Sveta 89/106/EGS (UL L 88, 4.4.2011, str. 5–43);</w:t>
      </w:r>
    </w:p>
    <w:p>
      <w:pPr>
        <w:pStyle w:val="NumPar1"/>
        <w:rPr>
          <w:noProof/>
        </w:rPr>
      </w:pPr>
      <w:r>
        <w:rPr>
          <w:noProof/>
        </w:rPr>
        <w:t>Direktiva 2011/65/EU Evropskega parlamenta in Sveta z dne 8. junija 2011 o omejevanju uporabe nekaterih nevarnih snovi v električni in elektronski opremi (UL L 174, 1.7.2011, str. 88–110);</w:t>
      </w:r>
    </w:p>
    <w:p>
      <w:pPr>
        <w:pStyle w:val="NumPar1"/>
        <w:rPr>
          <w:noProof/>
        </w:rPr>
      </w:pPr>
      <w:r>
        <w:rPr>
          <w:noProof/>
        </w:rPr>
        <w:t>Uredba (EU) št. 1007/2011 Evropskega parlamenta in Sveta z dne 27. septembra 2011 o imenih tekstilnih vlaken in s tem povezanim etiketiranjem in označevanjem surovinske sestave tekstilnih izdelkov ter razveljavitvi Direktive Sveta 73/44/EGS in direktiv 96/73/ES in 2008/121/ES Evropskega parlamenta in Sveta (UL L 272, 18.10.2011, str. 1–64);</w:t>
      </w:r>
    </w:p>
    <w:p>
      <w:pPr>
        <w:pStyle w:val="NumPar1"/>
        <w:rPr>
          <w:noProof/>
        </w:rPr>
      </w:pPr>
      <w:r>
        <w:rPr>
          <w:noProof/>
        </w:rPr>
        <w:t>Uredba (EU) št. 528/2012 Evropskega parlamenta in Sveta z dne 22. maja 2012 o dostopnosti na trgu in uporabi biocidnih proizvodov (UL L 167, 27.6.2012, str. 1–123);</w:t>
      </w:r>
    </w:p>
    <w:p>
      <w:pPr>
        <w:pStyle w:val="NumPar1"/>
        <w:rPr>
          <w:noProof/>
        </w:rPr>
      </w:pPr>
      <w:r>
        <w:rPr>
          <w:noProof/>
        </w:rPr>
        <w:t>Direktiva 2012/19/EU Evropskega parlamenta in Sveta z dne 4. julija 2012 o odpadni električni in elektronski opremi (OEEO) (UL L 197, 24.7.2012, str. 38–71);</w:t>
      </w:r>
    </w:p>
    <w:p>
      <w:pPr>
        <w:pStyle w:val="NumPar1"/>
        <w:rPr>
          <w:noProof/>
        </w:rPr>
      </w:pPr>
      <w:r>
        <w:rPr>
          <w:noProof/>
        </w:rPr>
        <w:t xml:space="preserve">Uredba (EU) št. 167/2013 Evropskega parlamenta in Sveta z dne 5. februarja 2013 o odobritvi in tržnem nadzoru kmetijskih in gozdarskih vozil (UL L 60, 2.3.2013, str. 1–51); </w:t>
      </w:r>
    </w:p>
    <w:p>
      <w:pPr>
        <w:pStyle w:val="NumPar1"/>
        <w:rPr>
          <w:noProof/>
        </w:rPr>
      </w:pPr>
      <w:r>
        <w:rPr>
          <w:noProof/>
        </w:rPr>
        <w:t>Uredba (EU) št. 168/2013 Evropskega parlamenta in Sveta z dne 15. januarja 2013 o odobritvi in tržnem nadzoru dvo- ali trikolesnih vozil in štirikolesnikov (UL L 60, 2.3.2013, str. 52–128);</w:t>
      </w:r>
    </w:p>
    <w:p>
      <w:pPr>
        <w:pStyle w:val="NumPar1"/>
        <w:rPr>
          <w:noProof/>
        </w:rPr>
      </w:pPr>
      <w:r>
        <w:rPr>
          <w:noProof/>
        </w:rPr>
        <w:t>Direktiva 2013/29/EU Evropskega parlamenta in Sveta z dne 12. junija 2013 o harmonizaciji zakonodaj držav članic v zvezi z dostopnostjo pirotehničnih izdelkov na trgu (UL L 178, 28.6.2013, str. 27–65);</w:t>
      </w:r>
    </w:p>
    <w:p>
      <w:pPr>
        <w:pStyle w:val="NumPar1"/>
        <w:rPr>
          <w:noProof/>
        </w:rPr>
      </w:pPr>
      <w:r>
        <w:rPr>
          <w:noProof/>
        </w:rPr>
        <w:t xml:space="preserve">Direktiva 2013/53/EU Evropskega parlamenta in Sveta z dne 20. novembra 2013 o plovilih za rekreacijo in osebnih plovilih ter razveljavitvi Direktive 94/25/ES (UL L 354, 28.12.2013, str. 90–131);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2014/28/EU Evropskega parlamenta in Sveta z dne 26. februarja 2014 o harmonizaciji zakonodaj držav članic v zvezi z omogočanjem dostopnosti eksplozivov za civilno uporabo na trgu in njihovim nadzorom (UL L 96, 29.3.2014, str. 1–44); </w:t>
      </w:r>
    </w:p>
    <w:p>
      <w:pPr>
        <w:pStyle w:val="NumPar1"/>
        <w:rPr>
          <w:noProof/>
        </w:rPr>
      </w:pPr>
      <w:r>
        <w:rPr>
          <w:noProof/>
        </w:rPr>
        <w:t>Direktiva 2014/29/EU Evropskega parlamenta in Sveta z dne 26. februarja 2014 o harmonizaciji zakonodaj držav članic v zvezi z omogočanjem dostopnosti enostavnih tlačnih posod na trgu (UL L 96, 29.3.2014, str. 45–78);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2014/30/EU Evropskega parlamenta in Sveta z dne 26. februarja 2014 o harmonizaciji zakonodaj držav članic v zvezi z elektromagnetno združljivostjo (UL L 96, 29.3.2014, str. 79–106);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2014/31/EU Evropskega parlamenta in Sveta z dne 26. februarja 2014 o harmonizaciji zakonodaj držav članic v zvezi z omogočanjem dostopnosti neavtomatskih tehtnic na trgu (UL L 96, 29.3.2014, str. 107–148);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2014/32/EU Evropskega parlamenta in Sveta z dne 26. februarja 2014o harmonizaciji zakonodaj držav članic v zvezi z dostopnostjo merilnih instrumentov na trgu (UL L 96, 29.3.2014, str. 149–250);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2014/33/EU Evropskega parlamenta in Sveta z dne 26. februarja 2014 o harmonizaciji zakonodaje držav članic v zvezi z dvigali in varnostnimi komponentami za dvigala (UL L 96, 29.3.2014, str. 251–308);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2014/34/EU Evropskega parlamenta in Sveta z dne 26. februarja 2014 o harmonizaciji zakonodaj držav članic v zvezi z opremo in zaščitnimi sistemi, namenjenimi za uporabo v potencialno eksplozivnih atmosferah (UL L 96, 29.3.2014, str. 309–356); </w:t>
      </w:r>
    </w:p>
    <w:p>
      <w:pPr>
        <w:pStyle w:val="NumPar1"/>
        <w:rPr>
          <w:noProof/>
        </w:rPr>
      </w:pPr>
      <w:r>
        <w:rPr>
          <w:noProof/>
        </w:rPr>
        <w:t xml:space="preserve">Direktiva 2014/35/EU Evropskega parlamenta in Sveta z dne 26. februarja 2014 o harmonizaciji zakonodaj držav članic v zvezi z omogočanjem dostopnosti na trgu električne opreme, ki je načrtovana za uporabo znotraj določenih napetostnih mej (UL L 96, 29.3.2014, str. 357–374); </w:t>
      </w:r>
    </w:p>
    <w:p>
      <w:pPr>
        <w:pStyle w:val="NumPar1"/>
        <w:rPr>
          <w:noProof/>
        </w:rPr>
      </w:pPr>
      <w:r>
        <w:rPr>
          <w:noProof/>
        </w:rPr>
        <w:t>Direktiva 2014/53/EU Evropskega parlamenta in Sveta z dne 16. aprila 2014 o harmonizaciji zakonodaj držav članic v zvezi z dostopnostjo radijske opreme na trgu in razveljavitvi Direktive 1999/5/ES (UL L 153, 22.5.2014, str. 62–106);</w:t>
      </w:r>
    </w:p>
    <w:p>
      <w:pPr>
        <w:pStyle w:val="NumPar1"/>
        <w:rPr>
          <w:noProof/>
        </w:rPr>
      </w:pPr>
      <w:r>
        <w:rPr>
          <w:noProof/>
        </w:rPr>
        <w:t>Direktiva 2014/68/EU Evropskega parlamenta in Sveta z dne 15. maja 2014 o harmonizaciji zakonodaje držav članic v zvezi z omogočanjem dostopnosti tlačne opreme na trgu (UL L 189, 27.6.2014, str. 164–259);</w:t>
      </w:r>
    </w:p>
    <w:p>
      <w:pPr>
        <w:pStyle w:val="NumPar1"/>
        <w:rPr>
          <w:noProof/>
        </w:rPr>
      </w:pPr>
      <w:r>
        <w:rPr>
          <w:noProof/>
        </w:rPr>
        <w:t>Direktiva 2014/90/EU Evropskega parlamenta in Sveta z dne 23. julija 2014 o pomorski opremi in razveljavitvi Direktive Sveta 96/98/ES (UL L 257, 28.8.2014, str. 146–185);</w:t>
      </w:r>
    </w:p>
    <w:p>
      <w:pPr>
        <w:pStyle w:val="NumPar1"/>
        <w:rPr>
          <w:noProof/>
        </w:rPr>
      </w:pPr>
      <w:r>
        <w:rPr>
          <w:noProof/>
        </w:rPr>
        <w:t xml:space="preserve">Uredba (EU) št. 517/2014 Evropskega parlamenta in Sveta z dne 16. aprila 2014 o fluoriranih toplogrednih plinih in razveljavitvi Uredbe (ES) št. 842/2006 (UL L 150, 20.5.2014, str. 195–230); </w:t>
      </w:r>
    </w:p>
    <w:p>
      <w:pPr>
        <w:pStyle w:val="NumPar1"/>
        <w:rPr>
          <w:noProof/>
        </w:rPr>
      </w:pPr>
      <w:r>
        <w:rPr>
          <w:noProof/>
        </w:rPr>
        <w:t>Uredba (EU) št. 540/2014 Evropskega parlamenta in Sveta z dne 16. aprila 2014 o ravni hrupa motornih vozil in nadomestnih sistemov za dušenje zvoka ter o spremembi Direktive 2007/46/ES ter razveljavitvi Direktive 70/157/EGS (UL L 158, 27.5.2014, str. 131–195);</w:t>
      </w:r>
    </w:p>
    <w:p>
      <w:pPr>
        <w:pStyle w:val="NumPar1"/>
        <w:rPr>
          <w:noProof/>
        </w:rPr>
      </w:pPr>
      <w:r>
        <w:rPr>
          <w:noProof/>
        </w:rPr>
        <w:t>Uredba (EU) 2016/424 Evropskega parlamenta in Sveta z dne 9. marca 2016 o žičniških napravah in razveljavitvi Direktive 2000/9/ES (UL L 81, 31.3.2016, str. 1–50);</w:t>
      </w:r>
    </w:p>
    <w:p>
      <w:pPr>
        <w:pStyle w:val="NumPar1"/>
        <w:rPr>
          <w:noProof/>
        </w:rPr>
      </w:pPr>
      <w:r>
        <w:rPr>
          <w:noProof/>
        </w:rPr>
        <w:t xml:space="preserve">Uredba (EU) 2016/425 Evropskega parlamenta in Sveta z dne 9. marca 2016 o osebni varovalni opremi in razveljavitvi Direktive Sveta 89/686/EGS (UL L 81, 31.3.2016, str. 51–98); </w:t>
      </w:r>
    </w:p>
    <w:p>
      <w:pPr>
        <w:pStyle w:val="NumPar1"/>
        <w:rPr>
          <w:noProof/>
        </w:rPr>
      </w:pPr>
      <w:r>
        <w:rPr>
          <w:noProof/>
        </w:rPr>
        <w:t>Uredba (EU) 2016/426 Evropskega parlamenta in Sveta z dne 9. marca 2016 o napravah, v katerih zgoreva plinasto gorivo, in razveljavitvi Direktive 2009/142/ES (UL L 81, 31.3.2016, str. 99–147);</w:t>
      </w:r>
    </w:p>
    <w:p>
      <w:pPr>
        <w:pStyle w:val="NumPar1"/>
        <w:rPr>
          <w:noProof/>
        </w:rPr>
      </w:pPr>
      <w:r>
        <w:rPr>
          <w:noProof/>
        </w:rPr>
        <w:t>Uredba (EU) 2017/745 Evropskega parlamenta in Sveta z dne 5. aprila 2017 o medicinskih pripomočkih, spremembi Direktive 2001/83/ES, Uredbe (ES) št. 178/2002 in Uredbe (ES) št. 1223/2009 ter razveljavitvi direktiv Sveta 90/385/EGS in 93/42/EGS (UL L 117, 5.5.2017, str. 1–175);</w:t>
      </w:r>
    </w:p>
    <w:p>
      <w:pPr>
        <w:pStyle w:val="NumPar1"/>
        <w:rPr>
          <w:noProof/>
        </w:rPr>
      </w:pPr>
      <w:r>
        <w:rPr>
          <w:noProof/>
        </w:rPr>
        <w:t xml:space="preserve">Uredba (EU) 2017/746 Evropskega parlamenta in Sveta z dne 5. aprila 2017 o </w:t>
      </w:r>
      <w:r>
        <w:rPr>
          <w:i/>
          <w:noProof/>
        </w:rPr>
        <w:t>in vitro</w:t>
      </w:r>
      <w:r>
        <w:rPr>
          <w:noProof/>
        </w:rPr>
        <w:t xml:space="preserve"> diagnostičnih medicinskih pripomočkih ter razveljavitvi Direktive 98/79/ES in Sklepa Komisije 2010/227/EU (UL L 117, 5.5.2017, str. 176–332);</w:t>
      </w:r>
    </w:p>
    <w:p>
      <w:pPr>
        <w:pStyle w:val="NumPar1"/>
        <w:rPr>
          <w:noProof/>
        </w:rPr>
      </w:pPr>
      <w:r>
        <w:rPr>
          <w:noProof/>
        </w:rPr>
        <w:t>Uredba (EU) 2017/852 Evropskega parlamenta in Sveta z dne 17. maja 2017 o živem srebru in razveljavitvi Uredbe (ES) št. 1102/2008 (UL L 137, 24.5.2017, str. 1–21);</w:t>
      </w:r>
    </w:p>
    <w:p>
      <w:pPr>
        <w:pStyle w:val="NumPar1"/>
        <w:rPr>
          <w:noProof/>
        </w:rPr>
      </w:pPr>
      <w:r>
        <w:rPr>
          <w:noProof/>
        </w:rPr>
        <w:t>Uredba (EU) 2017/1369 Evropskega parlamenta in Sveta z dne 4. julija 2017 o vzpostavitvi okvira za označevanje z energijskimi nalepkami in razveljavitvi Direktive 2010/30/EU (UL L 198, 28.7.2017, str. 1–23).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300F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B87D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BB8CD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C8A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14E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E8E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8E4D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0EB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58B6119"/>
    <w:multiLevelType w:val="multilevel"/>
    <w:tmpl w:val="5FE2D7D4"/>
    <w:lvl w:ilvl="0">
      <w:start w:val="1"/>
      <w:numFmt w:val="decimal"/>
      <w:pStyle w:val="Manu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1"/>
  </w:num>
  <w:num w:numId="28">
    <w:abstractNumId w:val="11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22 14:10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EDLOG UREDBE EVROPSKEGA PARLAMENTA IN SVETA"/>
    <w:docVar w:name="LW_ACCOMPAGNANT.CP" w:val="PREDLOG UREDBE EVROPSKEGA PARLAMENTA IN SVET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79EA4D05-90E1-4DAB-97C6-D60D5B580296"/>
    <w:docVar w:name="LW_COVERPAGE_TYPE" w:val="1"/>
    <w:docVar w:name="LW_CROSSREFERENCE" w:val="{SWD(2017) 466 final}_x000b_{SWD(2017) 467 final}_x000b_{SWD(2017) 468 final}_x000b_{SWD(2017) 469 final}_x000b_{SWD(2017) 470 final}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Bruselj,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o dolo\u269?itvi pravil in postopkov za skladnost s harmonizacijsko zakonodajo Unije o izdelkih in njeno izvr\u353?evanje ter spremembi uredb (EU) \u353?t.&lt;LWCR:NBS&gt;305/2011, (EU) \u353?t.&lt;LWCR:NBS&gt;528/2012, (EU) 2016/424, (EU) 2016/425, (EU) 2016/426 in (EU) 2017/1369 Evropskega parlamenta in Sveta ter direktiv 2004/42/ES, 2009/48/ES, 2010/35/EU, 2013/29/EU, 2013/53/EU, 2014/28/EU, 2014/29/EU, 2014/30/EU, 2014/31/EU, 2014/32/EU, 2014/33/EU, 2014/34/EU, 2014/35/EU, 2014/53/EU, 2014/68/EU in 2014/90/EU Evropskega parlamenta in Sveta_x000b_"/>
    <w:docVar w:name="LW_TYPEACTEPRINCIPAL.CP" w:val="o dolo\u269?itvi pravil in postopkov za skladnost s harmonizacijsko zakonodajo Unije o izdelkih in njeno izvr\u353?evanje ter spremembi uredb (EU) \u353?t. 305/2011, (EU) \u353?t. 528/2012, (EU) 2016/424, (EU) 2016/425, (EU) 2016/426 in (EU) 2017/1369 Evropskega parlamenta in Sveta ter direktiv 2004/42/ES, 2009/48/ES, 2010/35/EU, 2013/29/EU, 2013/53/EU, 2014/28/EU, 2014/29/EU, 2014/30/EU, 2014/31/EU, 2014/32/EU, 2014/33/EU, 2014/34/EU, 2014/35/EU, 2014/53/EU, 2014/68/EU in 2014/90/EU Evropskega parlamenta in Svet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6780-306D-4AB3-B311-75180F0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2301</Words>
  <Characters>12520</Characters>
  <Application>Microsoft Office Word</Application>
  <DocSecurity>0</DocSecurity>
  <Lines>219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VOUNASI Stamatia (GROW)</dc:creator>
  <cp:lastModifiedBy>DIGIT/A3</cp:lastModifiedBy>
  <cp:revision>8</cp:revision>
  <cp:lastPrinted>2017-10-09T13:02:00Z</cp:lastPrinted>
  <dcterms:created xsi:type="dcterms:W3CDTF">2018-01-19T09:34:00Z</dcterms:created>
  <dcterms:modified xsi:type="dcterms:W3CDTF">2018-01-22T13:10:00Z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Classification">
    <vt:lpwstr> </vt:lpwstr>
  </property>
  <property fmtid="{D5CDD505-2E9C-101B-9397-08002B2CF9AE}" pid="14" name="DQCStatus">
    <vt:lpwstr>Green (DQC version 03)</vt:lpwstr>
  </property>
</Properties>
</file>