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FFB1CD2-503D-4722-ABB4-F6BF9FC332A7" style="width:450.75pt;height:474.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BIJLAGE</w:t>
      </w:r>
    </w:p>
    <w:p>
      <w:pPr>
        <w:pStyle w:val="Annexetitreexpos"/>
        <w:rPr>
          <w:noProof/>
        </w:rPr>
      </w:pPr>
      <w:r>
        <w:rPr>
          <w:noProof/>
        </w:rPr>
        <w:t>Lijst van harmonisatiewetgeving van de Unie</w:t>
      </w:r>
    </w:p>
    <w:p>
      <w:pPr>
        <w:pStyle w:val="NumPar1"/>
        <w:numPr>
          <w:ilvl w:val="0"/>
          <w:numId w:val="6"/>
        </w:numPr>
        <w:rPr>
          <w:noProof/>
        </w:rPr>
      </w:pPr>
      <w:r>
        <w:rPr>
          <w:noProof/>
        </w:rPr>
        <w:t>Richtlijn 69/493/EEG van de Raad van 15 december 1969 betreffende de onderlinge aanpassing van de wetgevingen van de lidstaten inzake kristalglas (PB L 326 van 29.12.1969, blz. 599)</w:t>
      </w:r>
    </w:p>
    <w:p>
      <w:pPr>
        <w:pStyle w:val="NumPar1"/>
        <w:rPr>
          <w:noProof/>
        </w:rPr>
      </w:pPr>
      <w:r>
        <w:rPr>
          <w:noProof/>
        </w:rPr>
        <w:t>Richtlijn 70/157/EEG van de Raad van 6 februari 1970 inzake de onderlinge aanpassing van de wetgevingen van de lidstaten betreffende het toegestane geluidsniveau en de uitlaatinrichting van motorvoertuigen (PB L 42 van 23.2.1970, blz. 16</w:t>
      </w:r>
      <w:r>
        <w:rPr>
          <w:noProof/>
        </w:rPr>
        <w:noBreakHyphen/>
        <w:t>20)</w:t>
      </w:r>
    </w:p>
    <w:p>
      <w:pPr>
        <w:pStyle w:val="NumPar1"/>
        <w:rPr>
          <w:noProof/>
        </w:rPr>
      </w:pPr>
      <w:r>
        <w:rPr>
          <w:noProof/>
        </w:rPr>
        <w:t>Richtlijn 75/107/EEG van de Raad van 19 december 1974 betreffende de onderlinge aanpassing van de wetgevingen der lidstaten inzake flessen, gebruikt als tapmaat (PB L 42 van 15.2.1975, blz. 14</w:t>
      </w:r>
      <w:r>
        <w:rPr>
          <w:noProof/>
        </w:rPr>
        <w:noBreakHyphen/>
        <w:t>20)</w:t>
      </w:r>
    </w:p>
    <w:p>
      <w:pPr>
        <w:pStyle w:val="NumPar1"/>
        <w:rPr>
          <w:noProof/>
        </w:rPr>
      </w:pPr>
      <w:r>
        <w:rPr>
          <w:noProof/>
        </w:rPr>
        <w:t>Richtlijn 75/324/EEG van de Raad van 20 mei 1975 inzake de onderlinge aanpassing van de wetgevingen van de lidstaten betreffende aerosols (PB L 147 van 9.6.1975, blz. 40</w:t>
      </w:r>
      <w:r>
        <w:rPr>
          <w:noProof/>
        </w:rPr>
        <w:noBreakHyphen/>
        <w:t>47)</w:t>
      </w:r>
    </w:p>
    <w:p>
      <w:pPr>
        <w:pStyle w:val="NumPar1"/>
        <w:rPr>
          <w:noProof/>
        </w:rPr>
      </w:pPr>
      <w:r>
        <w:rPr>
          <w:noProof/>
        </w:rPr>
        <w:t>Richtlijn 76/211/EEG van de Raad van 20 januari 1976 betreffende de onderlinge aanpassing van de wetgevingen der lidstaten inzake het voorverpakken naar gewicht of volume van bepaalde producten in voorverpakkingen (PB L 46 van 21.2.1976, blz. 1</w:t>
      </w:r>
      <w:r>
        <w:rPr>
          <w:noProof/>
        </w:rPr>
        <w:noBreakHyphen/>
        <w:t>11)</w:t>
      </w:r>
    </w:p>
    <w:p>
      <w:pPr>
        <w:pStyle w:val="NumPar1"/>
        <w:rPr>
          <w:noProof/>
        </w:rPr>
      </w:pPr>
      <w:r>
        <w:rPr>
          <w:noProof/>
        </w:rPr>
        <w:t>Richtlijn 80/181/EEG van de Raad van 20 december 1979 inzake de onderlinge aanpassing van de wetgevingen der lidstaten op het gebied van de meeteenheden, en tot intrekking van Richtlijn 71/354/EEG (PB L 39 van 15.2.1980, blz. 40</w:t>
      </w:r>
      <w:r>
        <w:rPr>
          <w:noProof/>
        </w:rPr>
        <w:noBreakHyphen/>
        <w:t>50)</w:t>
      </w:r>
    </w:p>
    <w:p>
      <w:pPr>
        <w:pStyle w:val="NumPar1"/>
        <w:rPr>
          <w:noProof/>
        </w:rPr>
      </w:pPr>
      <w:r>
        <w:rPr>
          <w:noProof/>
        </w:rPr>
        <w:t>Richtlijn 92/42/EEG van de Raad van 21 mei 1992 betreffende de rendementseisen voor nieuwe olie- en gasgestookte centraleverwarmingsketels (PB L 167 van 22.6.1992, blz. 17</w:t>
      </w:r>
      <w:r>
        <w:rPr>
          <w:noProof/>
        </w:rPr>
        <w:noBreakHyphen/>
        <w:t>28)</w:t>
      </w:r>
    </w:p>
    <w:p>
      <w:pPr>
        <w:pStyle w:val="NumPar1"/>
        <w:rPr>
          <w:noProof/>
        </w:rPr>
      </w:pPr>
      <w:r>
        <w:rPr>
          <w:noProof/>
        </w:rPr>
        <w:t>Richtlijn 94/11/EG van het Europees Parlement en de Raad van 23 maart 1994 betreffende de onderlinge aanpassing van de wettelijke en bestuursrechtelijke bepalingen van de lidstaten inzake de etikettering van de in de belangrijkste onderdelen van voor de verbruiker bestemd schoeisel gebruikte materialen (PB L 100 van 19.4.1994, blz. 37</w:t>
      </w:r>
      <w:r>
        <w:rPr>
          <w:noProof/>
        </w:rPr>
        <w:noBreakHyphen/>
        <w:t>41)</w:t>
      </w:r>
    </w:p>
    <w:p>
      <w:pPr>
        <w:pStyle w:val="NumPar1"/>
        <w:rPr>
          <w:noProof/>
        </w:rPr>
      </w:pPr>
      <w:r>
        <w:rPr>
          <w:noProof/>
        </w:rPr>
        <w:t>Richtlijn 94/62/EG van het Europees Parlement en de Raad van 20 december 1994 betreffende verpakking en verpakkingsafval (PB L 365 van 31.12.1994, blz. 10</w:t>
      </w:r>
      <w:r>
        <w:rPr>
          <w:noProof/>
        </w:rPr>
        <w:noBreakHyphen/>
        <w:t>23)</w:t>
      </w:r>
    </w:p>
    <w:p>
      <w:pPr>
        <w:pStyle w:val="NumPar1"/>
        <w:rPr>
          <w:noProof/>
        </w:rPr>
      </w:pPr>
      <w:r>
        <w:rPr>
          <w:noProof/>
        </w:rPr>
        <w:t>Richtlijn 98/70/EG van het Europees Parlement en de Raad van 13 oktober 1998 betreffende de kwaliteit van benzine en van dieselbrandstof en tot wijziging van Richtlijn 93/12/EEG van de Raad (PB L 350 van 28.12.1998, blz. 58</w:t>
      </w:r>
      <w:r>
        <w:rPr>
          <w:noProof/>
        </w:rPr>
        <w:noBreakHyphen/>
        <w:t>68)</w:t>
      </w:r>
    </w:p>
    <w:p>
      <w:pPr>
        <w:pStyle w:val="NumPar1"/>
        <w:rPr>
          <w:noProof/>
        </w:rPr>
      </w:pPr>
      <w:r>
        <w:rPr>
          <w:noProof/>
        </w:rPr>
        <w:t>Richtlijn 2000/14/EG van het Europees Parlement en de Raad van 8 mei 2000 inzake de harmonisatie van de wetgevingen der lidstaten betreffende de geluidsemissie in het milieu door materieel voor gebruik buitenshuis (PB L 162 van 3.7.2000, blz. 1</w:t>
      </w:r>
      <w:r>
        <w:rPr>
          <w:noProof/>
        </w:rPr>
        <w:noBreakHyphen/>
        <w:t>78)</w:t>
      </w:r>
    </w:p>
    <w:p>
      <w:pPr>
        <w:pStyle w:val="NumPar1"/>
        <w:rPr>
          <w:noProof/>
        </w:rPr>
      </w:pPr>
      <w:r>
        <w:rPr>
          <w:noProof/>
        </w:rPr>
        <w:t>Richtlijn 2000/53/EG van het Europees Parlement en de Raad van 18 september 2000 betreffende autowrakken (PB L 269 van 21.10.2000, blz. 34</w:t>
      </w:r>
      <w:r>
        <w:rPr>
          <w:noProof/>
        </w:rPr>
        <w:noBreakHyphen/>
        <w:t>43)</w:t>
      </w:r>
    </w:p>
    <w:p>
      <w:pPr>
        <w:pStyle w:val="NumPar1"/>
        <w:rPr>
          <w:noProof/>
        </w:rPr>
      </w:pPr>
      <w:r>
        <w:rPr>
          <w:noProof/>
        </w:rPr>
        <w:t>Verordening (EG) nr. 2003/2003 van het Europees Parlement en de Raad van 13 oktober 2003 inzake meststoffen (PB L 304 van 21.11.2003, blz. 1</w:t>
      </w:r>
      <w:r>
        <w:rPr>
          <w:noProof/>
        </w:rPr>
        <w:noBreakHyphen/>
        <w:t>194)</w:t>
      </w:r>
    </w:p>
    <w:p>
      <w:pPr>
        <w:pStyle w:val="NumPar1"/>
        <w:rPr>
          <w:noProof/>
        </w:rPr>
      </w:pPr>
      <w:r>
        <w:rPr>
          <w:noProof/>
        </w:rPr>
        <w:t>Verordening (EG) nr. 273/2004 van het Europees Parlement en de Raad van 11 februari 2004 inzake drugsprecursoren (PB L 47 van 18.2.2004, blz. 1</w:t>
      </w:r>
      <w:r>
        <w:rPr>
          <w:noProof/>
        </w:rPr>
        <w:noBreakHyphen/>
        <w:t>10)</w:t>
      </w:r>
    </w:p>
    <w:p>
      <w:pPr>
        <w:pStyle w:val="NumPar1"/>
        <w:rPr>
          <w:noProof/>
        </w:rPr>
      </w:pPr>
      <w:r>
        <w:rPr>
          <w:noProof/>
        </w:rPr>
        <w:t>Verordening (EG) nr. 552/2004 van het Europees Parlement en de Raad van 10 maart 2004 betreffende de interoperabiliteit van het Europese netwerk voor luchtverkeersbeveiliging („de interoperabiliteitsverordening”) (PB L 96 van 31.3.2004, blz. 26</w:t>
      </w:r>
      <w:r>
        <w:rPr>
          <w:noProof/>
        </w:rPr>
        <w:noBreakHyphen/>
        <w:t>42)</w:t>
      </w:r>
    </w:p>
    <w:p>
      <w:pPr>
        <w:pStyle w:val="NumPar1"/>
        <w:rPr>
          <w:noProof/>
        </w:rPr>
      </w:pPr>
      <w:r>
        <w:rPr>
          <w:noProof/>
        </w:rPr>
        <w:t>Verordening (EG) nr. 648/2004 van het Europees Parlement en de Raad van 31 maart 2004 betreffende detergentia (PB L 104 van 8.4.2004, blz. 1</w:t>
      </w:r>
      <w:r>
        <w:rPr>
          <w:noProof/>
        </w:rPr>
        <w:noBreakHyphen/>
        <w:t>35)</w:t>
      </w:r>
    </w:p>
    <w:p>
      <w:pPr>
        <w:pStyle w:val="NumPar1"/>
        <w:rPr>
          <w:noProof/>
        </w:rPr>
      </w:pPr>
      <w:r>
        <w:rPr>
          <w:noProof/>
        </w:rPr>
        <w:t>Verordening (EG) nr. 850/2004 van het Europees Parlement en de Raad van 29 april 2004 betreffende persistente organische verontreinigende stoffen en tot wijziging van Richtlijn 79/117/EEG (PB L 158 van 30.4.2004, blz. 7</w:t>
      </w:r>
      <w:r>
        <w:rPr>
          <w:noProof/>
        </w:rPr>
        <w:noBreakHyphen/>
        <w:t>49)</w:t>
      </w:r>
    </w:p>
    <w:p>
      <w:pPr>
        <w:pStyle w:val="NumPar1"/>
        <w:rPr>
          <w:noProof/>
        </w:rPr>
      </w:pPr>
      <w:r>
        <w:rPr>
          <w:noProof/>
        </w:rPr>
        <w:t>Richtlijn 2004/42/EG van het Europees Parlement en de Raad van 21 april 2004 inzake de beperking van emissies van vluchtige organische stoffen ten gevolge van het gebruik van organische oplosmiddelen in bepaalde verven en vernissen en producten voor het overspuiten van voertuigen, en tot wijziging van Richtlijn 1999/13/EG (PB L 143 van 30.4.2004, blz. 87</w:t>
      </w:r>
      <w:r>
        <w:rPr>
          <w:noProof/>
        </w:rPr>
        <w:noBreakHyphen/>
        <w:t>96)</w:t>
      </w:r>
    </w:p>
    <w:p>
      <w:pPr>
        <w:pStyle w:val="NumPar1"/>
        <w:rPr>
          <w:noProof/>
        </w:rPr>
      </w:pPr>
      <w:r>
        <w:rPr>
          <w:noProof/>
        </w:rPr>
        <w:t>Richtlijn 2004/52/EG van het Europees Parlement en de Raad van 29 april 2004 betreffende de interoperabiliteit van elektronische tolheffingssystemen voor het wegverkeer in de Gemeenschap (PB L 200 van 7.6.2004, blz. 50</w:t>
      </w:r>
      <w:r>
        <w:rPr>
          <w:noProof/>
        </w:rPr>
        <w:noBreakHyphen/>
        <w:t>57)</w:t>
      </w:r>
    </w:p>
    <w:p>
      <w:pPr>
        <w:pStyle w:val="NumPar1"/>
        <w:rPr>
          <w:noProof/>
        </w:rPr>
      </w:pPr>
      <w:r>
        <w:rPr>
          <w:noProof/>
        </w:rPr>
        <w:t>Richtlijn 2005/64/EG van het Europees Parlement en de Raad van 26 oktober 2005 betreffende de typegoedkeuring van motorvoertuigen inzake herbruikbaarheid, recycleerbaarheid en mogelijke nuttige toepassing, en tot wijziging van Richtlijn 70/156/EEG van de Raad (PB L 310 van 25.11.2005, blz. 10</w:t>
      </w:r>
      <w:r>
        <w:rPr>
          <w:noProof/>
        </w:rPr>
        <w:noBreakHyphen/>
        <w:t>27)</w:t>
      </w:r>
    </w:p>
    <w:p>
      <w:pPr>
        <w:pStyle w:val="NumPar1"/>
        <w:rPr>
          <w:noProof/>
        </w:rPr>
      </w:pPr>
      <w:r>
        <w:rPr>
          <w:noProof/>
        </w:rPr>
        <w:t>Richtlijn 2006/42/EG van het Europees Parlement en de Raad van 17 mei 2006 betreffende machines (PB L 157 van 9.6.2006, blz. 24</w:t>
      </w:r>
      <w:r>
        <w:rPr>
          <w:noProof/>
        </w:rPr>
        <w:noBreakHyphen/>
        <w:t>86)</w:t>
      </w:r>
    </w:p>
    <w:p>
      <w:pPr>
        <w:pStyle w:val="NumPar1"/>
        <w:rPr>
          <w:noProof/>
        </w:rPr>
      </w:pPr>
      <w:r>
        <w:rPr>
          <w:noProof/>
        </w:rPr>
        <w:t>Richtlijn 2006/40/EG van het Europees Parlement en de Raad van 17 mei 2006 betreffende emissies van klimaatregelingsapparatuur in motorvoertuigen en houdende wijziging van Richtlijn 70/156/EEG van de Raad (PB L 161 van 14.6.2006, blz. 12</w:t>
      </w:r>
      <w:r>
        <w:rPr>
          <w:noProof/>
        </w:rPr>
        <w:noBreakHyphen/>
        <w:t>18)</w:t>
      </w:r>
    </w:p>
    <w:p>
      <w:pPr>
        <w:pStyle w:val="NumPar1"/>
        <w:rPr>
          <w:noProof/>
        </w:rPr>
      </w:pPr>
      <w:r>
        <w:rPr>
          <w:noProof/>
        </w:rPr>
        <w:t>Richtlijn 2006/66/EG van het Europees Parlement en de Raad van 6 september 2006 inzake batterijen en accu's, alsook afgedankte batterijen en accu's en tot intrekking van Richtlijn 91/157/EEG (PB L 266 van 26.9.2006, blz. 1</w:t>
      </w:r>
      <w:r>
        <w:rPr>
          <w:noProof/>
        </w:rPr>
        <w:noBreakHyphen/>
        <w:t>14)</w:t>
      </w:r>
    </w:p>
    <w:p>
      <w:pPr>
        <w:pStyle w:val="NumPar1"/>
        <w:rPr>
          <w:noProof/>
        </w:rPr>
      </w:pPr>
      <w:r>
        <w:rPr>
          <w:noProof/>
        </w:rPr>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w:t>
      </w:r>
    </w:p>
    <w:p>
      <w:pPr>
        <w:pStyle w:val="NumPar1"/>
        <w:rPr>
          <w:noProof/>
        </w:rPr>
      </w:pPr>
      <w:r>
        <w:rPr>
          <w:noProof/>
        </w:rPr>
        <w:t>Verordening (EG) nr. 715/2007 van het Europees Parlement en de Raad van 20 juni 2007 betreffende de typegoedkeuring van motorvoertuigen met betrekking tot emissies van lichte personen- en bedrijfsvoertuigen (Euro 5 en Euro 6) en de toegang tot reparatie- en onderhoudsinformatie (PB L 171 van 29.6.2007, blz. 1</w:t>
      </w:r>
      <w:r>
        <w:rPr>
          <w:noProof/>
        </w:rPr>
        <w:noBreakHyphen/>
        <w:t>16)</w:t>
      </w:r>
    </w:p>
    <w:p>
      <w:pPr>
        <w:pStyle w:val="NumPar1"/>
        <w:rPr>
          <w:noProof/>
        </w:rPr>
      </w:pPr>
      <w:r>
        <w:rPr>
          <w:noProof/>
        </w:rPr>
        <w:t>Richtlijn 2007/45/EG van het Europees Parlement en de Raad van 5 september 2007 tot vaststelling van regels betreffende nominale hoeveelheden voor voorverpakte producten, tot intrekking van de Richtlijnen 75/106/EEG en 80/232/EEG van de Raad en tot wijziging van Richtlijn 76/211/EEG van de Raad (PB L 247 van 21.9.2007, blz. 17</w:t>
      </w:r>
      <w:r>
        <w:rPr>
          <w:noProof/>
        </w:rPr>
        <w:noBreakHyphen/>
        <w:t>20)</w:t>
      </w:r>
    </w:p>
    <w:p>
      <w:pPr>
        <w:pStyle w:val="NumPar1"/>
        <w:rPr>
          <w:noProof/>
        </w:rPr>
      </w:pPr>
      <w:r>
        <w:rPr>
          <w:noProof/>
        </w:rPr>
        <w:t>Richtlijn 2007/46/EG van het Europees Parlement en de Raad van 5 september 2007 tot vaststelling van een kader voor de goedkeuring van motorvoertuigen en aanhangwagens daarvan en van systemen, onderdelen en technische eenheden die voor dergelijke voertuigen zijn bestemd (PB L 263 van 9.10.2007, blz. 1</w:t>
      </w:r>
      <w:r>
        <w:rPr>
          <w:noProof/>
        </w:rPr>
        <w:noBreakHyphen/>
        <w:t>160)</w:t>
      </w:r>
    </w:p>
    <w:p>
      <w:pPr>
        <w:pStyle w:val="NumPar1"/>
        <w:rPr>
          <w:noProof/>
        </w:rPr>
      </w:pPr>
      <w:r>
        <w:rPr>
          <w:noProof/>
        </w:rPr>
        <w:t>Richtlijn 2008/2/EG van het Europees Parlement en de Raad van 15 januari 2008 betreffende het zichtveld en de ruitenwissers van landbouw- of bosbouwtrekkers op wielen (gecodificeerde versie) (PB L 24 van 29.1.2008, blz. 30</w:t>
      </w:r>
      <w:r>
        <w:rPr>
          <w:noProof/>
        </w:rPr>
        <w:noBreakHyphen/>
        <w:t>38)</w:t>
      </w:r>
    </w:p>
    <w:p>
      <w:pPr>
        <w:pStyle w:val="NumPar1"/>
        <w:rPr>
          <w:noProof/>
        </w:rPr>
      </w:pPr>
      <w:r>
        <w:rPr>
          <w:noProof/>
        </w:rPr>
        <w:t>Verordening (EG) nr. 1272/2008 van het Europees Parlement en de Raad van 16 december 2008 betreffende de indeling, etikettering en verpakking van stoffen en mengsels, tot wijziging en intrekking van de Richtlijnen 67/548/EEG en 1999/45/EG en tot wijziging van Verordening (EG) nr. 1907/2006 (PB L 353 van 31.12.2008, blz. 1</w:t>
      </w:r>
      <w:r>
        <w:rPr>
          <w:noProof/>
        </w:rPr>
        <w:noBreakHyphen/>
        <w:t>1355)</w:t>
      </w:r>
    </w:p>
    <w:p>
      <w:pPr>
        <w:pStyle w:val="NumPar1"/>
        <w:rPr>
          <w:noProof/>
        </w:rPr>
      </w:pPr>
      <w:r>
        <w:rPr>
          <w:noProof/>
        </w:rPr>
        <w:t>Verordening (EG) nr. 78/2009 van het Europees Parlement en de Raad van 14 januari 2009 betreffende de typegoedkeuring van motorvoertuigen met betrekking tot de bescherming van voetgangers en andere kwetsbare weggebruikers, tot wijziging van Richtlijn 2007/46/EG en tot intrekking van Richtlijn 2003/102/EG en Richtlijn 2005/66/EG (PB L 35 van 4.2.2009, blz. 1</w:t>
      </w:r>
      <w:r>
        <w:rPr>
          <w:noProof/>
        </w:rPr>
        <w:noBreakHyphen/>
        <w:t>31)</w:t>
      </w:r>
    </w:p>
    <w:p>
      <w:pPr>
        <w:pStyle w:val="NumPar1"/>
        <w:rPr>
          <w:noProof/>
        </w:rPr>
      </w:pPr>
      <w:r>
        <w:rPr>
          <w:noProof/>
        </w:rPr>
        <w:t>Verordening (EG) nr. 79/2009 van het Europees Parlement en de Raad van 14 januari 2009 betreffende de typegoedkeuring van motorvoertuigen op waterstof en tot wijziging van Richtlijn 2007/46/EG (PB L 35 van 4.2.2009, blz. 32</w:t>
      </w:r>
      <w:r>
        <w:rPr>
          <w:noProof/>
        </w:rPr>
        <w:noBreakHyphen/>
        <w:t>46)</w:t>
      </w:r>
    </w:p>
    <w:p>
      <w:pPr>
        <w:pStyle w:val="NumPar1"/>
        <w:rPr>
          <w:noProof/>
        </w:rPr>
      </w:pPr>
      <w:r>
        <w:rPr>
          <w:noProof/>
        </w:rPr>
        <w:t>Richtlijn 2009/34/EG van het Europees Parlement en de Raad van 23 april 2009 betreffende voor meetmiddelen en metrologische controlemethoden geldende algemene bepalingen (PB L 106 van 28.4.2009, blz. 7</w:t>
      </w:r>
      <w:r>
        <w:rPr>
          <w:noProof/>
        </w:rPr>
        <w:noBreakHyphen/>
        <w:t>24)</w:t>
      </w:r>
    </w:p>
    <w:p>
      <w:pPr>
        <w:pStyle w:val="NumPar1"/>
        <w:rPr>
          <w:noProof/>
        </w:rPr>
      </w:pPr>
      <w:r>
        <w:rPr>
          <w:noProof/>
        </w:rPr>
        <w:t>Richtlijn 2009/48/EG van het Europees Parlement en de Raad van 18 juni 2009 betreffende de veiligheid van speelgoed (PB L 170 van 30.6.2009, blz. 1</w:t>
      </w:r>
      <w:r>
        <w:rPr>
          <w:noProof/>
        </w:rPr>
        <w:noBreakHyphen/>
        <w:t>37)</w:t>
      </w:r>
    </w:p>
    <w:p>
      <w:pPr>
        <w:pStyle w:val="NumPar1"/>
        <w:rPr>
          <w:noProof/>
        </w:rPr>
      </w:pPr>
      <w:r>
        <w:rPr>
          <w:noProof/>
        </w:rPr>
        <w:t>Verordening (EG) nr. 595/2009 van het Europees Parlement en de Raad van 18 juni 2009 betreffende de typegoedkeuring van motorvoertuigen en motoren met betrekking tot emissies van zware bedrijfsvoertuigen (Euro VI) en de toegang tot reparatie- en onderhoudsinformatie, tot wijziging van Verordening (EG) nr. 715/2007 en Richtlijn 2007/46/EG en tot intrekking van de Richtlijnen 80/1269/EEG, 2005/55/EG en 2005/78/EG (PB L 188 van 18.7.2009, blz. 1</w:t>
      </w:r>
      <w:r>
        <w:rPr>
          <w:noProof/>
        </w:rPr>
        <w:noBreakHyphen/>
        <w:t>13)</w:t>
      </w:r>
    </w:p>
    <w:p>
      <w:pPr>
        <w:pStyle w:val="NumPar1"/>
        <w:rPr>
          <w:noProof/>
        </w:rPr>
      </w:pPr>
      <w:r>
        <w:rPr>
          <w:noProof/>
        </w:rPr>
        <w:t>Verordening (EG) nr. 661/2009 van het Europees Parlement en de Raad van 13 juli 2009 betreffende typegoedkeuringsvoorschriften voor de algemene veiligheid van motorvoertuigen, aanhangwagens daarvan en daarvoor bestemde systemen, onderdelen en technische eenheden (PB L 200 van 31.7.2009, blz. 1</w:t>
      </w:r>
      <w:r>
        <w:rPr>
          <w:noProof/>
        </w:rPr>
        <w:noBreakHyphen/>
        <w:t>24)</w:t>
      </w:r>
    </w:p>
    <w:p>
      <w:pPr>
        <w:pStyle w:val="NumPar1"/>
        <w:rPr>
          <w:noProof/>
        </w:rPr>
      </w:pPr>
      <w:r>
        <w:rPr>
          <w:noProof/>
        </w:rPr>
        <w:t>Richtlijn 2009/125/EG van het Europees Parlement en de Raad van 21 oktober 2009 betreffende de totstandbrenging van een kader voor het vaststellen van eisen inzake ecologisch ontwerp voor energiegerelateerde producten (PB L 285 van 31.10.2009, blz. 10</w:t>
      </w:r>
      <w:r>
        <w:rPr>
          <w:noProof/>
        </w:rPr>
        <w:noBreakHyphen/>
        <w:t>35)</w:t>
      </w:r>
    </w:p>
    <w:p>
      <w:pPr>
        <w:pStyle w:val="NumPar1"/>
        <w:rPr>
          <w:noProof/>
        </w:rPr>
      </w:pPr>
      <w:r>
        <w:rPr>
          <w:noProof/>
        </w:rPr>
        <w:t>Verordening (EG) nr. 1005/2009 van het Europees Parlement en de Raad van 16 september 2009 betreffende de ozonlaag afbrekende stoffen (PB L 286 van 31.10.2009, blz. 1</w:t>
      </w:r>
      <w:r>
        <w:rPr>
          <w:noProof/>
        </w:rPr>
        <w:noBreakHyphen/>
        <w:t>30)</w:t>
      </w:r>
    </w:p>
    <w:p>
      <w:pPr>
        <w:pStyle w:val="NumPar1"/>
        <w:rPr>
          <w:noProof/>
        </w:rPr>
      </w:pPr>
      <w:r>
        <w:rPr>
          <w:noProof/>
        </w:rPr>
        <w:t>Verordening (EG) nr. 1222/2009 van het Europees Parlement en de Raad van 25 november 2009 inzake de etikettering van banden met betrekking tot hun brandstofefficiëntie en andere essentiële parameters (PB L 342 van 22.12.2009, blz. 46</w:t>
      </w:r>
      <w:r>
        <w:rPr>
          <w:noProof/>
        </w:rPr>
        <w:noBreakHyphen/>
        <w:t>58)</w:t>
      </w:r>
    </w:p>
    <w:p>
      <w:pPr>
        <w:pStyle w:val="NumPar1"/>
        <w:rPr>
          <w:noProof/>
        </w:rPr>
      </w:pPr>
      <w:r>
        <w:rPr>
          <w:noProof/>
        </w:rPr>
        <w:t>Verordening (EG) nr. 1223/2009 van het Europees Parlement en de Raad van 30 november 2009 betreffende cosmetische producten (PB L 342 van 22.12.2009, blz. 59</w:t>
      </w:r>
      <w:r>
        <w:rPr>
          <w:noProof/>
        </w:rPr>
        <w:noBreakHyphen/>
        <w:t>209)</w:t>
      </w:r>
    </w:p>
    <w:p>
      <w:pPr>
        <w:pStyle w:val="NumPar1"/>
        <w:rPr>
          <w:noProof/>
        </w:rPr>
      </w:pPr>
      <w:r>
        <w:rPr>
          <w:noProof/>
        </w:rPr>
        <w:t>Verordening (EG) nr. 66/2010 van het Europees Parlement en de Raad van 25 november 2009 betreffende de EU-milieukeur (PB L 27 van 30.1.2010, blz. 1</w:t>
      </w:r>
      <w:r>
        <w:rPr>
          <w:noProof/>
        </w:rPr>
        <w:noBreakHyphen/>
        <w:t>19)</w:t>
      </w:r>
    </w:p>
    <w:p>
      <w:pPr>
        <w:pStyle w:val="NumPar1"/>
        <w:rPr>
          <w:noProof/>
        </w:rPr>
      </w:pPr>
      <w:r>
        <w:rPr>
          <w:noProof/>
        </w:rPr>
        <w:t>Richtlijn 2010/35/EU van het Europees Parlement en de Raad van 16 juni 2010 betreffende vervoerbare drukapparatuur (PB L 165 van 30.6.2010, blz. 1</w:t>
      </w:r>
      <w:r>
        <w:rPr>
          <w:noProof/>
        </w:rPr>
        <w:noBreakHyphen/>
        <w:t>18)</w:t>
      </w:r>
    </w:p>
    <w:p>
      <w:pPr>
        <w:pStyle w:val="NumPar1"/>
        <w:rPr>
          <w:noProof/>
        </w:rPr>
      </w:pPr>
      <w:r>
        <w:rPr>
          <w:noProof/>
        </w:rPr>
        <w:t>Verordening (EU) nr. 305/2011 van het Europees Parlement en de Raad van 9 maart 2011 tot vaststelling van geharmoniseerde voorwaarden voor het verhandelen van bouwproducten en tot intrekking van Richtlijn 89/106/EEG van de Raad (PB L 88 van 4.4.2011, blz. 5</w:t>
      </w:r>
      <w:r>
        <w:rPr>
          <w:noProof/>
        </w:rPr>
        <w:noBreakHyphen/>
        <w:t>43)</w:t>
      </w:r>
    </w:p>
    <w:p>
      <w:pPr>
        <w:pStyle w:val="NumPar1"/>
        <w:rPr>
          <w:noProof/>
        </w:rPr>
      </w:pPr>
      <w:r>
        <w:rPr>
          <w:noProof/>
        </w:rPr>
        <w:t>Richtlijn 2011/65/EU van het Europees Parlement en de Raad van 8 juni 2011 betreffende beperking van het gebruik van bepaalde gevaarlijke stoffen in elektrische en elektronische apparatuur (PB L 174 van 1.7.2011, blz. 88</w:t>
      </w:r>
      <w:r>
        <w:rPr>
          <w:noProof/>
        </w:rPr>
        <w:noBreakHyphen/>
        <w:t>110).</w:t>
      </w:r>
    </w:p>
    <w:p>
      <w:pPr>
        <w:pStyle w:val="NumPar1"/>
        <w:rPr>
          <w:noProof/>
        </w:rPr>
      </w:pPr>
      <w:r>
        <w:rPr>
          <w:noProof/>
        </w:rPr>
        <w:t>Verordening (EU) nr. 1007/2011 van het Europees Parlement en de Raad van 27 september 2011 betreffende textielvezelbenamingen en de desbetreffende etikettering en merking van de vezelsamenstelling van textielproducten, en houdende intrekking van Richtlijn 73/44/EEG van de Raad en Richtlijnen 96/73/EG en 2008/121/EG van het Europees Parlement en de Raad (PB L 272 van 18.10.2011, blz. 1</w:t>
      </w:r>
      <w:r>
        <w:rPr>
          <w:noProof/>
        </w:rPr>
        <w:noBreakHyphen/>
        <w:t>64)</w:t>
      </w:r>
    </w:p>
    <w:p>
      <w:pPr>
        <w:pStyle w:val="NumPar1"/>
        <w:rPr>
          <w:noProof/>
        </w:rPr>
      </w:pPr>
      <w:r>
        <w:rPr>
          <w:noProof/>
        </w:rPr>
        <w:t>Verordening (EU) nr. 528/2012 van het Europees Parlement en de Raad van 22 mei 2012 betreffende het op de markt aanbieden en het gebruik van biociden (PB L 167 van 27.6.2012, blz. 1</w:t>
      </w:r>
      <w:r>
        <w:rPr>
          <w:noProof/>
        </w:rPr>
        <w:noBreakHyphen/>
        <w:t>123)</w:t>
      </w:r>
    </w:p>
    <w:p>
      <w:pPr>
        <w:pStyle w:val="NumPar1"/>
        <w:rPr>
          <w:noProof/>
        </w:rPr>
      </w:pPr>
      <w:r>
        <w:rPr>
          <w:noProof/>
        </w:rPr>
        <w:t>Richtlijn 2012/19/EU van het Europees Parlement en de Raad van 4 juli 2012 betreffende afgedankte elektrische en elektronische apparatuur (AEEA) (PB L 197 van 24.7.2012, blz. 38</w:t>
      </w:r>
      <w:r>
        <w:rPr>
          <w:noProof/>
        </w:rPr>
        <w:noBreakHyphen/>
        <w:t>71)</w:t>
      </w:r>
    </w:p>
    <w:p>
      <w:pPr>
        <w:pStyle w:val="NumPar1"/>
        <w:rPr>
          <w:noProof/>
        </w:rPr>
      </w:pPr>
      <w:r>
        <w:rPr>
          <w:noProof/>
        </w:rPr>
        <w:t>Verordening (EU) nr. 167/2013 van het Europees Parlement en de Raad van 5 februari 2013 inzake de goedkeuring van en het markttoezicht op landbouw- en bosbouwvoertuigen (PB L 60 van 2.3.2013, blz. 1</w:t>
      </w:r>
      <w:r>
        <w:rPr>
          <w:noProof/>
        </w:rPr>
        <w:noBreakHyphen/>
        <w:t>51)</w:t>
      </w:r>
    </w:p>
    <w:p>
      <w:pPr>
        <w:pStyle w:val="NumPar1"/>
        <w:rPr>
          <w:noProof/>
        </w:rPr>
      </w:pPr>
      <w:r>
        <w:rPr>
          <w:noProof/>
        </w:rPr>
        <w:t>Verordening (EU) nr. 168/2013 van het Europees Parlement en de Raad van 15 januari 2013 betreffende de goedkeuring van en het markttoezicht op twee- of driewielige voertuigen en vierwielers (PB L 60 van 2.3.2013, blz. 52</w:t>
      </w:r>
      <w:r>
        <w:rPr>
          <w:noProof/>
        </w:rPr>
        <w:noBreakHyphen/>
        <w:t>128)</w:t>
      </w:r>
    </w:p>
    <w:p>
      <w:pPr>
        <w:pStyle w:val="NumPar1"/>
        <w:rPr>
          <w:noProof/>
        </w:rPr>
      </w:pPr>
      <w:r>
        <w:rPr>
          <w:noProof/>
        </w:rPr>
        <w:t>Richtlijn 2013/29/EU van het Europees Parlement en de Raad van 12 juni 2013 betreffende de harmonisatie van de wetgevingen van de lidstaten inzake het op de markt aanbieden van pyrotechnische artikelen (PB L 178 van 28.6.2013, blz. 27</w:t>
      </w:r>
      <w:r>
        <w:rPr>
          <w:noProof/>
        </w:rPr>
        <w:noBreakHyphen/>
        <w:t>65)</w:t>
      </w:r>
    </w:p>
    <w:p>
      <w:pPr>
        <w:pStyle w:val="NumPar1"/>
        <w:rPr>
          <w:noProof/>
        </w:rPr>
      </w:pPr>
      <w:r>
        <w:rPr>
          <w:noProof/>
        </w:rPr>
        <w:t>Richtlijn 2013/53/EU van het Europees Parlement en de Raad van 20 november 2013 betreffende pleziervaartuigen en waterscooters en tot intrekking van Richtlijn 94/25/EG (PB L 354 van 28.12.2013, blz. 90</w:t>
      </w:r>
      <w:r>
        <w:rPr>
          <w:noProof/>
        </w:rPr>
        <w:noBreakHyphen/>
        <w:t>131)</w:t>
      </w:r>
    </w:p>
    <w:p>
      <w:pPr>
        <w:pStyle w:val="NumPar1"/>
        <w:rPr>
          <w:noProof/>
        </w:rPr>
      </w:pPr>
      <w:r>
        <w:rPr>
          <w:noProof/>
        </w:rPr>
        <w:t>Richtlijn 2014/28/EU van het Europees Parlement en de Raad van 26 februari 2014 betreffende de harmonisatie van de wetgevingen van de lidstaten inzake het op de markt aanbieden van en de controle op explosieven voor civiel gebruik (PB L 96 van 29.3.2014, blz. 1</w:t>
      </w:r>
      <w:r>
        <w:rPr>
          <w:noProof/>
        </w:rPr>
        <w:noBreakHyphen/>
        <w:t>44)</w:t>
      </w:r>
    </w:p>
    <w:p>
      <w:pPr>
        <w:pStyle w:val="NumPar1"/>
        <w:rPr>
          <w:noProof/>
        </w:rPr>
      </w:pPr>
      <w:r>
        <w:rPr>
          <w:noProof/>
        </w:rPr>
        <w:t>Richtlijn 2014/29/EU van het Europees Parlement en de Raad van 26 februari 2014 betreffende de harmonisatie van de wetgevingen van de lidstaten inzake het op de markt aanbieden van drukvaten van eenvoudige vorm (PB L 96 van 29.3.2014, blz. 45</w:t>
      </w:r>
      <w:r>
        <w:rPr>
          <w:noProof/>
        </w:rPr>
        <w:noBreakHyphen/>
        <w:t>78)</w:t>
      </w:r>
    </w:p>
    <w:p>
      <w:pPr>
        <w:pStyle w:val="NumPar1"/>
        <w:rPr>
          <w:noProof/>
        </w:rPr>
      </w:pPr>
      <w:r>
        <w:rPr>
          <w:noProof/>
        </w:rPr>
        <w:t>Richtlijn 2014/30/EU van het Europees Parlement en de Raad van 26 februari 2014 betreffende de harmonisatie van de wetgevingen van de lidstaten inzake elektromagnetische compatibiliteit (PB L 96 van 29.3.2014, blz. 79</w:t>
      </w:r>
      <w:r>
        <w:rPr>
          <w:noProof/>
        </w:rPr>
        <w:noBreakHyphen/>
        <w:t>106)</w:t>
      </w:r>
    </w:p>
    <w:p>
      <w:pPr>
        <w:pStyle w:val="NumPar1"/>
        <w:rPr>
          <w:noProof/>
        </w:rPr>
      </w:pPr>
      <w:r>
        <w:rPr>
          <w:noProof/>
        </w:rPr>
        <w:t>Richtlijn 2014/31/EU van het Europees Parlement en de Raad van 26 februari 2014 betreffende de harmonisatie van de wetgevingen van de lidstaten inzake het op de markt aanbieden van niet-automatische weegwerktuigen (PB L 96 van 29.3.2014, blz. 107</w:t>
      </w:r>
      <w:r>
        <w:rPr>
          <w:noProof/>
        </w:rPr>
        <w:noBreakHyphen/>
        <w:t>148)</w:t>
      </w:r>
    </w:p>
    <w:p>
      <w:pPr>
        <w:pStyle w:val="NumPar1"/>
        <w:rPr>
          <w:noProof/>
        </w:rPr>
      </w:pPr>
      <w:r>
        <w:rPr>
          <w:noProof/>
        </w:rPr>
        <w:t>Richtlijn 2014/32/EU van het Europees Parlement en de Raad van 26 februari 2014 betreffende de harmonisatie van de wetgevingen van de lidstaten inzake het op de markt aanbieden van meetinstrumenten (PB L 96 van 29.3.2014, blz. 149</w:t>
      </w:r>
      <w:r>
        <w:rPr>
          <w:noProof/>
        </w:rPr>
        <w:noBreakHyphen/>
        <w:t>250)</w:t>
      </w:r>
    </w:p>
    <w:p>
      <w:pPr>
        <w:pStyle w:val="NumPar1"/>
        <w:rPr>
          <w:noProof/>
        </w:rPr>
      </w:pPr>
      <w:r>
        <w:rPr>
          <w:noProof/>
        </w:rPr>
        <w:t>Richtlijn 2014/33/EU van het Europees Parlement en de Raad van 26 februari 2014 betreffende de harmonisatie van de wetgevingen van de lidstaten inzake liften en veiligheidscomponenten voor liften (PB L 96 van 29.3.2014, blz. 251</w:t>
      </w:r>
      <w:r>
        <w:rPr>
          <w:noProof/>
        </w:rPr>
        <w:noBreakHyphen/>
        <w:t>308)</w:t>
      </w:r>
    </w:p>
    <w:p>
      <w:pPr>
        <w:pStyle w:val="NumPar1"/>
        <w:rPr>
          <w:noProof/>
        </w:rPr>
      </w:pPr>
      <w:r>
        <w:rPr>
          <w:noProof/>
        </w:rPr>
        <w:t>Richtlijn 2014/34/EU van het Europees Parlement en de Raad van 26 februari 2014 betreffende de harmonisatie van de wetgevingen van de lidstaten inzake apparaten en beveiligingssystemen bedoeld voor gebruik op plaatsen waar ontploffingsgevaar kan heersen (PB L 96 van 29.3.2014, blz. 309</w:t>
      </w:r>
      <w:r>
        <w:rPr>
          <w:noProof/>
        </w:rPr>
        <w:noBreakHyphen/>
        <w:t>356)</w:t>
      </w:r>
    </w:p>
    <w:p>
      <w:pPr>
        <w:pStyle w:val="NumPar1"/>
        <w:rPr>
          <w:noProof/>
        </w:rPr>
      </w:pPr>
      <w:r>
        <w:rPr>
          <w:noProof/>
        </w:rPr>
        <w:t>Richtlijn 2014/35/EU van het Europees Parlement en de Raad van 26 februari 2014 betreffende de harmonisatie van de wetgevingen van de lidstaten inzake het op de markt aanbieden van elektrisch materiaal bestemd voor gebruik binnen bepaalde spanningsgrenzen (PB L 96 van 29.3.2014, blz. 357</w:t>
      </w:r>
      <w:r>
        <w:rPr>
          <w:noProof/>
        </w:rPr>
        <w:noBreakHyphen/>
        <w:t>374)</w:t>
      </w:r>
    </w:p>
    <w:p>
      <w:pPr>
        <w:pStyle w:val="NumPar1"/>
        <w:rPr>
          <w:noProof/>
        </w:rPr>
      </w:pPr>
      <w:r>
        <w:rPr>
          <w:noProof/>
        </w:rPr>
        <w:t>Richtlijn 2014/53/EU van het Europees Parlement en de Raad van 16 april 2014 betreffende de harmonisatie van de wetgevingen van de lidstaten inzake het op de markt aanbieden van radioapparatuur en tot intrekking van Richtlijn 1999/5/EG (PB L 153 van 22.5.2014, blz. 62</w:t>
      </w:r>
      <w:r>
        <w:rPr>
          <w:noProof/>
        </w:rPr>
        <w:noBreakHyphen/>
        <w:t>106)</w:t>
      </w:r>
    </w:p>
    <w:p>
      <w:pPr>
        <w:pStyle w:val="NumPar1"/>
        <w:rPr>
          <w:noProof/>
        </w:rPr>
      </w:pPr>
      <w:r>
        <w:rPr>
          <w:noProof/>
        </w:rPr>
        <w:t>Richtlijn 2014/68/EU van het Europees Parlement en de Raad van 15 mei 2014 betreffende de harmonisatie van de wetgevingen van de lidstaten inzake het op de markt aanbieden van drukapparatuur (PB L 189 van 27.6.2014, blz. 164</w:t>
      </w:r>
      <w:r>
        <w:rPr>
          <w:noProof/>
        </w:rPr>
        <w:noBreakHyphen/>
        <w:t>259)</w:t>
      </w:r>
    </w:p>
    <w:p>
      <w:pPr>
        <w:pStyle w:val="NumPar1"/>
        <w:rPr>
          <w:noProof/>
        </w:rPr>
      </w:pPr>
      <w:r>
        <w:rPr>
          <w:noProof/>
        </w:rPr>
        <w:t>Richtlijn 2014/90/EU van het Europees Parlement en de Raad van 23 juli 2014 inzake uitrusting van zeeschepen en tot intrekking van Richtlijn 96/98/EG van de Raad (PB L 257 van 28.8.2014, blz. 146</w:t>
      </w:r>
      <w:r>
        <w:rPr>
          <w:noProof/>
        </w:rPr>
        <w:noBreakHyphen/>
        <w:t>185)</w:t>
      </w:r>
    </w:p>
    <w:p>
      <w:pPr>
        <w:pStyle w:val="NumPar1"/>
        <w:rPr>
          <w:noProof/>
        </w:rPr>
      </w:pPr>
      <w:r>
        <w:rPr>
          <w:noProof/>
        </w:rPr>
        <w:t>Verordening (EU) nr. 517/2014 van het Europees Parlement en de Raad van 16 april 2014 betreffende gefluoreerde broeikasgassen en tot intrekking van Verordening (EG) nr. 842/2006 (PB L 150 van 20.5.2014, blz. 195</w:t>
      </w:r>
      <w:r>
        <w:rPr>
          <w:noProof/>
        </w:rPr>
        <w:noBreakHyphen/>
        <w:t>230)</w:t>
      </w:r>
    </w:p>
    <w:p>
      <w:pPr>
        <w:pStyle w:val="NumPar1"/>
        <w:rPr>
          <w:noProof/>
        </w:rPr>
      </w:pPr>
      <w:r>
        <w:rPr>
          <w:noProof/>
        </w:rPr>
        <w:t>Verordening (EU) nr. 540/2014 van het Europees Parlement en de Raad van 16 april 2014 betreffende het geluidsniveau van motorvoertuigen en vervangende geluidsdempingssystemen, en tot wijziging van Richtlijn 2007/46/EG en tot intrekking van Richtlijn 70/157/EEG (PB L 158 van 27.5.2014, blz. 131</w:t>
      </w:r>
      <w:r>
        <w:rPr>
          <w:noProof/>
        </w:rPr>
        <w:noBreakHyphen/>
        <w:t>195)</w:t>
      </w:r>
    </w:p>
    <w:p>
      <w:pPr>
        <w:pStyle w:val="NumPar1"/>
        <w:rPr>
          <w:noProof/>
        </w:rPr>
      </w:pPr>
      <w:r>
        <w:rPr>
          <w:noProof/>
        </w:rPr>
        <w:t>Verordening (EU) 2016/424 van het Europees Parlement en de Raad van 9 maart 2016 betreffende kabelbaaninstallaties en tot intrekking van Richtlijn 2000/9/EG (PB L 81 van 31.3.2016, blz. 1</w:t>
      </w:r>
      <w:r>
        <w:rPr>
          <w:noProof/>
        </w:rPr>
        <w:noBreakHyphen/>
        <w:t>50)</w:t>
      </w:r>
    </w:p>
    <w:p>
      <w:pPr>
        <w:pStyle w:val="NumPar1"/>
        <w:rPr>
          <w:noProof/>
        </w:rPr>
      </w:pPr>
      <w:r>
        <w:rPr>
          <w:noProof/>
        </w:rPr>
        <w:t>Verordening (EU) 2016/425 van het Europees Parlement en de Raad van 9 maart 2016 betreffende persoonlijke beschermingsmiddelen en tot intrekking van Richtlijn 89/686/EEG van de Raad (PB L 81 van 31.3.2016, blz. 51</w:t>
      </w:r>
      <w:r>
        <w:rPr>
          <w:noProof/>
        </w:rPr>
        <w:noBreakHyphen/>
        <w:t>98)</w:t>
      </w:r>
    </w:p>
    <w:p>
      <w:pPr>
        <w:pStyle w:val="NumPar1"/>
        <w:rPr>
          <w:noProof/>
        </w:rPr>
      </w:pPr>
      <w:r>
        <w:rPr>
          <w:noProof/>
        </w:rPr>
        <w:t>Verordening (EU) 2016/426 van het Europees Parlement en de Raad van 9 maart 2016 betreffende gasverbrandingstoestellen en tot intrekking van Richtlijn 2009/142/EG (PB L 81 van 31.3.2016, blz. 99</w:t>
      </w:r>
      <w:r>
        <w:rPr>
          <w:noProof/>
        </w:rPr>
        <w:noBreakHyphen/>
        <w:t>147)</w:t>
      </w:r>
    </w:p>
    <w:p>
      <w:pPr>
        <w:pStyle w:val="NumPar1"/>
        <w:rPr>
          <w:noProof/>
        </w:rPr>
      </w:pPr>
      <w:r>
        <w:rPr>
          <w:noProof/>
        </w:rPr>
        <w:t>Verordening (EU) 2017/745 van het Europees Parlement en de Raad van 5 april 2017 betreffende medische hulpmiddelen, tot wijziging van Richtlijn 2001/83/EG, Verordening (EG) nr. 178/2002 en Verordening (EG) nr. 1223/2009, en tot intrekking van Richtlijnen 90/385/EEG en 93/42/EEG van de Raad (PB L 117 van 5.5.2017, blz. 1</w:t>
      </w:r>
      <w:r>
        <w:rPr>
          <w:noProof/>
        </w:rPr>
        <w:noBreakHyphen/>
        <w:t>175)</w:t>
      </w:r>
    </w:p>
    <w:p>
      <w:pPr>
        <w:pStyle w:val="NumPar1"/>
        <w:rPr>
          <w:noProof/>
        </w:rPr>
      </w:pPr>
      <w:r>
        <w:rPr>
          <w:noProof/>
        </w:rPr>
        <w:t>Verordening (EU) 2017/746 van het Europees Parlement en de Raad van 5 april 2017 betreffende medische hulpmiddelen voor in-vitrodiagnostiek en tot intrekking van Richtlijn 98/79/EG en Besluit 2010/227/EU van de Commissie (PB L 117 van 5.5.2017, blz. 176</w:t>
      </w:r>
      <w:r>
        <w:rPr>
          <w:noProof/>
        </w:rPr>
        <w:noBreakHyphen/>
        <w:t>332)</w:t>
      </w:r>
    </w:p>
    <w:p>
      <w:pPr>
        <w:pStyle w:val="NumPar1"/>
        <w:rPr>
          <w:noProof/>
        </w:rPr>
      </w:pPr>
      <w:r>
        <w:rPr>
          <w:noProof/>
        </w:rPr>
        <w:t>Verordening (EU) 2017/852 van het Europees parlement en de Raad van 17 mei 2017 betreffende kwik en tot intrekking van Verordening (EG) nr. 1102/2008 (PB L 137 van 24.5.2017, blz. 1</w:t>
      </w:r>
      <w:r>
        <w:rPr>
          <w:noProof/>
        </w:rPr>
        <w:noBreakHyphen/>
        <w:t>21)</w:t>
      </w:r>
    </w:p>
    <w:p>
      <w:pPr>
        <w:pStyle w:val="NumPar1"/>
        <w:rPr>
          <w:noProof/>
        </w:rPr>
      </w:pPr>
      <w:r>
        <w:rPr>
          <w:noProof/>
        </w:rPr>
        <w:t>Verordening (EU) 2017/1369 van het Europees Parlement en de Raad van 4 juli 2017 tot vaststelling van een kader voor energie-etikettering en tot intrekking van Richtlijn 2010/30/EU (PB L 198 van 28.7.2017, blz. 1</w:t>
      </w:r>
      <w:r>
        <w:rPr>
          <w:noProof/>
        </w:rPr>
        <w:noBreakHyphen/>
        <w:t>23)</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300F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B87D8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B8CD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C8AF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14E9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E8E7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4D10A"/>
    <w:lvl w:ilvl="0">
      <w:start w:val="1"/>
      <w:numFmt w:val="decimal"/>
      <w:pStyle w:val="ListNumber"/>
      <w:lvlText w:val="%1."/>
      <w:lvlJc w:val="left"/>
      <w:pPr>
        <w:tabs>
          <w:tab w:val="num" w:pos="360"/>
        </w:tabs>
        <w:ind w:left="360" w:hanging="360"/>
      </w:pPr>
    </w:lvl>
  </w:abstractNum>
  <w:abstractNum w:abstractNumId="7">
    <w:nsid w:val="FFFFFF89"/>
    <w:multiLevelType w:val="singleLevel"/>
    <w:tmpl w:val="110EBA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58B6119"/>
    <w:multiLevelType w:val="multilevel"/>
    <w:tmpl w:val="5FE2D7D4"/>
    <w:lvl w:ilvl="0">
      <w:start w:val="1"/>
      <w:numFmt w:val="decimal"/>
      <w:pStyle w:val="Manual"/>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1"/>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4:10: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VOORSTEL VOOR EEN VERORDENING VAN HET EUROPEES PARLEMENT EN DE RAAD"/>
    <w:docVar w:name="LW_ACCOMPAGNANT.CP" w:val="VOORSTEL VOOR EEN VERORDENING VAN HET EUROPEES PARLEMENT EN DE RAAD"/>
    <w:docVar w:name="LW_ANNEX_NBR_FIRST" w:val="1"/>
    <w:docVar w:name="LW_ANNEX_NBR_LAST" w:val="1"/>
    <w:docVar w:name="LW_ANNEX_UNIQUE" w:val="0"/>
    <w:docVar w:name="LW_CORRIGENDUM" w:val="&lt;UNUSED&gt;"/>
    <w:docVar w:name="LW_COVERPAGE_EXISTS" w:val="True"/>
    <w:docVar w:name="LW_COVERPAGE_GUID" w:val="9FFB1CD2-503D-4722-ABB4-F6BF9FC332A7"/>
    <w:docVar w:name="LW_COVERPAGE_TYPE" w:val="1"/>
    <w:docVar w:name="LW_CROSSREFERENCE" w:val="{SWD(2017) 466 final}_x000b_{SWD(2017) 467 final}_x000b_{SWD(2017) 468 final}_x000b_{SWD(2017) 469 final}_x000b_{SWD(2017) 470 final}"/>
    <w:docVar w:name="LW_DocType" w:val="ANNEX"/>
    <w:docVar w:name="LW_EMISSION" w:val="19.12.2017"/>
    <w:docVar w:name="LW_EMISSION_ISODATE" w:val="2017-12-19"/>
    <w:docVar w:name="LW_EMISSION_LOCATION" w:val="BRX"/>
    <w:docVar w:name="LW_EMISSION_PREFIX" w:val="Brussel,"/>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
    <w:docVar w:name="LW_TYPEACTEPRINCIPAL.CP" w:val="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1">
    <w:name w:val="List Number 1"/>
    <w:basedOn w:val="Text1"/>
    <w:pPr>
      <w:tabs>
        <w:tab w:val="num" w:pos="1191"/>
      </w:tabs>
      <w:spacing w:before="0" w:after="240"/>
      <w:ind w:left="1191" w:hanging="709"/>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character" w:styleId="Hyperlink">
    <w:name w:val="Hyperlink"/>
    <w:basedOn w:val="DefaultParagraphFont"/>
    <w:uiPriority w:val="99"/>
    <w:unhideWhenUsed/>
    <w:rPr>
      <w:strike w:val="0"/>
      <w:dstrike w:val="0"/>
      <w:color w:val="347C98"/>
      <w:u w:val="none"/>
      <w:effect w:val="none"/>
      <w:shd w:val="clear" w:color="auto" w:fill="auto"/>
    </w:rPr>
  </w:style>
  <w:style w:type="paragraph" w:customStyle="1" w:styleId="Manual">
    <w:name w:val="Manual"/>
    <w:basedOn w:val="Normal"/>
    <w:pPr>
      <w:numPr>
        <w:numId w:val="5"/>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Number1">
    <w:name w:val="List Number 1"/>
    <w:basedOn w:val="Text1"/>
    <w:pPr>
      <w:tabs>
        <w:tab w:val="num" w:pos="1191"/>
      </w:tabs>
      <w:spacing w:before="0" w:after="240"/>
      <w:ind w:left="1191" w:hanging="709"/>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character" w:styleId="Hyperlink">
    <w:name w:val="Hyperlink"/>
    <w:basedOn w:val="DefaultParagraphFont"/>
    <w:uiPriority w:val="99"/>
    <w:unhideWhenUsed/>
    <w:rPr>
      <w:strike w:val="0"/>
      <w:dstrike w:val="0"/>
      <w:color w:val="347C98"/>
      <w:u w:val="none"/>
      <w:effect w:val="none"/>
      <w:shd w:val="clear" w:color="auto" w:fill="auto"/>
    </w:rPr>
  </w:style>
  <w:style w:type="paragraph" w:customStyle="1" w:styleId="Manual">
    <w:name w:val="Manual"/>
    <w:basedOn w:val="Normal"/>
    <w:pPr>
      <w:numPr>
        <w:numId w:val="5"/>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Strong">
    <w:name w:val="Strong"/>
    <w:basedOn w:val="DefaultParagraphFont"/>
    <w:uiPriority w:val="22"/>
    <w:qFormat/>
    <w:rPr>
      <w:b/>
      <w:bCs/>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B7EA-E9AB-4755-A627-3C1A8EAA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2595</Words>
  <Characters>14354</Characters>
  <Application>Microsoft Office Word</Application>
  <DocSecurity>0</DocSecurity>
  <Lines>247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VOUNASI Stamatia (GROW)</dc:creator>
  <cp:lastModifiedBy>DIGIT/A3</cp:lastModifiedBy>
  <cp:revision>8</cp:revision>
  <cp:lastPrinted>2017-10-09T13:02:00Z</cp:lastPrinted>
  <dcterms:created xsi:type="dcterms:W3CDTF">2018-01-19T11:03:00Z</dcterms:created>
  <dcterms:modified xsi:type="dcterms:W3CDTF">2018-01-22T13:10:00Z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Classification">
    <vt:lpwstr> </vt:lpwstr>
  </property>
  <property fmtid="{D5CDD505-2E9C-101B-9397-08002B2CF9AE}" pid="14" name="DQCStatus">
    <vt:lpwstr>Green (DQC version 03)</vt:lpwstr>
  </property>
</Properties>
</file>