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7A" w:rsidRDefault="005F0856" w:rsidP="005F0856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50C67FEF-37A5-420A-9007-25B5AD4EE111" style="width:450.4pt;height:598.4pt">
            <v:imagedata r:id="rId10" o:title=""/>
          </v:shape>
        </w:pict>
      </w:r>
    </w:p>
    <w:p w:rsidR="001E667A" w:rsidRDefault="001E667A">
      <w:pPr>
        <w:rPr>
          <w:noProof/>
        </w:rPr>
        <w:sectPr w:rsidR="001E667A" w:rsidSect="005F085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1E667A" w:rsidRDefault="005F0856"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INDOKOLÁS</w:t>
      </w:r>
    </w:p>
    <w:p w:rsidR="001E667A" w:rsidRDefault="005F0856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A JAVASLAT HÁTTERE</w:t>
      </w:r>
    </w:p>
    <w:p w:rsidR="001E667A" w:rsidRDefault="005F0856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</w:rPr>
        <w:t>1.1.</w:t>
      </w:r>
      <w:r>
        <w:rPr>
          <w:noProof/>
        </w:rPr>
        <w:tab/>
        <w:t>A javaslat indokai és céljai</w:t>
      </w:r>
    </w:p>
    <w:p w:rsidR="001E667A" w:rsidRDefault="005F0856">
      <w:pPr>
        <w:rPr>
          <w:noProof/>
          <w:szCs w:val="24"/>
        </w:rPr>
      </w:pPr>
      <w:r>
        <w:rPr>
          <w:noProof/>
        </w:rPr>
        <w:t xml:space="preserve">A saját erejére építő, és a benne rejlő potenciált teljes körűen, minden </w:t>
      </w:r>
      <w:r>
        <w:rPr>
          <w:noProof/>
        </w:rPr>
        <w:t>szempontból kihasználó elmélyített és méltányosabb egységes piac az Európai Bizottság egyik legfontosabb politikai prioritása</w:t>
      </w:r>
      <w:r>
        <w:rPr>
          <w:rStyle w:val="FootnoteReference"/>
          <w:noProof/>
        </w:rPr>
        <w:footnoteReference w:id="1"/>
      </w:r>
      <w:r>
        <w:rPr>
          <w:noProof/>
        </w:rPr>
        <w:t>. Nyomon követve és végrehajtva a 2015-ben az egységes piac továbbfejlesztéséről kiadott közleményt, a Bizottság 2017. évi munkapr</w:t>
      </w:r>
      <w:r>
        <w:rPr>
          <w:noProof/>
        </w:rPr>
        <w:t>ogramjában megfogalmazott egyik célkitűzés a polgárok és vállalkozások lehetőségeinek bővítése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 w:rsidR="001E667A" w:rsidRDefault="005F0856"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Az egységes piacon belül a négy alapszabadság közül az áruk szabad mozgása érvényesül a legteljesebb mértékben. Ebből származik ugyanis az Unió GDP-jének minte</w:t>
      </w:r>
      <w:r>
        <w:rPr>
          <w:noProof/>
          <w:color w:val="000000" w:themeColor="text1"/>
        </w:rPr>
        <w:t>gy 25 %-a, és a tagállamok közötti árukereskedelem 75 %-a. Az Unió bonyolítja a világ áruforgalmának körülbelül egyhatodát. 2015-ben az uniós tagállamok közötti árukereskedelem értéke 3 063 milliárd EUR volt</w:t>
      </w:r>
      <w:r>
        <w:rPr>
          <w:rStyle w:val="FootnoteReference"/>
          <w:noProof/>
          <w:color w:val="000000" w:themeColor="text1"/>
        </w:rPr>
        <w:footnoteReference w:id="3"/>
      </w:r>
      <w:r>
        <w:rPr>
          <w:noProof/>
        </w:rPr>
        <w:t>.</w:t>
      </w:r>
      <w:r>
        <w:rPr>
          <w:noProof/>
          <w:color w:val="000000" w:themeColor="text1"/>
        </w:rPr>
        <w:t xml:space="preserve"> A mélyebb és méltányosabb egységes piac biztos</w:t>
      </w:r>
      <w:r>
        <w:rPr>
          <w:noProof/>
          <w:color w:val="000000" w:themeColor="text1"/>
        </w:rPr>
        <w:t>ításához azonban még többet kell tenni.</w:t>
      </w:r>
    </w:p>
    <w:p w:rsidR="001E667A" w:rsidRDefault="005F0856"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A piacon egyre nagyobb számban jelenlévő illegális és nem megfelelő termékek torzítják a versenyt, és veszélynek teszik ki a fogyasztókat. Sok gazdasági szereplő hagyja figyelmen kívül a szabályokat, vagy tájékozatla</w:t>
      </w:r>
      <w:r>
        <w:rPr>
          <w:noProof/>
          <w:color w:val="000000" w:themeColor="text1"/>
        </w:rPr>
        <w:t>nságból, vagy szándékosan azért, hogy versenyelőnyre tegyen szert. Nagyobb visszatartó erőre van szükség, a piacfelügyeleti hatóságok azonban gyakran alulfinanszírozottak, és a nemzeti határok korlátozzák a mozgásterüket. A vállalkozások sokszor az Unión b</w:t>
      </w:r>
      <w:r>
        <w:rPr>
          <w:noProof/>
          <w:color w:val="000000" w:themeColor="text1"/>
        </w:rPr>
        <w:t>elül és globális szinten is tevékenykednek, az ellátási láncok pedig gyorsan fejlődnek. Konkrétan az elektronikus kereskedelem területén a piacfelügyeleti hatóságok számára komoly nehézséget jelent, hogy a joghatóságuk alá tartozó területen nyomon kövessék</w:t>
      </w:r>
      <w:r>
        <w:rPr>
          <w:noProof/>
          <w:color w:val="000000" w:themeColor="text1"/>
        </w:rPr>
        <w:t xml:space="preserve"> az Unióba behozott nem megfelelő termékeket, és azonosítsák a felelős vállalkozást.</w:t>
      </w:r>
    </w:p>
    <w:p w:rsidR="001E667A" w:rsidRDefault="005F0856"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2017. évi munkaprogramjában</w:t>
      </w:r>
      <w:r>
        <w:rPr>
          <w:rStyle w:val="FootnoteReference"/>
          <w:noProof/>
        </w:rPr>
        <w:footnoteReference w:id="4"/>
      </w:r>
      <w:r>
        <w:rPr>
          <w:noProof/>
          <w:color w:val="000000" w:themeColor="text1"/>
        </w:rPr>
        <w:t xml:space="preserve"> a Bizottság – az „árucsomag” részeként – a termékek megfelelőségének és a termékekről szóló uniós harmonizációs jogszabályok végrehajtásának e</w:t>
      </w:r>
      <w:r>
        <w:rPr>
          <w:noProof/>
          <w:color w:val="000000" w:themeColor="text1"/>
        </w:rPr>
        <w:t>rősítésére irányuló kezdeményezést jelentett be. A kezdeményezés az uniós piacon növekvő mennyiségben jelen lévő nem megfelelő termékek problematikájának kezelésére irányul, ugyanakkor a jogszabályoknak való megfelelés erősítését szolgáló ösztönzőket kíván</w:t>
      </w:r>
      <w:r>
        <w:rPr>
          <w:noProof/>
          <w:color w:val="000000" w:themeColor="text1"/>
        </w:rPr>
        <w:t xml:space="preserve"> bevezetni és biztosítani a – vállalkozások és a polgárok javát szolgáló – méltányos és egyenlő bánásmódot. </w:t>
      </w:r>
    </w:p>
    <w:p w:rsidR="001E667A" w:rsidRDefault="005F0856"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A kezdeményezés célja elsősorban a vállalkozások megfelelő ösztönzése, a megfelelőség ellenőrzésének fokozása, valamint a végrehajtó hatóságok közö</w:t>
      </w:r>
      <w:r>
        <w:rPr>
          <w:noProof/>
          <w:color w:val="000000" w:themeColor="text1"/>
        </w:rPr>
        <w:t xml:space="preserve">tti határon átnyúló együttműködés előmozdítása. A kezdeményezés: </w:t>
      </w:r>
    </w:p>
    <w:p w:rsidR="001E667A" w:rsidRDefault="005F0856">
      <w:pPr>
        <w:pStyle w:val="Bullet0"/>
        <w:numPr>
          <w:ilvl w:val="0"/>
          <w:numId w:val="15"/>
        </w:numPr>
        <w:rPr>
          <w:noProof/>
        </w:rPr>
      </w:pPr>
      <w:r>
        <w:rPr>
          <w:noProof/>
        </w:rPr>
        <w:t>megszilárdítja a piacfelügyeleti tevékenységek meglévő keretét,</w:t>
      </w:r>
    </w:p>
    <w:p w:rsidR="001E667A" w:rsidRDefault="005F0856">
      <w:pPr>
        <w:pStyle w:val="Bullet0"/>
        <w:rPr>
          <w:noProof/>
        </w:rPr>
      </w:pPr>
      <w:r>
        <w:rPr>
          <w:noProof/>
        </w:rPr>
        <w:t xml:space="preserve">elősegíti a több különböző tagállam piacfelügyeleti hatóságai által közösen végrehajtott fellépéseket, </w:t>
      </w:r>
    </w:p>
    <w:p w:rsidR="001E667A" w:rsidRDefault="005F0856">
      <w:pPr>
        <w:pStyle w:val="Bullet0"/>
        <w:rPr>
          <w:noProof/>
        </w:rPr>
      </w:pPr>
      <w:r>
        <w:rPr>
          <w:noProof/>
        </w:rPr>
        <w:t xml:space="preserve">javítja az </w:t>
      </w:r>
      <w:r>
        <w:rPr>
          <w:noProof/>
        </w:rPr>
        <w:t>információcserét, valamint támogatást biztosít a piacfelügyeleti programok koordinálásához,</w:t>
      </w:r>
    </w:p>
    <w:p w:rsidR="001E667A" w:rsidRDefault="005F0856">
      <w:pPr>
        <w:pStyle w:val="Bullet0"/>
        <w:rPr>
          <w:noProof/>
        </w:rPr>
      </w:pPr>
      <w:r>
        <w:rPr>
          <w:noProof/>
        </w:rPr>
        <w:lastRenderedPageBreak/>
        <w:t>megerősíti a keretet az Unió piacára belépő termékek ellenőrzéséhez, valamint a piacfelügyeleti hatóságok és a vámhatóságok közötti jobb együttműködéshez.</w:t>
      </w:r>
    </w:p>
    <w:p w:rsidR="001E667A" w:rsidRDefault="005F0856">
      <w:pPr>
        <w:pStyle w:val="ManualHeading2"/>
        <w:rPr>
          <w:rFonts w:eastAsia="Arial Unicode MS"/>
          <w:noProof/>
          <w:color w:val="000000"/>
          <w:u w:color="000000"/>
        </w:rPr>
      </w:pPr>
      <w:r>
        <w:rPr>
          <w:noProof/>
          <w:color w:val="000000"/>
          <w:u w:color="000000"/>
        </w:rPr>
        <w:t>1.2.</w:t>
      </w:r>
      <w:r>
        <w:rPr>
          <w:noProof/>
        </w:rPr>
        <w:tab/>
      </w:r>
      <w:r>
        <w:rPr>
          <w:noProof/>
        </w:rPr>
        <w:t>Összhang a szakpolitikai területen már meglévő rendelkezésekkel</w:t>
      </w:r>
    </w:p>
    <w:p w:rsidR="001E667A" w:rsidRDefault="005F0856"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A 765/2008/EK európai parlamenti és tanácsi rendelet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és a 768/2008/EK európai parlamenti és tanácsi határozat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</w:t>
      </w:r>
    </w:p>
    <w:p w:rsidR="001E667A" w:rsidRDefault="005F0856">
      <w:pPr>
        <w:rPr>
          <w:noProof/>
        </w:rPr>
      </w:pPr>
      <w:r>
        <w:rPr>
          <w:noProof/>
        </w:rPr>
        <w:t>A 765/2008/EK rendelet rendelkezik a termékek piacfelügyeletének jelenlegi k</w:t>
      </w:r>
      <w:r>
        <w:rPr>
          <w:noProof/>
        </w:rPr>
        <w:t>eretrendszeréről, és kiegészíti a 768/2008/EK határozatot. A határozat a termékek forgalomba hozatali feltételeit, különösen az ellátási láncban részt vevő vállalkozásokra vonatkozó kötelezettségeket harmonizáló uniós jogszabályokra vonatkozó referenciaren</w:t>
      </w:r>
      <w:r>
        <w:rPr>
          <w:noProof/>
        </w:rPr>
        <w:t xml:space="preserve">delkezéseket fogalmaz meg. </w:t>
      </w:r>
    </w:p>
    <w:p w:rsidR="001E667A" w:rsidRDefault="005F0856">
      <w:pPr>
        <w:rPr>
          <w:noProof/>
        </w:rPr>
      </w:pPr>
      <w:r>
        <w:rPr>
          <w:noProof/>
        </w:rPr>
        <w:t xml:space="preserve">A javaslat értelmében a 765/2008/EK rendelet 15. és 29. cikke a továbbiakban nem vonatkozik majd az e jogalkotási javaslat mellékletében felsorolt jogszabályokra. </w:t>
      </w:r>
    </w:p>
    <w:p w:rsidR="001E667A" w:rsidRDefault="005F0856">
      <w:pPr>
        <w:rPr>
          <w:noProof/>
        </w:rPr>
      </w:pPr>
      <w:r>
        <w:rPr>
          <w:noProof/>
        </w:rPr>
        <w:t>A 768/2008/EK határozatban szereplő referenciarendelkezések tová</w:t>
      </w:r>
      <w:r>
        <w:rPr>
          <w:noProof/>
        </w:rPr>
        <w:t>bbra is biztosítják a gyártókra, a meghatalmazott képviselőkre, az importőrökre és a forgalmazókra vonatkozó kötelezettségek általános keretét.</w:t>
      </w:r>
    </w:p>
    <w:p w:rsidR="001E667A" w:rsidRDefault="005F0856"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Javaslat – Az Európai Parlament és a Tanács rendelete a termékek piacfelügyeletéről és a 89/686/EGK és a 93/1</w:t>
      </w:r>
      <w:r>
        <w:rPr>
          <w:noProof/>
        </w:rPr>
        <w:t xml:space="preserve">5/EGK tanácsi irányelv, a 94/9/EK, a 94/25/EK, a 95/16/EK, a 97/23/EK, az 1999/5/EK, a 2000/9/EK, a 2000/14/EK, a 2001/95/EK, a 2004/108/EK, a 2006/42/EK, a 2006/95/EK, a 2007/23/EK, a 2008/57/EK, a 2009/48/EK, a 2009/105/EK, a 2009/142/EK és a 2011/65/EU </w:t>
      </w:r>
      <w:r>
        <w:rPr>
          <w:noProof/>
        </w:rPr>
        <w:t>európai parlamenti és tanácsi irányelv, valamint a 305/2011/EU, a 764/2008/EK és a 765/2008/EU európai parlamenti és tanácsi rendelet módosításáról</w:t>
      </w:r>
      <w:r>
        <w:rPr>
          <w:rStyle w:val="FootnoteReference"/>
          <w:noProof/>
        </w:rPr>
        <w:footnoteReference w:id="7"/>
      </w:r>
    </w:p>
    <w:p w:rsidR="001E667A" w:rsidRDefault="005F0856">
      <w:pPr>
        <w:rPr>
          <w:noProof/>
        </w:rPr>
      </w:pPr>
      <w:r>
        <w:rPr>
          <w:noProof/>
        </w:rPr>
        <w:t>E javaslat összhangban áll a Bizottság által 2013 februárjában a „termékbiztonsági és piacfelügyeleti csoma</w:t>
      </w:r>
      <w:r>
        <w:rPr>
          <w:noProof/>
        </w:rPr>
        <w:t>g” részeként elfogadott, a termékek piaci felügyeletéről szóló rendeletre irányuló javaslattal (COM(2013)75). A COM(2013)75 dokumentum átfogó célja a nem élelmiszer jellegű termékekre vonatkozó uniós piacfelügyeleti keretrendszer – piacfelügyeleti szabályo</w:t>
      </w:r>
      <w:r>
        <w:rPr>
          <w:noProof/>
        </w:rPr>
        <w:t>kat tartalmazó jogszabályok számának csökkentésével történő – egyszerűsítése, és egy egyszintű rendszer létrehozása, amelyben mindezen szabályokat egyetlen eszköz tartalmazza. A COM(2013)75 javaslat célja különösen az, hogy felülvizsgálja és egyetlen, az ö</w:t>
      </w:r>
      <w:r>
        <w:rPr>
          <w:noProof/>
        </w:rPr>
        <w:t>sszes ágazatban horizontálisan alkalmazandó jogi eszközben egyesítse az általános termékbiztonságról szóló 2001/95/EK irányelv, a 765/2008/EK rendelet és számos uniós harmonizációs jogszabály piacfelügyeletre vonatkozó szabályait.</w:t>
      </w:r>
    </w:p>
    <w:p w:rsidR="001E667A" w:rsidRDefault="005F0856">
      <w:pPr>
        <w:rPr>
          <w:noProof/>
        </w:rPr>
      </w:pPr>
      <w:r>
        <w:rPr>
          <w:noProof/>
        </w:rPr>
        <w:t>Az Európai Parlament első</w:t>
      </w:r>
      <w:r>
        <w:rPr>
          <w:noProof/>
        </w:rPr>
        <w:t xml:space="preserve"> olvasatban 2014. április 15-én fogadta el álláspontját a javaslatról. A jogalkotási vita azonban 2015-ben elakadt. Ha a COM(2013)75 javaslatról szóló jogalkotási vita újraindulna, a jelenleg hatályos uniós harmonizációs jogszabályok – 2013 óta történt vál</w:t>
      </w:r>
      <w:r>
        <w:rPr>
          <w:noProof/>
        </w:rPr>
        <w:t>tozások figyelembevételével történő – értékelése és e javaslat hozzájárulhatna ahhoz, hogy a társjogalkotók haladást érjenek el a jogalkotási folyamatban, megfelelve ezzel az Európai Parlament, az Európai Unió Tanácsa és az Európai Bizottság közötti, a jog</w:t>
      </w:r>
      <w:r>
        <w:rPr>
          <w:noProof/>
        </w:rPr>
        <w:t>alkotás minőségének javításáról szóló intézményközi megállapodásnak.</w:t>
      </w:r>
    </w:p>
    <w:p w:rsidR="001E667A" w:rsidRDefault="005F0856">
      <w:pPr>
        <w:rPr>
          <w:noProof/>
        </w:rPr>
      </w:pPr>
      <w:r>
        <w:rPr>
          <w:noProof/>
        </w:rPr>
        <w:t>A piacfelügyeleti javaslattal (COM(2013)75) történő bármilyen átfedés vagy ellentétes tartalmú rendelkezés előfordulásának lehetőségét elkerülendő, e javaslat lex generalis rendelkezéseke</w:t>
      </w:r>
      <w:r>
        <w:rPr>
          <w:noProof/>
        </w:rPr>
        <w:t>t tartalmaz.</w:t>
      </w:r>
    </w:p>
    <w:p w:rsidR="001E667A" w:rsidRDefault="005F0856"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A termékekre vonatkozó uniós harmonizációs jogszabályok</w:t>
      </w:r>
    </w:p>
    <w:p w:rsidR="001E667A" w:rsidRDefault="005F0856">
      <w:pPr>
        <w:rPr>
          <w:noProof/>
        </w:rPr>
      </w:pPr>
      <w:r>
        <w:rPr>
          <w:noProof/>
        </w:rPr>
        <w:t>A termékekre vonatkozó uniós harmonizációs jogszabályok a termékek gyártásának módjára vonatkozó közös követelményeket, egyebek mellett a termékekre, azok méretére és összetételére von</w:t>
      </w:r>
      <w:r>
        <w:rPr>
          <w:noProof/>
        </w:rPr>
        <w:t>atkozó szabályokat határoznak meg. Nemcsak az áruk egységes piacon belüli szabad mozgása előtt álló akadályok elhárítása a cél, hanem annak biztosítása is, hogy az Unióban kizárólag biztonságos és megfelelő termékek kerüljenek forgalomba. Ezáltal a tisztes</w:t>
      </w:r>
      <w:r>
        <w:rPr>
          <w:noProof/>
        </w:rPr>
        <w:t xml:space="preserve">séges kereskedők élvezik majd az egyenlő versenyfeltételekből fakadó előnyöket, védve ezzel a fogyasztókat és a foglalkozásszerű felhasználókat, valamint támogatva a versenyképes egységes piacot. </w:t>
      </w:r>
    </w:p>
    <w:p w:rsidR="001E667A" w:rsidRDefault="005F0856">
      <w:pPr>
        <w:rPr>
          <w:noProof/>
        </w:rPr>
      </w:pPr>
      <w:r>
        <w:rPr>
          <w:noProof/>
        </w:rPr>
        <w:t xml:space="preserve">A termékekre vonatkozó – e javasolt rendelet mellékletében </w:t>
      </w:r>
      <w:r>
        <w:rPr>
          <w:noProof/>
        </w:rPr>
        <w:t xml:space="preserve">felsorolt – uniós harmonizációs jogszabályok a hatályuk alá tartozó minden egyes termékkategóriára meghatározzák a forgalomba hozatal egyedi keretrendszerét, és ezzel az ellátási láncban részt vevő vállalkozások kötelezettségeit. </w:t>
      </w:r>
    </w:p>
    <w:p w:rsidR="001E667A" w:rsidRDefault="005F0856">
      <w:pPr>
        <w:rPr>
          <w:noProof/>
        </w:rPr>
      </w:pPr>
      <w:r>
        <w:rPr>
          <w:noProof/>
        </w:rPr>
        <w:t>A termékek uniós harmoniz</w:t>
      </w:r>
      <w:r>
        <w:rPr>
          <w:noProof/>
        </w:rPr>
        <w:t>ációs jogszabályoknak való megfelelésének biztosítása szempontjából kiemelten fontos a gyártók és a piacfelügyeleti hatóságok közötti zökkenőmentes együttműködés és jó kapcsolat. E kezdeményezés értelmében egy termék csak akkor hozható forgalomba, ha az Un</w:t>
      </w:r>
      <w:r>
        <w:rPr>
          <w:noProof/>
        </w:rPr>
        <w:t xml:space="preserve">ióban kijelölésre kerül a termékmegfelelési információért felelős személy, aki a piacfelügyeleti hatóságok felé is közvetlen kapcsolattartó. Ez a személy lehet a gyártó, az importőr vagy a gyártó által megbízott bármely gazdasági szereplő. </w:t>
      </w:r>
    </w:p>
    <w:p w:rsidR="001E667A" w:rsidRDefault="005F0856"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Az általános</w:t>
      </w:r>
      <w:r>
        <w:rPr>
          <w:noProof/>
        </w:rPr>
        <w:t xml:space="preserve"> termékbiztonságról szóló 2001/95/EK irányelv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</w:t>
      </w:r>
    </w:p>
    <w:p w:rsidR="001E667A" w:rsidRDefault="005F0856">
      <w:pPr>
        <w:rPr>
          <w:noProof/>
        </w:rPr>
      </w:pPr>
      <w:r>
        <w:rPr>
          <w:noProof/>
        </w:rPr>
        <w:t>Az irányelv biztosítja, hogy az Unióban forgalomba hozott termékek biztonságosak, különösen azon termékek elleni fellépéssel, amelyek súlyos veszélyt jelentenek, és amelyek forgalmazását vagy felhasználását v</w:t>
      </w:r>
      <w:r>
        <w:rPr>
          <w:noProof/>
        </w:rPr>
        <w:t xml:space="preserve">alamely tagállam hatóságai a fogyasztók egészségét és biztonságát fenyegető veszélyek csökkentése érdekében meg kívánják tagadni vagy be kívánják tiltani. </w:t>
      </w:r>
    </w:p>
    <w:p w:rsidR="001E667A" w:rsidRDefault="005F0856"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>A 952/2013/EU európai parlamenti és tanácsi rendelet (Uniós Vámkódex)</w:t>
      </w:r>
      <w:r>
        <w:rPr>
          <w:rStyle w:val="FootnoteReference"/>
          <w:noProof/>
        </w:rPr>
        <w:footnoteReference w:id="9"/>
      </w:r>
    </w:p>
    <w:p w:rsidR="001E667A" w:rsidRDefault="005F0856">
      <w:pPr>
        <w:autoSpaceDE w:val="0"/>
        <w:autoSpaceDN w:val="0"/>
        <w:adjustRightInd w:val="0"/>
        <w:spacing w:before="0"/>
        <w:rPr>
          <w:noProof/>
        </w:rPr>
      </w:pPr>
      <w:r>
        <w:rPr>
          <w:noProof/>
        </w:rPr>
        <w:t>A piacfelügyeleti hatóságo</w:t>
      </w:r>
      <w:r>
        <w:rPr>
          <w:noProof/>
        </w:rPr>
        <w:t>k és a vámhatóságok közötti együttműködés a termékekre vonatkozó uniós harmonizációs jogszabályok hatékony végrehajtása szempontjából kiemelt fontossággal bír. Az Unió külső határai ugyanis főszerepet játszanak a nem megfelelő termékek kiszűrése szempontjá</w:t>
      </w:r>
      <w:r>
        <w:rPr>
          <w:noProof/>
        </w:rPr>
        <w:t>ból, mivel ott a hatóságok a teljes kereskedelmi forgalomra rálátnak.</w:t>
      </w:r>
    </w:p>
    <w:p w:rsidR="001E667A" w:rsidRDefault="005F0856">
      <w:pPr>
        <w:autoSpaceDE w:val="0"/>
        <w:autoSpaceDN w:val="0"/>
        <w:adjustRightInd w:val="0"/>
        <w:spacing w:before="0"/>
        <w:rPr>
          <w:noProof/>
        </w:rPr>
      </w:pPr>
      <w:r>
        <w:rPr>
          <w:noProof/>
        </w:rPr>
        <w:t>Ezen túlmenően a biztonságra vonatkozó szabályok és a megfelelőségre irányuló ellenőrzés egységesebb végrehajtására van szükség. Ez pedig kizárólag a piacfelügyeleti hatóságok és a termé</w:t>
      </w:r>
      <w:r>
        <w:rPr>
          <w:noProof/>
        </w:rPr>
        <w:t>keknek az Unió külső határainál történő ellenőrzéséért felelős hatóságok közötti rendszeres együttműködéssel érhető el.</w:t>
      </w:r>
    </w:p>
    <w:p w:rsidR="001E667A" w:rsidRDefault="005F0856">
      <w:pPr>
        <w:autoSpaceDE w:val="0"/>
        <w:autoSpaceDN w:val="0"/>
        <w:adjustRightInd w:val="0"/>
        <w:spacing w:before="0"/>
        <w:rPr>
          <w:noProof/>
        </w:rPr>
      </w:pPr>
      <w:r>
        <w:rPr>
          <w:noProof/>
        </w:rPr>
        <w:t>Az eredményes és hatékony együttműködés akkor is fontos, ha a tagállamokban egynél több hatóság felel annak ellenőrzéséért, hogy a behoz</w:t>
      </w:r>
      <w:r>
        <w:rPr>
          <w:noProof/>
        </w:rPr>
        <w:t>ott termékek megfeleljenek a termékbiztonságra vonatkozó szabályoknak. A hatóságoknak – különösen a releváns információ megosztásával – együtt kell működniük egymással.</w:t>
      </w:r>
    </w:p>
    <w:p w:rsidR="001E667A" w:rsidRDefault="005F0856">
      <w:pPr>
        <w:pStyle w:val="ManualHeading2"/>
        <w:rPr>
          <w:rFonts w:eastAsia="Arial Unicode MS"/>
          <w:noProof/>
          <w:u w:color="000000"/>
        </w:rPr>
      </w:pPr>
      <w:r>
        <w:rPr>
          <w:noProof/>
        </w:rPr>
        <w:t>1.3.</w:t>
      </w:r>
      <w:r>
        <w:rPr>
          <w:noProof/>
        </w:rPr>
        <w:tab/>
        <w:t>Összhang az Unió egyéb szakpolitikáival</w:t>
      </w:r>
    </w:p>
    <w:p w:rsidR="001E667A" w:rsidRDefault="005F0856">
      <w:pPr>
        <w:rPr>
          <w:noProof/>
        </w:rPr>
      </w:pPr>
      <w:r>
        <w:rPr>
          <w:noProof/>
        </w:rPr>
        <w:t>A Bizottság elismerte a végrehajtó hálózat</w:t>
      </w:r>
      <w:r>
        <w:rPr>
          <w:noProof/>
        </w:rPr>
        <w:t>ok kiemelt szerepét, és támogatni kívánja a tagállamokat abban, hogy bővítsék az uniós jog érvényesítésére vonatkozó kapacitásaikat, valamint biztosítja, hogy a közigazgatási hatóságok és az ellenőrző szervek elegendő erőforrással rendelkezzenek a feladata</w:t>
      </w:r>
      <w:r>
        <w:rPr>
          <w:noProof/>
        </w:rPr>
        <w:t>ik ellátásához</w:t>
      </w:r>
      <w:r>
        <w:rPr>
          <w:rStyle w:val="FootnoteReference"/>
          <w:noProof/>
        </w:rPr>
        <w:footnoteReference w:id="10"/>
      </w:r>
      <w:r>
        <w:rPr>
          <w:noProof/>
        </w:rPr>
        <w:t>.</w:t>
      </w:r>
    </w:p>
    <w:p w:rsidR="001E667A" w:rsidRDefault="005F0856">
      <w:pPr>
        <w:rPr>
          <w:noProof/>
        </w:rPr>
      </w:pPr>
      <w:r>
        <w:rPr>
          <w:noProof/>
        </w:rPr>
        <w:t>A termékekre vonatkozó uniós harmonizációs jogszabályok végrehajtásának megerősítésére törekedve a Bizottság számításba vette a végrehajtás javítására irányuló – más területeket érintő – hasonló aktuális kezdeményezéseket. Ezek egyike az é</w:t>
      </w:r>
      <w:r>
        <w:rPr>
          <w:noProof/>
        </w:rPr>
        <w:t>lelmiszerek és takarmányok területe, ahol az élelmiszer- és takarmányjog, valamint az állategészségügyi és állatjóléti szabályok, a növényegészségügyi szabályok, és a növényvédő szerekre vonatkozó szabályok alkalmazásának biztosítása céljából végzett hatós</w:t>
      </w:r>
      <w:r>
        <w:rPr>
          <w:noProof/>
        </w:rPr>
        <w:t>ági ellenőrzésekről és más hatósági tevékenységekről szóló (EU) 2017/625 rendelet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elő fogja segíteni, hogy a tagállamok képesek legyenek az emberek, az állatok vagy a növények egészségét érintő kockázatok megelőzésére, megszüntetésére vagy csökkentésére. </w:t>
      </w:r>
      <w:r>
        <w:rPr>
          <w:noProof/>
        </w:rPr>
        <w:t>A Bizottság a fogyasztóvédelmi együttműködésről szóló rendeletnek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a végrehajtó hatóságok jogkörét és a közöttük lévő együttműködés módját érintő megújítására irányuló javaslatot is előterjesztett. </w:t>
      </w:r>
    </w:p>
    <w:p w:rsidR="001E667A" w:rsidRDefault="005F0856">
      <w:pPr>
        <w:rPr>
          <w:noProof/>
        </w:rPr>
      </w:pPr>
      <w:r>
        <w:rPr>
          <w:noProof/>
        </w:rPr>
        <w:t>A Bizottság új szabályokra is javaslatot tett a tagállami</w:t>
      </w:r>
      <w:r>
        <w:rPr>
          <w:noProof/>
        </w:rPr>
        <w:t xml:space="preserve"> versenyhatóságok további megerősítése és annak biztosítása érdekében, hogy az uniós antitröszt szabályok hatékonyabb érvényesítéséhez szükséges minden eszköz a rendelkezésükre álljon</w:t>
      </w:r>
      <w:r>
        <w:rPr>
          <w:rStyle w:val="FootnoteReference"/>
          <w:noProof/>
        </w:rPr>
        <w:footnoteReference w:id="13"/>
      </w:r>
      <w:r>
        <w:rPr>
          <w:noProof/>
        </w:rPr>
        <w:t>. Az erősebb végrehajtási hatáskörök más jelenlegi jogalkotási kezdemény</w:t>
      </w:r>
      <w:r>
        <w:rPr>
          <w:noProof/>
        </w:rPr>
        <w:t>ezéseknek</w:t>
      </w:r>
      <w:r>
        <w:rPr>
          <w:rStyle w:val="FootnoteReference"/>
          <w:noProof/>
        </w:rPr>
        <w:footnoteReference w:id="14"/>
      </w:r>
      <w:r>
        <w:rPr>
          <w:noProof/>
        </w:rPr>
        <w:t>, adatvédelmi jogszabályoknak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és a műtrágyákról szóló új jogszabálynak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is az egyik központi kérdését képezik.</w:t>
      </w:r>
    </w:p>
    <w:p w:rsidR="001E667A" w:rsidRDefault="005F0856">
      <w:pPr>
        <w:rPr>
          <w:noProof/>
        </w:rPr>
      </w:pPr>
      <w:r>
        <w:rPr>
          <w:noProof/>
        </w:rPr>
        <w:t>A bővülő termékimport mellett csökkennek a vámügyre rendelkezésre álló erőforrások csökkenése azt jelenti, hogy a vámunió jelenlegi és</w:t>
      </w:r>
      <w:r>
        <w:rPr>
          <w:noProof/>
        </w:rPr>
        <w:t xml:space="preserve"> jövőbeni kihívásokhoz jobban igazodó irányítására van szükség. E javaslat rendelkezései figyelembe veszik az ellenőrzések hatékonyságának és eredményességének növelése érdekében szorgalmazott koordinációs és ügynökségközi együttműködési mechanizmusokat, v</w:t>
      </w:r>
      <w:r>
        <w:rPr>
          <w:noProof/>
        </w:rPr>
        <w:t>alamint a – többek között a vámunió szintjén megvalósuló – továbbfejlesztett kockázatértékelést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. </w:t>
      </w:r>
    </w:p>
    <w:p w:rsidR="001E667A" w:rsidRDefault="005F0856">
      <w:pPr>
        <w:rPr>
          <w:noProof/>
        </w:rPr>
      </w:pPr>
      <w:r>
        <w:rPr>
          <w:noProof/>
        </w:rPr>
        <w:t>A globális kereskedelem vonatkozásában a Bizottság megerősítette a nyitottságon és az együttműködésen alapuló politikáját. Ugyanakkor, azon helyzetek kezelés</w:t>
      </w:r>
      <w:r>
        <w:rPr>
          <w:noProof/>
        </w:rPr>
        <w:t>e érdekében, amikor a szabályok adottak, de azokat nem tartják be, az Uniónak rendelkeznie kell az egyenlő versenyfeltételek helyreállításához, valamint a tisztességtelen gyakorlatot folytató vállalatok és országok elleni határozott fellépéshez szükséges e</w:t>
      </w:r>
      <w:r>
        <w:rPr>
          <w:noProof/>
        </w:rPr>
        <w:t>szközökkel. Az uniós szabályok erőteljes érvényesítése azt is biztosítaná, hogy a szabályokat megszegő minden, az Unióban található vagy ott tevékenységet végző vállalkozásra kiszabják a büntetést. Ennek végrehajtása során a tagállami hatóságok és a megerő</w:t>
      </w:r>
      <w:r>
        <w:rPr>
          <w:noProof/>
        </w:rPr>
        <w:t>sített uniós vámügyi kockázatkezelés együttműködésére van szükség a jogszerűen zajló uniós kereskedelem megkönyítése és felgyorsítása érdekében, egyidejűleg biztosítva – a hamis vagy veszélyes áruk uniós határokon történő bejutásának megakadályozásával – a</w:t>
      </w:r>
      <w:r>
        <w:rPr>
          <w:noProof/>
        </w:rPr>
        <w:t xml:space="preserve"> polgárok biztonságát és védelmét</w:t>
      </w:r>
      <w:r>
        <w:rPr>
          <w:rStyle w:val="FootnoteReference"/>
          <w:noProof/>
        </w:rPr>
        <w:footnoteReference w:id="18"/>
      </w:r>
      <w:r>
        <w:rPr>
          <w:noProof/>
        </w:rPr>
        <w:t>.</w:t>
      </w:r>
    </w:p>
    <w:p w:rsidR="001E667A" w:rsidRDefault="005F0856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JOGALAP, SZUBSZIDIARITÁS ÉS ARÁNYOSSÁG</w:t>
      </w:r>
    </w:p>
    <w:p w:rsidR="001E667A" w:rsidRDefault="005F0856">
      <w:pPr>
        <w:pStyle w:val="ManualHeading2"/>
        <w:rPr>
          <w:rFonts w:eastAsia="Arial Unicode MS"/>
          <w:noProof/>
          <w:u w:color="000000"/>
        </w:rPr>
      </w:pPr>
      <w:r>
        <w:rPr>
          <w:noProof/>
        </w:rPr>
        <w:t>2.1.</w:t>
      </w:r>
      <w:r>
        <w:rPr>
          <w:noProof/>
        </w:rPr>
        <w:tab/>
        <w:t>Jogalap</w:t>
      </w:r>
    </w:p>
    <w:p w:rsidR="001E667A" w:rsidRDefault="005F0856">
      <w:pPr>
        <w:pStyle w:val="Text1"/>
        <w:ind w:left="0"/>
        <w:rPr>
          <w:noProof/>
        </w:rPr>
      </w:pPr>
      <w:r>
        <w:rPr>
          <w:noProof/>
        </w:rPr>
        <w:t>A javaslat az Európai Unió működéséről szóló szerződés 33., 114. és 207. cikkén alapul.</w:t>
      </w:r>
    </w:p>
    <w:p w:rsidR="001E667A" w:rsidRDefault="005F0856">
      <w:pPr>
        <w:pStyle w:val="ManualHeading2"/>
        <w:rPr>
          <w:rFonts w:eastAsia="Arial Unicode MS"/>
          <w:noProof/>
          <w:u w:color="000000"/>
        </w:rPr>
      </w:pPr>
      <w:r>
        <w:rPr>
          <w:noProof/>
        </w:rPr>
        <w:t>2.2.</w:t>
      </w:r>
      <w:r>
        <w:rPr>
          <w:noProof/>
        </w:rPr>
        <w:tab/>
        <w:t>Szubszidiaritás</w:t>
      </w:r>
    </w:p>
    <w:p w:rsidR="001E667A" w:rsidRDefault="005F0856">
      <w:pPr>
        <w:rPr>
          <w:noProof/>
        </w:rPr>
      </w:pPr>
      <w:r>
        <w:rPr>
          <w:noProof/>
        </w:rPr>
        <w:t xml:space="preserve">A piacfelügyeleti tevékenységek, és különösen a termékekre vonatkozó uniós harmonizációs jogszabályok végrehajtása a tagállamok nemzeti hatóságainak hatáskörébe tartozik. Ez nem változott. A hatékonyság érdekében azonban a piacfelügyeleti erőfeszítéseknek </w:t>
      </w:r>
      <w:r>
        <w:rPr>
          <w:noProof/>
        </w:rPr>
        <w:t xml:space="preserve">az Unióban mindenütt egységesnek kell lenniük. Ha az Unió egyes részein lazább a piacfelügyelet, azzal a közérdeket veszélyeztető, tisztességtelen kereskedelmi feltételeket teremtő és a „forum shopping”-ra ösztönző gyenge pontok jönnek létre. </w:t>
      </w:r>
    </w:p>
    <w:p w:rsidR="001E667A" w:rsidRDefault="005F0856">
      <w:pPr>
        <w:rPr>
          <w:noProof/>
        </w:rPr>
      </w:pPr>
      <w:r>
        <w:rPr>
          <w:noProof/>
        </w:rPr>
        <w:t>Az Unióba be</w:t>
      </w:r>
      <w:r>
        <w:rPr>
          <w:noProof/>
        </w:rPr>
        <w:t>hozott termékek kapcsán azt a kockázatot is számításba kell venni, amelyet azok az uniós harmonizációs jogszabályok által védeni próbált különböző közérdekekre nézve jelentenek. Következésképpen hatékony piacfelügyeletet kell biztosítani az Unió külső hatá</w:t>
      </w:r>
      <w:r>
        <w:rPr>
          <w:noProof/>
        </w:rPr>
        <w:t>rainak teljes hosszán.</w:t>
      </w:r>
    </w:p>
    <w:p w:rsidR="001E667A" w:rsidRDefault="005F0856">
      <w:pPr>
        <w:rPr>
          <w:noProof/>
        </w:rPr>
      </w:pPr>
      <w:r>
        <w:rPr>
          <w:noProof/>
        </w:rPr>
        <w:t>Ennek megfelelően meg kell erősíteni a termékekre vonatkozó uniós harmonizációs jogszabályok végrehajtását, fenn kell tartani az ide vonatkozó közérdekek védelmét, különös tekintettel az egészségvédelemre, valamint egyenlő versenyfel</w:t>
      </w:r>
      <w:r>
        <w:rPr>
          <w:noProof/>
        </w:rPr>
        <w:t>tételeket kell biztosítani az Unióban és az Unión kívül létrehozott vállalkozások számára. A piacfelügyeleti hatóságokat a megfelelő hatáskörrel kell felruházni annak érdekében, hogy a termékekre vonatkozó uniós harmonizációs jogszabályokat hatékonyan tudj</w:t>
      </w:r>
      <w:r>
        <w:rPr>
          <w:noProof/>
        </w:rPr>
        <w:t xml:space="preserve">ák érvényesíteni. Fokozni kell a piacfelügyeleti hatóságok határon átnyúló, valamint a vámhatóságokkal kialakított együttműködéseit. Az Unió külső határainál végzett ellenőrzéseket is meg kell erősíteni. Következésképpen létre kell hozni az e törekvéseket </w:t>
      </w:r>
      <w:r>
        <w:rPr>
          <w:noProof/>
        </w:rPr>
        <w:t>lehetővé tevő és megkönnyítő piacfelügyeleti eszközöket és mechanizmusokat, így különösen az európai uniós termékmegfelelőségi hálózatot, amelynek fő feladata az Unión belüli végrehajtás koordinációja lesz. A finanszírozás és a jelentéstétel kérdését is un</w:t>
      </w:r>
      <w:r>
        <w:rPr>
          <w:noProof/>
        </w:rPr>
        <w:t>iós szinten kell kezelni.</w:t>
      </w:r>
    </w:p>
    <w:p w:rsidR="001E667A" w:rsidRDefault="005F0856">
      <w:pPr>
        <w:pStyle w:val="ManualHeading2"/>
        <w:rPr>
          <w:rFonts w:eastAsia="Arial Unicode MS"/>
          <w:noProof/>
          <w:u w:color="000000"/>
        </w:rPr>
      </w:pPr>
      <w:r>
        <w:rPr>
          <w:noProof/>
        </w:rPr>
        <w:t>2.3.</w:t>
      </w:r>
      <w:r>
        <w:rPr>
          <w:noProof/>
        </w:rPr>
        <w:tab/>
        <w:t>Arányosság</w:t>
      </w:r>
    </w:p>
    <w:p w:rsidR="001E667A" w:rsidRDefault="005F0856">
      <w:pPr>
        <w:autoSpaceDE w:val="0"/>
        <w:autoSpaceDN w:val="0"/>
        <w:adjustRightInd w:val="0"/>
        <w:spacing w:before="0"/>
        <w:rPr>
          <w:noProof/>
          <w:szCs w:val="24"/>
        </w:rPr>
      </w:pPr>
      <w:r>
        <w:rPr>
          <w:noProof/>
        </w:rPr>
        <w:t>A javaslat nem befolyásolja a tagállamok végrehajtási hatásköreit. Néhány tagállam esetében azonban szükség lehet a nemzeti eljárásjog módosítására annak biztosításához, hogy a piacfelügyeleti hatóságaik nemzetközi</w:t>
      </w:r>
      <w:r>
        <w:rPr>
          <w:noProof/>
        </w:rPr>
        <w:t xml:space="preserve"> kontextusban is eredményesen tudjanak élni a végrehajtási hatáskörükkel, részt vegyenek az Unión belüli együttműködésekben és a termékek meg nem felelése kapcsán felmerülő kérdések kezelésében.</w:t>
      </w:r>
    </w:p>
    <w:p w:rsidR="001E667A" w:rsidRDefault="005F0856">
      <w:pPr>
        <w:autoSpaceDE w:val="0"/>
        <w:autoSpaceDN w:val="0"/>
        <w:adjustRightInd w:val="0"/>
        <w:spacing w:before="0"/>
        <w:rPr>
          <w:noProof/>
          <w:szCs w:val="24"/>
        </w:rPr>
      </w:pPr>
      <w:r>
        <w:rPr>
          <w:noProof/>
        </w:rPr>
        <w:t>A javaslatban megfogalmazott intézkedések nem lépnek túl az a</w:t>
      </w:r>
      <w:r>
        <w:rPr>
          <w:noProof/>
        </w:rPr>
        <w:t>zonosított problémák kezeléshez és a megfogalmazott célkitűzések eléréséhez szükséges mértéken. A javaslat a tagállamok minden illetékes hatósága számára közös hatásköröket ír elő, aminek elő kell segítenie a végrehajtás és a termékekre vonatkozó uniós har</w:t>
      </w:r>
      <w:r>
        <w:rPr>
          <w:noProof/>
        </w:rPr>
        <w:t>monizációs szabályoknak való megfelelés javulását. A megválasztott harmonizációs szintre a zökkenőmentes együttműködés és a bizonyítékok illetékes hatóságok közötti megosztása érdekébe van szükség. Ezenkívül megoldást kell találni a fennálló helyzetre, ame</w:t>
      </w:r>
      <w:r>
        <w:rPr>
          <w:noProof/>
        </w:rPr>
        <w:t>lyben – abból fakadóan, hogy néhány tagállam piacfelügyeleti hatósága nem rendelkezik a meg nem felelések felderítéséhez és megszüntetéséhez szükséges hatáskörrel – az uniós harmonizációs jogszabályokban meghatározott egyes termékkövetelmények egységes pia</w:t>
      </w:r>
      <w:r>
        <w:rPr>
          <w:noProof/>
        </w:rPr>
        <w:t xml:space="preserve">con belüli egységes és következetes érvényesítése nem történik meg. </w:t>
      </w:r>
    </w:p>
    <w:p w:rsidR="001E667A" w:rsidRDefault="005F0856">
      <w:pPr>
        <w:autoSpaceDE w:val="0"/>
        <w:autoSpaceDN w:val="0"/>
        <w:adjustRightInd w:val="0"/>
        <w:spacing w:before="0"/>
        <w:rPr>
          <w:noProof/>
          <w:szCs w:val="24"/>
        </w:rPr>
      </w:pPr>
      <w:r>
        <w:rPr>
          <w:noProof/>
        </w:rPr>
        <w:t>A javaslat fokozni fogja a végrehajtási együttműködést anélkül, hogy aránytalan vagy túlzott terheket róna a tagállami hatóságokra. Így a javaslat nem lépi túl a benne szereplő célkitűzés</w:t>
      </w:r>
      <w:r>
        <w:rPr>
          <w:noProof/>
        </w:rPr>
        <w:t>ek eléréséhez szükséges mértéket.</w:t>
      </w:r>
    </w:p>
    <w:p w:rsidR="001E667A" w:rsidRDefault="005F0856">
      <w:pPr>
        <w:pStyle w:val="ManualHeading2"/>
        <w:rPr>
          <w:rFonts w:eastAsia="Arial Unicode MS"/>
          <w:noProof/>
          <w:u w:color="000000"/>
        </w:rPr>
      </w:pPr>
      <w:r>
        <w:rPr>
          <w:noProof/>
        </w:rPr>
        <w:t>2.4.</w:t>
      </w:r>
      <w:r>
        <w:rPr>
          <w:noProof/>
        </w:rPr>
        <w:tab/>
        <w:t>A jogi aktus típusának megválasztása</w:t>
      </w:r>
    </w:p>
    <w:p w:rsidR="001E667A" w:rsidRDefault="005F0856">
      <w:pPr>
        <w:rPr>
          <w:noProof/>
        </w:rPr>
      </w:pPr>
      <w:r>
        <w:rPr>
          <w:noProof/>
        </w:rPr>
        <w:t>A termékekre vonatkozó uniós harmonizációs jogszabályok végrehajtásának és teljesítésének javítására irányuló célkitűzés elérésének egyetlen megfelelő eszköze a rendelet. Egy irány</w:t>
      </w:r>
      <w:r>
        <w:rPr>
          <w:noProof/>
        </w:rPr>
        <w:t>elv nem érné el a célt, mivel a joghatóság határai és a potenciális hatásköri konfliktusok annak átültetését követően továbbra is fennállnának.</w:t>
      </w:r>
    </w:p>
    <w:p w:rsidR="001E667A" w:rsidRDefault="005F0856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AZ UTÓLAGOS ÉRTÉKELÉSEK, AZ ÉRDEKELT FELEKKEL FOLYTATOTT KONZULTÁCIÓK ÉS A HATÁSVIZSGÁLATOK EREDMÉNYEI</w:t>
      </w:r>
    </w:p>
    <w:p w:rsidR="001E667A" w:rsidRDefault="005F0856">
      <w:pPr>
        <w:pStyle w:val="ManualHeading2"/>
        <w:rPr>
          <w:rFonts w:eastAsia="Arial Unicode MS"/>
          <w:noProof/>
          <w:u w:color="000000"/>
        </w:rPr>
      </w:pPr>
      <w:r>
        <w:rPr>
          <w:noProof/>
        </w:rPr>
        <w:t>3.1.</w:t>
      </w:r>
      <w:r>
        <w:rPr>
          <w:noProof/>
        </w:rPr>
        <w:tab/>
        <w:t>A</w:t>
      </w:r>
      <w:r>
        <w:rPr>
          <w:noProof/>
        </w:rPr>
        <w:t xml:space="preserve"> jelenleg hatályban lévő jogszabályok utólagos értékelése/célravezetőségi vizsgálata</w:t>
      </w:r>
    </w:p>
    <w:p w:rsidR="001E667A" w:rsidRDefault="005F0856">
      <w:pPr>
        <w:spacing w:after="240"/>
        <w:rPr>
          <w:noProof/>
        </w:rPr>
      </w:pPr>
      <w:r>
        <w:rPr>
          <w:noProof/>
          <w:color w:val="000000" w:themeColor="text1"/>
        </w:rPr>
        <w:t>A Bizottság 2017. évi munkaprogramjának részeként</w:t>
      </w:r>
      <w:r>
        <w:rPr>
          <w:noProof/>
        </w:rPr>
        <w:t xml:space="preserve"> a piacfelügyelet jelenlegi jogi keretének, konkrétan a 765/2008/EK rendelet 15–29. cikke rendelkezéseinek értékelésére ke</w:t>
      </w:r>
      <w:r>
        <w:rPr>
          <w:noProof/>
        </w:rPr>
        <w:t>rült sor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. Az értékelés a </w:t>
      </w:r>
      <w:r>
        <w:rPr>
          <w:noProof/>
          <w:color w:val="000000" w:themeColor="text1"/>
        </w:rPr>
        <w:t>2010. (a rendelet hatálybalépésének dátuma) és 2015. között eltelt időszakra</w:t>
      </w:r>
      <w:r>
        <w:rPr>
          <w:noProof/>
        </w:rPr>
        <w:t xml:space="preserve"> terjedt ki.</w:t>
      </w:r>
      <w:r>
        <w:rPr>
          <w:noProof/>
          <w:color w:val="000000" w:themeColor="text1"/>
        </w:rPr>
        <w:t xml:space="preserve"> </w:t>
      </w:r>
    </w:p>
    <w:p w:rsidR="001E667A" w:rsidRDefault="005F0856">
      <w:pPr>
        <w:spacing w:after="0"/>
        <w:rPr>
          <w:b/>
          <w:noProof/>
          <w:u w:val="single"/>
        </w:rPr>
      </w:pPr>
      <w:r>
        <w:rPr>
          <w:b/>
          <w:noProof/>
          <w:u w:val="single"/>
        </w:rPr>
        <w:t>Eredményesség</w:t>
      </w:r>
    </w:p>
    <w:p w:rsidR="001E667A" w:rsidRDefault="005F0856">
      <w:pPr>
        <w:spacing w:after="24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A 765/2008/EK rendelet értékelése kimutatta, hogy az egyedi és a stratégiai célkitűzések elérése csak részben tekinthető eredm</w:t>
      </w:r>
      <w:r>
        <w:rPr>
          <w:noProof/>
          <w:color w:val="000000" w:themeColor="text1"/>
        </w:rPr>
        <w:t xml:space="preserve">ényesnek. Ez elsősorban abból fakad, hogy a koordináció és az együttműködés még mindig nem érte el a megfelelő szintet. </w:t>
      </w:r>
      <w:r>
        <w:rPr>
          <w:noProof/>
        </w:rPr>
        <w:t xml:space="preserve">Az európai szintű piacfelügyeleti együttműködést biztosító </w:t>
      </w:r>
      <w:r>
        <w:rPr>
          <w:noProof/>
          <w:color w:val="000000" w:themeColor="text1"/>
        </w:rPr>
        <w:t>eszközök</w:t>
      </w:r>
      <w:r>
        <w:rPr>
          <w:noProof/>
        </w:rPr>
        <w:t>, mint a nem élelmiszer jellegű veszélyes termékek uniós riasztási re</w:t>
      </w:r>
      <w:r>
        <w:rPr>
          <w:noProof/>
        </w:rPr>
        <w:t>ndszere (</w:t>
      </w:r>
      <w:r>
        <w:rPr>
          <w:noProof/>
          <w:color w:val="000000" w:themeColor="text1"/>
        </w:rPr>
        <w:t>RAPEX</w:t>
      </w:r>
      <w:r>
        <w:rPr>
          <w:noProof/>
        </w:rPr>
        <w:t xml:space="preserve">), valamint a </w:t>
      </w:r>
      <w:r>
        <w:rPr>
          <w:rStyle w:val="st"/>
          <w:noProof/>
        </w:rPr>
        <w:t>piacfelügyeleti információs és kommunikációs rendszer</w:t>
      </w:r>
      <w:r>
        <w:rPr>
          <w:noProof/>
          <w:color w:val="000000" w:themeColor="text1"/>
        </w:rPr>
        <w:t xml:space="preserve"> (ICSMS) kialakítása megtörtént, ugyanakkor a tagállamok ezeket nem veszik kellő mértékben igénybe. Ennek eredményeként ritkán fordul elő, hogy a piacfelügyeleti hatóságok kor</w:t>
      </w:r>
      <w:r>
        <w:rPr>
          <w:noProof/>
          <w:color w:val="000000" w:themeColor="text1"/>
        </w:rPr>
        <w:t>látozzák egy termék forgalomba hozatalát, ha valamely másik tagállam megfelelő hatósága értesíti őket a termékkel kapcsolatos intézkedésekről. Úgy tűnik, hogy a piacfelügyeleti hatóságok és a vámhatóságok csak korlátozott körben használják fel a valamely m</w:t>
      </w:r>
      <w:r>
        <w:rPr>
          <w:noProof/>
          <w:color w:val="000000" w:themeColor="text1"/>
        </w:rPr>
        <w:t>ásik tagállam partnerhatósága által tett megállapításokat (köztük a vizsgálati jelentéseket), és így korlátozott mértékű a párhuzamos törekvések elkerülése is. Ezen túlmenően a 765/2008/EK rendelet</w:t>
      </w:r>
      <w:r>
        <w:rPr>
          <w:noProof/>
        </w:rPr>
        <w:t xml:space="preserve"> </w:t>
      </w:r>
      <w:r>
        <w:rPr>
          <w:noProof/>
          <w:color w:val="000000" w:themeColor="text1"/>
        </w:rPr>
        <w:t>alkalmazása még mindig nem egységes, mivel a tagállami vég</w:t>
      </w:r>
      <w:r>
        <w:rPr>
          <w:noProof/>
          <w:color w:val="000000" w:themeColor="text1"/>
        </w:rPr>
        <w:t>rehajtás terén számottevő különbségek tapasztalhatók. Ez érinti a piacfelügyelet tagállami szintű megszervezését, a pénzügyi, a humán- és a műszaki erőforrások rendelkezésre állását, a piacfelügyeletre vonatkozó stratégiákat, a vizsgálati és a szankcionálá</w:t>
      </w:r>
      <w:r>
        <w:rPr>
          <w:noProof/>
          <w:color w:val="000000" w:themeColor="text1"/>
        </w:rPr>
        <w:t xml:space="preserve">si hatásköröket, valamint a nyomon követés és a jelentéstétel rendszerét. Végül, de nem utolsósorban, a behozott termékek határon történő ellenőrzése elégtelennek tűnik. A legnagyobb nehézség – különösen az online értékesítés területén – abból fakad, hogy </w:t>
      </w:r>
      <w:r>
        <w:rPr>
          <w:noProof/>
          <w:color w:val="000000" w:themeColor="text1"/>
        </w:rPr>
        <w:t xml:space="preserve">a piacfelügyeleti hatóságok hatásköre nem terjed a saját tagállamukon kívülre. </w:t>
      </w:r>
    </w:p>
    <w:p w:rsidR="001E667A" w:rsidRDefault="005F0856">
      <w:pPr>
        <w:spacing w:after="24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 xml:space="preserve">Így biztonsággal megállapítható, hogy a </w:t>
      </w:r>
      <w:r>
        <w:rPr>
          <w:noProof/>
        </w:rPr>
        <w:t>765/2008/EK rendelet</w:t>
      </w:r>
      <w:r>
        <w:rPr>
          <w:noProof/>
          <w:color w:val="000000" w:themeColor="text1"/>
        </w:rPr>
        <w:t xml:space="preserve"> közérdek védelmének erősítésére, valamint a gazdasági szereplőket megillető tisztességes kereskedelmi feltételek bi</w:t>
      </w:r>
      <w:r>
        <w:rPr>
          <w:noProof/>
          <w:color w:val="000000" w:themeColor="text1"/>
        </w:rPr>
        <w:t>ztosítására irányuló, az egységes piacon jelen lévő nem megfelelő termékek mennyiségének csökkentésével elérendő, stratégia célkitűzései nem teljesülnek maradéktalanul. A rendelkezésre álló adatok szerint továbbra is forgalomba hoznak nem megfelelő terméke</w:t>
      </w:r>
      <w:r>
        <w:rPr>
          <w:noProof/>
          <w:color w:val="000000" w:themeColor="text1"/>
        </w:rPr>
        <w:t>ket, és lehet, hogy a termékek mennyisége nőni fog.</w:t>
      </w:r>
    </w:p>
    <w:p w:rsidR="001E667A" w:rsidRDefault="005F0856">
      <w:pPr>
        <w:spacing w:after="240"/>
        <w:rPr>
          <w:b/>
          <w:noProof/>
          <w:u w:val="single"/>
        </w:rPr>
      </w:pPr>
      <w:r>
        <w:rPr>
          <w:b/>
          <w:noProof/>
          <w:u w:val="single"/>
        </w:rPr>
        <w:t>Hatékonyság</w:t>
      </w:r>
    </w:p>
    <w:p w:rsidR="001E667A" w:rsidRDefault="005F0856">
      <w:pPr>
        <w:rPr>
          <w:noProof/>
        </w:rPr>
      </w:pPr>
      <w:r>
        <w:rPr>
          <w:noProof/>
        </w:rPr>
        <w:t>A piacfelügyelethez kapcsolódó költségek nagy részét a tagállamok és azok piacfelügyeleti hatóságai viselik, és mértékük tagállamonként jelentősen eltér. Ennek hátterében az áll, hogy a különb</w:t>
      </w:r>
      <w:r>
        <w:rPr>
          <w:noProof/>
        </w:rPr>
        <w:t>öző nemzeti szervezeti modellek különböző szintű humán- és pénzügyi erőforrás bevonását igénylik, valamint, hogy a piacfelügyeleti hatóságok eltérő megközelítéseket alkalmaznak a jelentéseikben szereplő – a felhasznált pénzügyi forrásokra és a megvalósítot</w:t>
      </w:r>
      <w:r>
        <w:rPr>
          <w:noProof/>
        </w:rPr>
        <w:t>t tevékenységekre vonatkozó – adatok összeállításakor.</w:t>
      </w:r>
    </w:p>
    <w:p w:rsidR="001E667A" w:rsidRDefault="005F0856">
      <w:pPr>
        <w:rPr>
          <w:noProof/>
        </w:rPr>
      </w:pPr>
      <w:r>
        <w:rPr>
          <w:noProof/>
        </w:rPr>
        <w:t>A 765/2008/EK rendelet következtében a gazdasági szereplőknél felmerülő információs költségek jelentéktelennek tekinthetők. A vállalkozások ugyanakkor a piacfelügyelettel kapcsolatos tagállami megközel</w:t>
      </w:r>
      <w:r>
        <w:rPr>
          <w:noProof/>
        </w:rPr>
        <w:t>ítések terén a határok különböző oldalain tapasztalható következetlenség rájuk gyakorolt negatív hatásaira hívják fel a figyelmet, hangsúlyozva, hogy a jelenlegi végrehajtási mechanizmus alkalmatlan arra, hogy egyenlő versenyfeltételeket teremtsen a vállal</w:t>
      </w:r>
      <w:r>
        <w:rPr>
          <w:noProof/>
        </w:rPr>
        <w:t xml:space="preserve">kozások számára. </w:t>
      </w:r>
    </w:p>
    <w:p w:rsidR="001E667A" w:rsidRDefault="005F0856">
      <w:pPr>
        <w:rPr>
          <w:noProof/>
          <w:szCs w:val="24"/>
        </w:rPr>
      </w:pPr>
      <w:r>
        <w:rPr>
          <w:noProof/>
        </w:rPr>
        <w:t>Az előnyöket tekintetében elmondható, hogy a 765/2008/EK rendelet nem eredményezte a fogyasztók és más végfelhasználók biztonsága terén elvárt javulást. A nem megfelelő termékek folyamatos és bővülő jelenléte azt mutatja, hogy a vállalkoz</w:t>
      </w:r>
      <w:r>
        <w:rPr>
          <w:noProof/>
        </w:rPr>
        <w:t>ások számára sem sikerült tisztességes kereskedelmi feltételeket teremtenie.</w:t>
      </w:r>
    </w:p>
    <w:p w:rsidR="001E667A" w:rsidRDefault="005F0856">
      <w:pPr>
        <w:spacing w:before="0" w:after="0"/>
        <w:rPr>
          <w:b/>
          <w:noProof/>
          <w:u w:val="single"/>
        </w:rPr>
      </w:pPr>
      <w:r>
        <w:rPr>
          <w:b/>
          <w:noProof/>
          <w:u w:val="single"/>
        </w:rPr>
        <w:t>Koherencia</w:t>
      </w:r>
    </w:p>
    <w:p w:rsidR="001E667A" w:rsidRDefault="005F0856">
      <w:pPr>
        <w:rPr>
          <w:noProof/>
          <w:szCs w:val="24"/>
        </w:rPr>
      </w:pPr>
      <w:r>
        <w:rPr>
          <w:noProof/>
        </w:rPr>
        <w:t>Az értékelés rámutatott az általános termékbiztonságról szóló 2001/95/EK irányelvvel – amelynek fogalommeghatározásai nem minden esetben igazodnak a rendeletben szerepl</w:t>
      </w:r>
      <w:r>
        <w:rPr>
          <w:noProof/>
        </w:rPr>
        <w:t xml:space="preserve">őkhöz – való összhang hiányosságaira. E javaslat világossá teszi az általános termékbiztonságról szóló irányelv és a 765/2008/EK rendelet közötti határokat. A </w:t>
      </w:r>
      <w:r>
        <w:rPr>
          <w:i/>
          <w:noProof/>
        </w:rPr>
        <w:t>lex specialis</w:t>
      </w:r>
      <w:r>
        <w:rPr>
          <w:noProof/>
        </w:rPr>
        <w:t xml:space="preserve"> rendelkezés kellő mértékben biztosítja a 765/2008/EK rendelet koherenciáját az ágazati irányelvekkel. Bár bizonyos esetekben a különböző jogszabályokban szereplő fogalommeghatározásokon és terminológián belüli eltérések és hiányosságok rontják a piacfelüg</w:t>
      </w:r>
      <w:r>
        <w:rPr>
          <w:noProof/>
        </w:rPr>
        <w:t xml:space="preserve">yelet keretrendszerének egyértelműségét, ez nem gátolja a 765/2008/EK rendelet végrehajtását. </w:t>
      </w:r>
    </w:p>
    <w:p w:rsidR="001E667A" w:rsidRDefault="005F0856">
      <w:pPr>
        <w:spacing w:before="0" w:after="0"/>
        <w:rPr>
          <w:b/>
          <w:noProof/>
          <w:u w:val="single"/>
        </w:rPr>
      </w:pPr>
      <w:r>
        <w:rPr>
          <w:b/>
          <w:noProof/>
          <w:u w:val="single"/>
        </w:rPr>
        <w:t>Relevancia</w:t>
      </w:r>
    </w:p>
    <w:p w:rsidR="001E667A" w:rsidRDefault="005F0856">
      <w:pPr>
        <w:rPr>
          <w:noProof/>
          <w:szCs w:val="24"/>
        </w:rPr>
      </w:pPr>
      <w:r>
        <w:rPr>
          <w:noProof/>
        </w:rPr>
        <w:t xml:space="preserve">Az értékelés a 765/2008/EK rendelet hatályának megértésével kapcsolatos bizonyos nehézségekre világított rá. Bár a benne szereplő </w:t>
      </w:r>
      <w:r>
        <w:rPr>
          <w:noProof/>
        </w:rPr>
        <w:t>fogalommeghatározások általában egyértelműek és megfelelőek, azonban – különösen az online értékesítés területén – nem teljes körűek és nem korszerűek. A 765/2008/EK rendelet az érdekelt felek jelenlegi – például az együttműködéssel és az információmegoszt</w:t>
      </w:r>
      <w:r>
        <w:rPr>
          <w:noProof/>
        </w:rPr>
        <w:t>ással kapcsolatos – igényeire érdemi válaszokat kínál, ugyanakkor a gyors reakciókat igénylő jelenlegi piaci dinamika (bővülő online kereskedelem, a tagállami költségvetési korlátok) kapcsán felmerülő igények vonatkozásában sokkal kevésbé releváns.</w:t>
      </w:r>
    </w:p>
    <w:p w:rsidR="001E667A" w:rsidRDefault="005F0856">
      <w:pPr>
        <w:rPr>
          <w:noProof/>
          <w:szCs w:val="24"/>
        </w:rPr>
      </w:pPr>
      <w:r>
        <w:rPr>
          <w:noProof/>
        </w:rPr>
        <w:t>Kizáról</w:t>
      </w:r>
      <w:r>
        <w:rPr>
          <w:noProof/>
        </w:rPr>
        <w:t xml:space="preserve">ag a felülvizsgált piacfelügyeleti keretrendszer segítheti elő a közérdek védelmének erősítése, valamint a piaci szereplőket megillető tisztességes kereskedelmi feltételek biztosítása tekintetében elvárt szint elérését. </w:t>
      </w:r>
    </w:p>
    <w:p w:rsidR="001E667A" w:rsidRDefault="005F0856">
      <w:pPr>
        <w:spacing w:before="0" w:after="0"/>
        <w:rPr>
          <w:b/>
          <w:noProof/>
          <w:u w:val="single"/>
        </w:rPr>
      </w:pPr>
      <w:r>
        <w:rPr>
          <w:b/>
          <w:noProof/>
          <w:u w:val="single"/>
        </w:rPr>
        <w:t>Uniós hozzáadott érték</w:t>
      </w:r>
    </w:p>
    <w:p w:rsidR="001E667A" w:rsidRDefault="005F0856">
      <w:pPr>
        <w:rPr>
          <w:noProof/>
          <w:szCs w:val="24"/>
        </w:rPr>
      </w:pPr>
      <w:r>
        <w:rPr>
          <w:noProof/>
        </w:rPr>
        <w:t>Az uniós har</w:t>
      </w:r>
      <w:r>
        <w:rPr>
          <w:noProof/>
        </w:rPr>
        <w:t>monizációs jogszabályok végrehajtása és a veszélyt jelentő termékek elleni eredményes fellépés a tagállamok felelőssége. A belső határok nélküli egységes piac, e jogszabály végrehajtása kapcsán, kihívás elé állítja a közigazgatási szerveket, hiszen a jogha</w:t>
      </w:r>
      <w:r>
        <w:rPr>
          <w:noProof/>
        </w:rPr>
        <w:t>tóság határai korlátozzák a mozgásterüket. Ezenkívül egyetlen tagállam piacfelügyeleti szervezetének elégtelen működése az egész láncot meggyengíti.</w:t>
      </w:r>
    </w:p>
    <w:p w:rsidR="001E667A" w:rsidRDefault="005F0856">
      <w:pPr>
        <w:rPr>
          <w:noProof/>
          <w:szCs w:val="24"/>
        </w:rPr>
      </w:pPr>
      <w:r>
        <w:rPr>
          <w:noProof/>
        </w:rPr>
        <w:t>A következetes végrehajtás biztosításához és annak eredményes megakadályozásához, hogy valamely nem megfele</w:t>
      </w:r>
      <w:r>
        <w:rPr>
          <w:noProof/>
        </w:rPr>
        <w:t>lő termék több tagállamba elterjedjen, a tevékenységek uniós szintű koordinációjára van szükség. Az értékelés eredménye szerint széles körben elismerésre találnak a piacfelügyelet harmonizációját szolgáló egyetlen európai jogszabály meglétének a több külön</w:t>
      </w:r>
      <w:r>
        <w:rPr>
          <w:noProof/>
        </w:rPr>
        <w:t>böző nemzeti jogszabállyal szembeni előnyei.</w:t>
      </w:r>
    </w:p>
    <w:p w:rsidR="001E667A" w:rsidRDefault="005F0856">
      <w:pPr>
        <w:rPr>
          <w:noProof/>
          <w:szCs w:val="24"/>
        </w:rPr>
      </w:pPr>
      <w:r>
        <w:rPr>
          <w:noProof/>
        </w:rPr>
        <w:t xml:space="preserve">A 765/2008/EK rendelet uniós hozzáadott értéke elsősorban azon rendelkezéseiből fakad, amelyek az igazgatási együttműködést támogató, valamint a piacfelügyeleti hatóságok és a termékek EU külső határain történő </w:t>
      </w:r>
      <w:r>
        <w:rPr>
          <w:noProof/>
        </w:rPr>
        <w:t>ellenőrzéséért felelős hatóságok közötti együttműködést erősítő közös információs rendszert irányoznak elő.</w:t>
      </w:r>
    </w:p>
    <w:p w:rsidR="001E667A" w:rsidRDefault="005F0856">
      <w:pPr>
        <w:rPr>
          <w:noProof/>
          <w:szCs w:val="24"/>
        </w:rPr>
      </w:pPr>
      <w:r>
        <w:rPr>
          <w:noProof/>
        </w:rPr>
        <w:t>Az uniós hozzáadott érték maradéktalan érvényesülését továbbra is gátolja az optimálisnál kisebb mértékű határon átnyúló információmegosztás és koop</w:t>
      </w:r>
      <w:r>
        <w:rPr>
          <w:noProof/>
        </w:rPr>
        <w:t>eráció, a piacfelügyeleti keretrendszer nem következetes tagállami szintű megvalósítása, valamint a források hiánya.</w:t>
      </w:r>
    </w:p>
    <w:p w:rsidR="001E667A" w:rsidRDefault="005F0856">
      <w:pPr>
        <w:pStyle w:val="ManualHeading2"/>
        <w:rPr>
          <w:rFonts w:eastAsia="Arial Unicode MS"/>
          <w:noProof/>
          <w:u w:color="000000"/>
        </w:rPr>
      </w:pPr>
      <w:r>
        <w:rPr>
          <w:noProof/>
        </w:rPr>
        <w:t>3.2.</w:t>
      </w:r>
      <w:r>
        <w:rPr>
          <w:noProof/>
        </w:rPr>
        <w:tab/>
        <w:t>Az érdekelt felekkel folytatott konzultációk</w:t>
      </w:r>
    </w:p>
    <w:p w:rsidR="001E667A" w:rsidRDefault="005F0856">
      <w:pPr>
        <w:rPr>
          <w:noProof/>
          <w:szCs w:val="24"/>
        </w:rPr>
      </w:pPr>
      <w:r>
        <w:rPr>
          <w:noProof/>
        </w:rPr>
        <w:t xml:space="preserve">A </w:t>
      </w:r>
      <w:r>
        <w:rPr>
          <w:b/>
          <w:noProof/>
        </w:rPr>
        <w:t>piacfelügyeleti hatóságokkal</w:t>
      </w:r>
      <w:r>
        <w:rPr>
          <w:noProof/>
        </w:rPr>
        <w:t xml:space="preserve"> több alkalommal, a termékek belső piacával foglalkozó szak</w:t>
      </w:r>
      <w:r>
        <w:rPr>
          <w:noProof/>
        </w:rPr>
        <w:t>értői csoport 2016. február 1-jei, 2016. október 21-ei és 2017. március 31-ei ülésén került sor konzultációra. Az utolsó ülés a jogalkotási javaslattal és annak legfontosabb célkitűzéseivel foglalkozott, különösen annak kérdésével, hogy hogyan lehet a tagá</w:t>
      </w:r>
      <w:r>
        <w:rPr>
          <w:noProof/>
        </w:rPr>
        <w:t>llamok közötti együttműködést elősegíteni, egységes és elegendő szintű piacfelügyeletet létrehozni, valamint az uniós piacra behozott termékek határon történő szigorúbb ellenőrzését megvalósítani.</w:t>
      </w:r>
    </w:p>
    <w:p w:rsidR="001E667A" w:rsidRDefault="005F0856">
      <w:pPr>
        <w:rPr>
          <w:noProof/>
          <w:szCs w:val="24"/>
        </w:rPr>
      </w:pPr>
      <w:r>
        <w:rPr>
          <w:noProof/>
        </w:rPr>
        <w:t xml:space="preserve">A Bizottság </w:t>
      </w:r>
      <w:r>
        <w:rPr>
          <w:b/>
          <w:noProof/>
        </w:rPr>
        <w:t>2016. június</w:t>
      </w:r>
      <w:r>
        <w:rPr>
          <w:noProof/>
        </w:rPr>
        <w:t xml:space="preserve"> </w:t>
      </w:r>
      <w:r>
        <w:rPr>
          <w:b/>
          <w:noProof/>
        </w:rPr>
        <w:t>17-én</w:t>
      </w:r>
      <w:r>
        <w:rPr>
          <w:noProof/>
        </w:rPr>
        <w:t xml:space="preserve"> </w:t>
      </w:r>
      <w:r>
        <w:rPr>
          <w:b/>
          <w:noProof/>
        </w:rPr>
        <w:t>az érdekelt felek bevonásáva</w:t>
      </w:r>
      <w:r>
        <w:rPr>
          <w:b/>
          <w:noProof/>
        </w:rPr>
        <w:t>l zajló konferenciát szervezett</w:t>
      </w:r>
      <w:r>
        <w:rPr>
          <w:noProof/>
        </w:rPr>
        <w:t xml:space="preserve"> az iparág szereplői, a fogyasztók, a hatóságok és mások számára. A rendezvény célja az egységes piacon jelen lévő a termékek megfelelőségével és a harmonizációs jogszabályok végrehajtásának javításával kapcsolatos fő problém</w:t>
      </w:r>
      <w:r>
        <w:rPr>
          <w:noProof/>
        </w:rPr>
        <w:t xml:space="preserve">ák, valamint a lehetséges megoldások azonosítása volt. </w:t>
      </w:r>
    </w:p>
    <w:p w:rsidR="001E667A" w:rsidRDefault="005F0856">
      <w:pPr>
        <w:rPr>
          <w:noProof/>
        </w:rPr>
      </w:pPr>
      <w:r>
        <w:rPr>
          <w:noProof/>
        </w:rPr>
        <w:t xml:space="preserve">Az </w:t>
      </w:r>
      <w:r>
        <w:rPr>
          <w:i/>
          <w:noProof/>
        </w:rPr>
        <w:t>Europa</w:t>
      </w:r>
      <w:r>
        <w:rPr>
          <w:noProof/>
        </w:rPr>
        <w:t xml:space="preserve"> internetes portál konzultációs felületén </w:t>
      </w:r>
      <w:r>
        <w:rPr>
          <w:b/>
          <w:noProof/>
        </w:rPr>
        <w:t>az unió minden hivatalos nyelvén elérhető nyilvános konzultációra került sor</w:t>
      </w:r>
      <w:r>
        <w:rPr>
          <w:noProof/>
        </w:rPr>
        <w:t>.</w:t>
      </w:r>
      <w:r>
        <w:rPr>
          <w:i/>
          <w:noProof/>
        </w:rPr>
        <w:t xml:space="preserve"> </w:t>
      </w:r>
      <w:r>
        <w:rPr>
          <w:noProof/>
        </w:rPr>
        <w:t>A konzultáció 2016. július 1. és október 31. között zajlott. Célja az á</w:t>
      </w:r>
      <w:r>
        <w:rPr>
          <w:noProof/>
        </w:rPr>
        <w:t>ruk egységes piacán történő jogérvényesítés és a szabályoknak való megfelelés előmozdítására irányuló fellépésekkel kapcsolatos vélemények és tapasztalatok összegyűjtése volt. A European Enterprise Network ösztönözte és támogatta a kis- és középvállalkozás</w:t>
      </w:r>
      <w:r>
        <w:rPr>
          <w:noProof/>
        </w:rPr>
        <w:t>ok részvételét a konzultációban. 239 válasz érkezett vállalkozásoktól (127), közigazgatási szervektől (80) és állampolgároktól (32).</w:t>
      </w:r>
    </w:p>
    <w:p w:rsidR="001E667A" w:rsidRDefault="005F0856">
      <w:pPr>
        <w:rPr>
          <w:noProof/>
        </w:rPr>
      </w:pPr>
      <w:r>
        <w:rPr>
          <w:noProof/>
        </w:rPr>
        <w:t>A konzultáció eredményei azt mutatták, hogy az egységes piacon javítani kell a termékmegfelelőséget, mivel a szabályoknak v</w:t>
      </w:r>
      <w:r>
        <w:rPr>
          <w:noProof/>
        </w:rPr>
        <w:t>aló meg nem felelés a fogyasztókra és más végfelhasználókra, valamint a jogszabályi kötelezettségeket teljesítő vállalkozások értékesítési és piaci részesedésére is kedvezőtlen hatást gyakorol. Ezen túlmenően, a válaszadók javaslatai szerint a meg nem fele</w:t>
      </w:r>
      <w:r>
        <w:rPr>
          <w:noProof/>
        </w:rPr>
        <w:t>lés visszaszorítását legjobban az információ, a támogatás és a közigazgatási szervek általi jogérvényesítés egyfajta keveréke szolgálná. Az Unión kívüli vállalkozások által forgalmazott nem megfelelő termékek vonatkozásában a konzultáció rávilágított arra,</w:t>
      </w:r>
      <w:r>
        <w:rPr>
          <w:noProof/>
        </w:rPr>
        <w:t xml:space="preserve"> hogy a vámhatóságok és a piacfelügyeleti hatóságok uniós piacra belépő termékekre irányuló, ellenőrző tevékenységének jobb összehangolására van szükség. Megállapítást nyert az is, hogy a nem uniós országokban letelepedett vállalkozásokat kötelezni kell ar</w:t>
      </w:r>
      <w:r>
        <w:rPr>
          <w:noProof/>
        </w:rPr>
        <w:t>ra, hogy jelöljenek ki az Unióban letelepedett személyt, aki a termékmegfelelési információkért felelős.</w:t>
      </w:r>
    </w:p>
    <w:p w:rsidR="001E667A" w:rsidRDefault="005F0856">
      <w:pPr>
        <w:pStyle w:val="ManualHeading2"/>
        <w:rPr>
          <w:rFonts w:eastAsia="Arial Unicode MS"/>
          <w:noProof/>
          <w:u w:color="000000"/>
        </w:rPr>
      </w:pPr>
      <w:r>
        <w:rPr>
          <w:noProof/>
        </w:rPr>
        <w:t>3.3.</w:t>
      </w:r>
      <w:r>
        <w:rPr>
          <w:noProof/>
        </w:rPr>
        <w:tab/>
        <w:t>Szakértői vélemények beszerzése és felhasználása</w:t>
      </w:r>
    </w:p>
    <w:p w:rsidR="001E667A" w:rsidRDefault="005F0856">
      <w:pPr>
        <w:rPr>
          <w:noProof/>
          <w:szCs w:val="24"/>
        </w:rPr>
      </w:pPr>
      <w:r>
        <w:rPr>
          <w:noProof/>
        </w:rPr>
        <w:t>A Bizottság és külső vállalkozók 2012 és 2016 között számos kutatást végeztek, konzultációt folyt</w:t>
      </w:r>
      <w:r>
        <w:rPr>
          <w:noProof/>
        </w:rPr>
        <w:t>attak és tanulmányt készítettek. A tagállamokkal konzultáció zajlott arról is, hogy a piacfelügyelet milyen eredményesen működik az Unióban.</w:t>
      </w:r>
    </w:p>
    <w:p w:rsidR="001E667A" w:rsidRDefault="005F0856">
      <w:pPr>
        <w:rPr>
          <w:noProof/>
          <w:szCs w:val="24"/>
        </w:rPr>
      </w:pPr>
      <w:r>
        <w:rPr>
          <w:noProof/>
        </w:rPr>
        <w:t>2016 júliusa és 2017 májusa között a 765/2008/EK rendelet alkalmazásának külső értékelésére került sor.</w:t>
      </w:r>
    </w:p>
    <w:p w:rsidR="001E667A" w:rsidRDefault="005F0856">
      <w:pPr>
        <w:rPr>
          <w:noProof/>
          <w:szCs w:val="24"/>
        </w:rPr>
      </w:pPr>
      <w:r>
        <w:rPr>
          <w:noProof/>
        </w:rPr>
        <w:t>A termékekr</w:t>
      </w:r>
      <w:r>
        <w:rPr>
          <w:noProof/>
        </w:rPr>
        <w:t xml:space="preserve">e vonatkozó uniós harmonizációs jogszabályok végrehajtásának javítása érdekében az eredményeket e jogalkotási javaslat figyelembe vette. </w:t>
      </w:r>
    </w:p>
    <w:p w:rsidR="001E667A" w:rsidRDefault="005F0856">
      <w:pPr>
        <w:pStyle w:val="ManualHeading2"/>
        <w:rPr>
          <w:rFonts w:eastAsia="Arial Unicode MS"/>
          <w:noProof/>
          <w:u w:color="000000"/>
        </w:rPr>
      </w:pPr>
      <w:r>
        <w:rPr>
          <w:noProof/>
        </w:rPr>
        <w:t>3.4. Célravezető szabályozás és egyszerűsítés</w:t>
      </w:r>
    </w:p>
    <w:p w:rsidR="001E667A" w:rsidRDefault="005F0856">
      <w:pPr>
        <w:rPr>
          <w:noProof/>
          <w:szCs w:val="24"/>
        </w:rPr>
      </w:pPr>
      <w:r>
        <w:rPr>
          <w:noProof/>
        </w:rPr>
        <w:t>A piacfelügyelet jelenlegi jogszabályi keretének értékelése (lásd a 3.1.</w:t>
      </w:r>
      <w:r>
        <w:rPr>
          <w:noProof/>
        </w:rPr>
        <w:t xml:space="preserve"> szakaszt) megállapította, hogy a jelenlegi piacfelügyeleti szabályokból eredő végrehajtási költségek többsége a közigazgatási szerveket terheli, miközben a vállalkozásoknál kizárólag a tájékoztatási kötelezettségekhez (a hatóságok kéréseire adott válaszok</w:t>
      </w:r>
      <w:r>
        <w:rPr>
          <w:noProof/>
        </w:rPr>
        <w:t>, a feltárt meg nem felelésekre vonatkozó információ) kapcsolódó költségek merülnek fel, amelyeket jelentéktelennek tartanak. A végrehajtás fokozottabb koordinációja, a prioritások európai uniós termékmegfelelőségi hálózat részvételével történő meghatározá</w:t>
      </w:r>
      <w:r>
        <w:rPr>
          <w:noProof/>
        </w:rPr>
        <w:t xml:space="preserve">sa és a szakmai vizsgálatnak alávetett végrehajtási stratégiák eredményeként egyenlőbbé válnának a versenyfeltételek, valamint csökkennének az országonként eltérő végrehajtás következtében a vállalkozásokat érő egyes negatív hatások. </w:t>
      </w:r>
    </w:p>
    <w:p w:rsidR="001E667A" w:rsidRDefault="005F0856">
      <w:pPr>
        <w:rPr>
          <w:noProof/>
        </w:rPr>
      </w:pPr>
      <w:r>
        <w:rPr>
          <w:noProof/>
        </w:rPr>
        <w:t>Az egyszerűsítés és a</w:t>
      </w:r>
      <w:r>
        <w:rPr>
          <w:noProof/>
        </w:rPr>
        <w:t xml:space="preserve"> terhek csökkentése legnagyobbrészt a hatóságokon múlik. A javaslatot alátámasztó hatásvizsgálat minden egyes célkitűzés esetében megvizsgálta az egyszerűsítés és/vagy a közigazgatási terhek csökkentése terén fennálló lehetőségeket, mint a tervezett ellenő</w:t>
      </w:r>
      <w:r>
        <w:rPr>
          <w:noProof/>
        </w:rPr>
        <w:t>rzésekre vonatkozó információ egyszerűbb és gyorsabb megosztásához használt információtechnológiai eszközök teljesebb kiaknázását, a hatékonyabb kölcsönös segítségnyújtás iránti megkereséseket, a hatóságok munkája közötti átfedések elkerülése érdekében a v</w:t>
      </w:r>
      <w:r>
        <w:rPr>
          <w:noProof/>
        </w:rPr>
        <w:t>égrehajtáshoz kapcsolódó bizonyítékok és döntések átruházhatóságát, a közös vizsgálati és végrehajtási hatásköröket, valamint a piacfelügyeleti hatóságok megfelelőségre vonatkozó információkhoz való – a termékmegfelelési információért felelős személyen ker</w:t>
      </w:r>
      <w:r>
        <w:rPr>
          <w:noProof/>
        </w:rPr>
        <w:t xml:space="preserve">esztüli – könnyebb hozzáférését. </w:t>
      </w:r>
    </w:p>
    <w:p w:rsidR="001E667A" w:rsidRDefault="005F0856">
      <w:pPr>
        <w:pStyle w:val="ManualHeading2"/>
        <w:rPr>
          <w:rFonts w:eastAsia="Arial Unicode MS"/>
          <w:noProof/>
          <w:u w:color="000000"/>
        </w:rPr>
      </w:pPr>
      <w:r>
        <w:rPr>
          <w:noProof/>
        </w:rPr>
        <w:t>3.5. Hatásvizsgálat</w:t>
      </w:r>
    </w:p>
    <w:p w:rsidR="001E667A" w:rsidRDefault="005F0856">
      <w:pPr>
        <w:rPr>
          <w:rFonts w:eastAsia="Arial Unicode MS"/>
          <w:noProof/>
        </w:rPr>
      </w:pPr>
      <w:r>
        <w:rPr>
          <w:noProof/>
        </w:rPr>
        <w:t>A Bizottság által készített hatásvizsgálati jelentés tartalmazza a jogalkotási javaslattal kapcsolatos összes szempontot</w:t>
      </w:r>
      <w:r>
        <w:rPr>
          <w:rStyle w:val="FootnoteReference"/>
          <w:noProof/>
        </w:rPr>
        <w:footnoteReference w:id="20"/>
      </w:r>
      <w:r>
        <w:rPr>
          <w:noProof/>
        </w:rPr>
        <w:t xml:space="preserve">. </w:t>
      </w:r>
    </w:p>
    <w:p w:rsidR="001E667A" w:rsidRDefault="005F0856">
      <w:pPr>
        <w:spacing w:before="0" w:after="240"/>
        <w:rPr>
          <w:noProof/>
          <w:szCs w:val="24"/>
        </w:rPr>
      </w:pPr>
      <w:r>
        <w:rPr>
          <w:noProof/>
        </w:rPr>
        <w:t>A tervezett szakpolitikai alternatívák a jelenlegi állapot fenntartásától az a</w:t>
      </w:r>
      <w:r>
        <w:rPr>
          <w:noProof/>
        </w:rPr>
        <w:t xml:space="preserve">mbiciózusabb intézkedésekig, uniós koordinációig és fellépésig terjednek az alábbiak szerint: 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alapforgatókönyv; 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a meglévő eszközök és együttműködési mechanizmusok továbbfejlesztése; 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2. lehetőség és a végrehajtást szolgáló eszközök visszatartó e</w:t>
      </w:r>
      <w:r>
        <w:rPr>
          <w:noProof/>
        </w:rPr>
        <w:t xml:space="preserve">rejének növelése és fokozott uniós koordináció; és 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bizonyos esetekben további uniós szinten központosított végrehajtás. </w:t>
      </w:r>
    </w:p>
    <w:p w:rsidR="001E667A" w:rsidRDefault="005F0856">
      <w:pPr>
        <w:rPr>
          <w:noProof/>
          <w:szCs w:val="24"/>
        </w:rPr>
      </w:pPr>
      <w:r>
        <w:rPr>
          <w:noProof/>
        </w:rPr>
        <w:t>Az előnyben részesített alternatíva a 3. lehetőség, beleértve különösen:</w:t>
      </w:r>
    </w:p>
    <w:p w:rsidR="001E667A" w:rsidRDefault="005F0856"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</w:r>
      <w:r>
        <w:rPr>
          <w:noProof/>
        </w:rPr>
        <w:t xml:space="preserve">a termékügyi kapcsolattartó pontok tanácsadó szerepének a vállalkozások felé történő kiterjesztését, valamint köz- és magánszféra közötti ad hoc partnerségeket; </w:t>
      </w:r>
    </w:p>
    <w:p w:rsidR="001E667A" w:rsidRDefault="005F0856"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digitális rendszerek kialakítását, amelyeken keresztül a gyártók és az importőrök mind a fo</w:t>
      </w:r>
      <w:r>
        <w:rPr>
          <w:noProof/>
        </w:rPr>
        <w:t>gyasztók, mind a piacfelügyeleti hatóságok számára hozzáférhetővé tennék a megfelelőséggel kapcsolatos információkat, a gyártók kötelezését arra, hogy a termékmegfelelési információért felelős, az Unióban letelepedett személyt jelöljenek ki, valamint közös</w:t>
      </w:r>
      <w:r>
        <w:rPr>
          <w:noProof/>
        </w:rPr>
        <w:t xml:space="preserve"> európai internetes portál létrehozását az önkéntes intézkedések számára;</w:t>
      </w:r>
    </w:p>
    <w:p w:rsidR="001E667A" w:rsidRDefault="005F0856"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a termékek forgalomba hozatalának korlátozásáról szóló határozatok közzétételének módjával kapcsolatos szabályok meghatározását, a hatóságok hatáskörének finomhangolását (nevezete</w:t>
      </w:r>
      <w:r>
        <w:rPr>
          <w:noProof/>
        </w:rPr>
        <w:t>sen a nem uniós országokból online értékesítéssel történő behozatalra vonatkozóan), a nem megfelelőnek bizonyuló termékek ellenőrzése kapcsán felmerülő költségek megtéríttetését; és</w:t>
      </w:r>
    </w:p>
    <w:p w:rsidR="001E667A" w:rsidRDefault="005F0856"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a kölcsönös segítségnyújtásra vonatkozó szigorúbb kötelezettségeket, va</w:t>
      </w:r>
      <w:r>
        <w:rPr>
          <w:noProof/>
        </w:rPr>
        <w:t>lamint jogi vélelmet, amely szerint azok a termékek, amelyekről valamely tagállamban kiderült, hogy nem felelnek meg az előírásoknak, az Unió teljes területén nem megfelelőek.</w:t>
      </w:r>
    </w:p>
    <w:p w:rsidR="001E667A" w:rsidRDefault="005F0856">
      <w:pPr>
        <w:rPr>
          <w:noProof/>
          <w:szCs w:val="24"/>
        </w:rPr>
      </w:pPr>
      <w:r>
        <w:rPr>
          <w:noProof/>
        </w:rPr>
        <w:t>Ezenkívül, a nemzeti szintű ellenőrzési tevékenységeket és kapacitásbővítést meg</w:t>
      </w:r>
      <w:r>
        <w:rPr>
          <w:noProof/>
        </w:rPr>
        <w:t>határozó tagállami végrehajtási stratégiákhoz európai uniós termékmegfelelőségi hálózatra van szükség. E hálózat nyújtana igazgatási támogatási hátteret a tagállamok teljesítményének szakmai vizsgálatához, valamint koordinálná és segítené a tagállamok közö</w:t>
      </w:r>
      <w:r>
        <w:rPr>
          <w:noProof/>
        </w:rPr>
        <w:t>s végrehajtási tevékenységeinek megvalósítását.</w:t>
      </w:r>
    </w:p>
    <w:p w:rsidR="001E667A" w:rsidRDefault="005F0856">
      <w:pPr>
        <w:rPr>
          <w:rFonts w:eastAsia="Arial Unicode MS"/>
          <w:noProof/>
          <w:szCs w:val="20"/>
        </w:rPr>
      </w:pPr>
      <w:r>
        <w:rPr>
          <w:noProof/>
        </w:rPr>
        <w:t>A hatásvizsgálat először – 2017. április 7-én – kedvezőtlen véleményt, majd ezt követően – 2017. június 8-án – fenntartásokat tartalmazó kedvező véleményt kapott a Szabályozói Ellenőrzési Testülettől. A vélem</w:t>
      </w:r>
      <w:r>
        <w:rPr>
          <w:noProof/>
        </w:rPr>
        <w:t>ényekben szereplő ajánlások beépítésre kerültek a jelentésbe</w:t>
      </w:r>
      <w:r>
        <w:rPr>
          <w:rStyle w:val="FootnoteReference"/>
          <w:noProof/>
        </w:rPr>
        <w:footnoteReference w:id="21"/>
      </w:r>
      <w:r>
        <w:rPr>
          <w:noProof/>
        </w:rPr>
        <w:t>. A módosított jelentés a jelenlegi piacfelügyeleti keretrendszer, a 2013-as termékbiztonsági és piacfelügyeleti csomaghoz való viszony, valamint az értékelés eredményeinek átfogóbb bemutatását t</w:t>
      </w:r>
      <w:r>
        <w:rPr>
          <w:noProof/>
        </w:rPr>
        <w:t>artalmazza. A problémák, a célkitűzések és az alternatívák bemutatása átdolgozásra került, és a jelentés alátámasztó bizonyítékokkal és költségbecslésekkel bővült ki. Az európai uniós termékmegfelelőségi hálózattal kapcsolatban a jelentés meghatározza a kü</w:t>
      </w:r>
      <w:r>
        <w:rPr>
          <w:noProof/>
        </w:rPr>
        <w:t>lönböző forgatókönyvek esetén várható teljesítéseket és költségeket, és kitér a különböző irányítási alternatívák (az európai uniós termékmegfelelőségi hálózatot valamely meglévő ügynökség vagy a Bizottság fogadja be) hatásaira és megvalósíthatóságára. Fig</w:t>
      </w:r>
      <w:r>
        <w:rPr>
          <w:noProof/>
        </w:rPr>
        <w:t>yelembe véve, hogy mennyire bonyolult egy meglévő ügynökség alapító okiratának módosítása, e javaslat a Bizottságra ruházza a hálózat titkárságának ellátásával kapcsolatos feladatokat. A gyártók arra vonatkozó kötelezettségével kapcsolatban, miszerint a te</w:t>
      </w:r>
      <w:r>
        <w:rPr>
          <w:noProof/>
        </w:rPr>
        <w:t>rmékmegfelelési információért felelős, az Unióban letelepedett személyt kell kijelölniük, a hatásvizsgálatról szóló jelentés bemutatja az érintett fő kereskedelmi és üzleti modelleket, különös tekintettel az Unión kívülről történő távértékesítésre. A jelen</w:t>
      </w:r>
      <w:r>
        <w:rPr>
          <w:noProof/>
        </w:rPr>
        <w:t>tés részletesen ismerteti a termékmegfelelési információért felelős személy megbízatásának vonatkozásait. A megfelelőséggel kapcsolatos információk elérhetővé tétele kapcsán felmerülő költségekre vonatkozó becsléseket is tartalmaz, valamint kitér a harmadi</w:t>
      </w:r>
      <w:r>
        <w:rPr>
          <w:noProof/>
        </w:rPr>
        <w:t xml:space="preserve">k országbeli kereskedőkre és az Unióban működő vállalkozásokat érintő tisztességes piaci feltételekre gyakorolt hatásokra. </w:t>
      </w:r>
    </w:p>
    <w:p w:rsidR="001E667A" w:rsidRDefault="005F0856">
      <w:pPr>
        <w:pStyle w:val="ManualHeading2"/>
        <w:rPr>
          <w:rFonts w:eastAsia="Arial Unicode MS"/>
          <w:noProof/>
          <w:u w:color="000000"/>
        </w:rPr>
      </w:pPr>
      <w:r>
        <w:rPr>
          <w:noProof/>
        </w:rPr>
        <w:t>3.6.</w:t>
      </w:r>
      <w:r>
        <w:rPr>
          <w:noProof/>
        </w:rPr>
        <w:tab/>
        <w:t>Alapvető jogok</w:t>
      </w:r>
    </w:p>
    <w:p w:rsidR="001E667A" w:rsidRDefault="005F0856">
      <w:pPr>
        <w:rPr>
          <w:rFonts w:eastAsia="Arial Unicode MS"/>
          <w:noProof/>
        </w:rPr>
      </w:pPr>
      <w:r>
        <w:rPr>
          <w:noProof/>
        </w:rPr>
        <w:t>A különböző alternatívák hatásainak vizsgálata figyelembe vette az érintett alapvető jogokra gyakorolt hatásokat</w:t>
      </w:r>
      <w:r>
        <w:rPr>
          <w:noProof/>
        </w:rPr>
        <w:t>. A jogalkotási javaslat tiszteletben tartja az alapvető jogokat, és tekintettel van különösen az Európai Unió Alapjogi Chartája által elismert elvekre. A fenti jogok és elvek tiszteletben tartásával kell értelmezni és alkalmazni. A piacfelügyeleti hatóság</w:t>
      </w:r>
      <w:r>
        <w:rPr>
          <w:noProof/>
        </w:rPr>
        <w:t xml:space="preserve">ok az e rendeletben meghatározott hatáskörüket az arányosság és a szükségesség alapján, valamint a nemzeti eljárási biztosítékok függvényében gyakorolják. </w:t>
      </w:r>
    </w:p>
    <w:p w:rsidR="001E667A" w:rsidRDefault="005F0856">
      <w:pPr>
        <w:rPr>
          <w:rFonts w:eastAsia="Arial Unicode MS"/>
          <w:noProof/>
        </w:rPr>
      </w:pPr>
      <w:r>
        <w:rPr>
          <w:noProof/>
        </w:rPr>
        <w:t>E jogalkotási javaslat megfelelő egyensúlyt teremt az egészséghez és biztonsághoz, a fogyasztóvédele</w:t>
      </w:r>
      <w:r>
        <w:rPr>
          <w:noProof/>
        </w:rPr>
        <w:t xml:space="preserve">mhez, a környezetvédelemhez, a vállalkozás szabadságához és az információszabadsághoz kapcsolódó alapvető jogok által védett érdekek között. </w:t>
      </w:r>
    </w:p>
    <w:p w:rsidR="001E667A" w:rsidRDefault="005F0856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KÖLTSÉGVETÉSI VONZATOK</w:t>
      </w:r>
    </w:p>
    <w:p w:rsidR="001E667A" w:rsidRDefault="005F0856">
      <w:pPr>
        <w:rPr>
          <w:noProof/>
        </w:rPr>
      </w:pPr>
      <w:r>
        <w:rPr>
          <w:noProof/>
        </w:rPr>
        <w:t>A javaslat emberi és igazgatási erőforrásokat, valamint operatív előirányzatokat igényel</w:t>
      </w:r>
      <w:r>
        <w:rPr>
          <w:noProof/>
        </w:rPr>
        <w:t xml:space="preserve">, ahogyan az a pénzügyi kimutatásban szerepel. </w:t>
      </w:r>
    </w:p>
    <w:p w:rsidR="001E667A" w:rsidRDefault="005F0856"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EGYÉB ELEMEK</w:t>
      </w:r>
    </w:p>
    <w:p w:rsidR="001E667A" w:rsidRDefault="005F0856">
      <w:pPr>
        <w:pStyle w:val="ManualHeading2"/>
        <w:rPr>
          <w:rFonts w:eastAsia="Arial Unicode MS"/>
          <w:noProof/>
          <w:u w:color="000000"/>
        </w:rPr>
      </w:pPr>
      <w:r>
        <w:rPr>
          <w:noProof/>
        </w:rPr>
        <w:t>5.1.</w:t>
      </w:r>
      <w:r>
        <w:rPr>
          <w:noProof/>
        </w:rPr>
        <w:tab/>
        <w:t>Végrehajtási tervek, valamint a nyomon követés, az értékelés és a jelentéstétel szabályai</w:t>
      </w:r>
    </w:p>
    <w:p w:rsidR="001E667A" w:rsidRDefault="005F0856">
      <w:pPr>
        <w:rPr>
          <w:rFonts w:eastAsia="Times New Roman"/>
          <w:iCs/>
          <w:noProof/>
          <w:szCs w:val="24"/>
        </w:rPr>
      </w:pPr>
      <w:r>
        <w:rPr>
          <w:noProof/>
          <w:color w:val="000000"/>
        </w:rPr>
        <w:t>A Bizottság a rendelet hatálybalépése után 5 évvel felülvizsgálja a megvalósítást, és értékelő je</w:t>
      </w:r>
      <w:r>
        <w:rPr>
          <w:noProof/>
          <w:color w:val="000000"/>
        </w:rPr>
        <w:t>lentést nyújt be az Európai Parlament és a Tanács felé. A jelentés értékeli majd, hogy a rendelet teljesítette-e a megfogalmazott célokat, különös tekintettel a nem megfelelő termékek mennyiségének csökkentésére, az uniós harmonizációs jogszabályok hatékon</w:t>
      </w:r>
      <w:r>
        <w:rPr>
          <w:noProof/>
          <w:color w:val="000000"/>
        </w:rPr>
        <w:t>y és eredményes végrehajtásának biztosítására, az illetékes hatóságok közötti együttműködés fokozására és az uniós piacra belépő termékek ellenőrzésének szigorítására</w:t>
      </w:r>
      <w:r>
        <w:rPr>
          <w:noProof/>
        </w:rPr>
        <w:t>,</w:t>
      </w:r>
      <w:r>
        <w:rPr>
          <w:noProof/>
          <w:color w:val="C0504D"/>
        </w:rPr>
        <w:t xml:space="preserve"> </w:t>
      </w:r>
      <w:r>
        <w:rPr>
          <w:noProof/>
        </w:rPr>
        <w:t>figyelembe véve a vállalkozásokra, és különösen a kis- és középvállalkozásokra gyakorolt</w:t>
      </w:r>
      <w:r>
        <w:rPr>
          <w:noProof/>
        </w:rPr>
        <w:t xml:space="preserve"> hatását.</w:t>
      </w:r>
    </w:p>
    <w:p w:rsidR="001E667A" w:rsidRDefault="005F0856">
      <w:pPr>
        <w:pStyle w:val="ManualHeading2"/>
        <w:rPr>
          <w:noProof/>
        </w:rPr>
      </w:pPr>
      <w:r>
        <w:rPr>
          <w:noProof/>
        </w:rPr>
        <w:t>5.2.</w:t>
      </w:r>
      <w:r>
        <w:rPr>
          <w:noProof/>
        </w:rPr>
        <w:tab/>
        <w:t xml:space="preserve">Hatálybalépés </w:t>
      </w:r>
    </w:p>
    <w:p w:rsidR="001E667A" w:rsidRDefault="005F0856"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</w:rPr>
        <w:t>A javaslat 2020. január 1-jéig elhalasztaná a rendelet hatálybalépését, lehetővé téve ezzel, hogy a tagállamok, a piacfelügyeleti hatóságok és – az európai uniós termékmegfelelőségi hálózat vonatkozásában – az Európai Bizottsá</w:t>
      </w:r>
      <w:r>
        <w:rPr>
          <w:noProof/>
        </w:rPr>
        <w:t xml:space="preserve">g a szükséges gyakorlati intézkedéseket és jogszabályi változtatásokat elvégezze. </w:t>
      </w:r>
    </w:p>
    <w:p w:rsidR="001E667A" w:rsidRDefault="005F0856">
      <w:pPr>
        <w:pStyle w:val="ManualHeading2"/>
        <w:rPr>
          <w:rFonts w:eastAsia="Arial Unicode MS"/>
          <w:noProof/>
          <w:u w:color="000000"/>
        </w:rPr>
      </w:pPr>
      <w:r>
        <w:rPr>
          <w:noProof/>
        </w:rPr>
        <w:t>5.3.</w:t>
      </w:r>
      <w:r>
        <w:rPr>
          <w:noProof/>
        </w:rPr>
        <w:tab/>
        <w:t>A javaslat egyes rendelkezéseinek részletes magyarázata</w:t>
      </w:r>
    </w:p>
    <w:p w:rsidR="001E667A" w:rsidRDefault="005F0856">
      <w:pPr>
        <w:autoSpaceDE w:val="0"/>
        <w:autoSpaceDN w:val="0"/>
        <w:adjustRightInd w:val="0"/>
        <w:spacing w:before="0"/>
        <w:rPr>
          <w:bCs/>
          <w:noProof/>
          <w:szCs w:val="24"/>
        </w:rPr>
      </w:pPr>
      <w:r>
        <w:rPr>
          <w:noProof/>
        </w:rPr>
        <w:t xml:space="preserve">A javaslat 11 fejezetből, 64 cikkből és egy mellékletből áll. </w:t>
      </w:r>
    </w:p>
    <w:p w:rsidR="001E667A" w:rsidRDefault="005F0856">
      <w:pPr>
        <w:autoSpaceDE w:val="0"/>
        <w:autoSpaceDN w:val="0"/>
        <w:adjustRightInd w:val="0"/>
        <w:spacing w:before="0"/>
        <w:rPr>
          <w:b/>
          <w:bCs/>
          <w:noProof/>
          <w:szCs w:val="24"/>
        </w:rPr>
      </w:pPr>
      <w:r>
        <w:rPr>
          <w:b/>
          <w:noProof/>
        </w:rPr>
        <w:t xml:space="preserve">I. fejezet – Általános rendelkezések </w:t>
      </w:r>
    </w:p>
    <w:p w:rsidR="001E667A" w:rsidRDefault="005F0856">
      <w:pPr>
        <w:autoSpaceDE w:val="0"/>
        <w:autoSpaceDN w:val="0"/>
        <w:adjustRightInd w:val="0"/>
        <w:spacing w:before="0"/>
        <w:rPr>
          <w:bCs/>
          <w:noProof/>
          <w:szCs w:val="24"/>
        </w:rPr>
      </w:pPr>
      <w:r>
        <w:rPr>
          <w:noProof/>
        </w:rPr>
        <w:t>Ez a fejeze</w:t>
      </w:r>
      <w:r>
        <w:rPr>
          <w:noProof/>
        </w:rPr>
        <w:t>t meghatározza a rendelet hatályát és a rendeletben használt főbb kifejezéseket. Frissíti a 765/2008/EK rendeletben használt fogalommeghatározásokat, különösen azért, hogy tekintetbe vegyék az ellátási láncot alkotó szereplők sokféleségét és az igényt arra</w:t>
      </w:r>
      <w:r>
        <w:rPr>
          <w:noProof/>
        </w:rPr>
        <w:t xml:space="preserve">, hogy a termékekkel kapcsolatos uniós harmonizációs jogszabályok alkalmazása ezek mindegyikére kiterjedjen. A „gazdasági szereplő” javasolt fogalommeghatározása magában foglal minden, e jogszabály által közvetlenül érintett szereplőt. </w:t>
      </w:r>
    </w:p>
    <w:p w:rsidR="001E667A" w:rsidRDefault="005F0856">
      <w:pPr>
        <w:autoSpaceDE w:val="0"/>
        <w:autoSpaceDN w:val="0"/>
        <w:adjustRightInd w:val="0"/>
        <w:spacing w:before="0"/>
        <w:rPr>
          <w:b/>
          <w:bCs/>
          <w:noProof/>
          <w:szCs w:val="24"/>
        </w:rPr>
      </w:pPr>
      <w:r>
        <w:rPr>
          <w:b/>
          <w:noProof/>
        </w:rPr>
        <w:t xml:space="preserve">II. fejezet – Termékmegfelelési információk </w:t>
      </w:r>
    </w:p>
    <w:p w:rsidR="001E667A" w:rsidRDefault="005F0856">
      <w:pPr>
        <w:spacing w:before="0"/>
        <w:rPr>
          <w:bCs/>
          <w:noProof/>
          <w:szCs w:val="24"/>
        </w:rPr>
      </w:pPr>
      <w:r>
        <w:rPr>
          <w:noProof/>
        </w:rPr>
        <w:t>Ez a fejezet bevezeti a „termékmegfelelési információért felelős, Unióban letelepedett személy” koncepcióját, mint a termék piaci forgalomba hozatalának szükséges feltételét. A fő célkitűzések a termékekre vonat</w:t>
      </w:r>
      <w:r>
        <w:rPr>
          <w:noProof/>
        </w:rPr>
        <w:t xml:space="preserve">kozó uniós harmonizációs jogszabályok érvényesítése a gyártók vagy az általuk kijelölt képviselők és a piacfelügyeleti hatóságok közötti jó kapcsolat biztosításán keresztül, valamint a méltányos kereskedelmi feltételek uniós piacon történő megteremtése. </w:t>
      </w:r>
    </w:p>
    <w:p w:rsidR="001E667A" w:rsidRDefault="005F0856">
      <w:pPr>
        <w:autoSpaceDE w:val="0"/>
        <w:autoSpaceDN w:val="0"/>
        <w:adjustRightInd w:val="0"/>
        <w:spacing w:before="0"/>
        <w:rPr>
          <w:bCs/>
          <w:noProof/>
          <w:szCs w:val="24"/>
        </w:rPr>
      </w:pPr>
      <w:r>
        <w:rPr>
          <w:noProof/>
        </w:rPr>
        <w:t>A</w:t>
      </w:r>
      <w:r>
        <w:rPr>
          <w:noProof/>
        </w:rPr>
        <w:t xml:space="preserve"> termékmegfelelési információért felelős személy lehet a gyártó, az importőr vagy a gyártó által kijelölt bármely más gazdasági szereplő. </w:t>
      </w:r>
    </w:p>
    <w:p w:rsidR="001E667A" w:rsidRDefault="005F0856">
      <w:pPr>
        <w:autoSpaceDE w:val="0"/>
        <w:autoSpaceDN w:val="0"/>
        <w:adjustRightInd w:val="0"/>
        <w:spacing w:before="0"/>
        <w:rPr>
          <w:bCs/>
          <w:noProof/>
          <w:szCs w:val="24"/>
        </w:rPr>
      </w:pPr>
      <w:r>
        <w:rPr>
          <w:noProof/>
        </w:rPr>
        <w:t>A termékmegfelelési információért felelős személy alapvető feladata, hogy a termékre vonatkozóan információt szolgált</w:t>
      </w:r>
      <w:r>
        <w:rPr>
          <w:noProof/>
        </w:rPr>
        <w:t xml:space="preserve">asson a piacfelügyeleti hatóságok számára, és hogy együttműködjön a hatóságokkal. </w:t>
      </w:r>
    </w:p>
    <w:p w:rsidR="001E667A" w:rsidRDefault="005F0856">
      <w:pPr>
        <w:autoSpaceDE w:val="0"/>
        <w:autoSpaceDN w:val="0"/>
        <w:adjustRightInd w:val="0"/>
        <w:spacing w:before="0"/>
        <w:rPr>
          <w:b/>
          <w:bCs/>
          <w:noProof/>
          <w:szCs w:val="24"/>
        </w:rPr>
      </w:pPr>
      <w:r>
        <w:rPr>
          <w:b/>
          <w:noProof/>
        </w:rPr>
        <w:t>III. fejezet – Segítségnyújtás a gazdasági szereplőknek és a velük való együttműködés</w:t>
      </w:r>
    </w:p>
    <w:p w:rsidR="001E667A" w:rsidRDefault="005F0856">
      <w:pPr>
        <w:autoSpaceDE w:val="0"/>
        <w:autoSpaceDN w:val="0"/>
        <w:adjustRightInd w:val="0"/>
        <w:spacing w:before="0"/>
        <w:rPr>
          <w:bCs/>
          <w:noProof/>
          <w:szCs w:val="24"/>
        </w:rPr>
      </w:pPr>
      <w:r>
        <w:rPr>
          <w:noProof/>
        </w:rPr>
        <w:t>Ez a fejezet meghatározza az e rendelet tekintetében illetékes hatóságok és összekötő hivatalok kijelölésének módját, és pontosítja az összekötő hivatalok szerepét. Felhívja a tagállamokat arra, hogy biztosítsák a területükön működő végrehajtási hálózat ta</w:t>
      </w:r>
      <w:r>
        <w:rPr>
          <w:noProof/>
        </w:rPr>
        <w:t>gjainak zökkenőmentes együttműködését. Előírja a tagállamoknak annak biztosítását, hogy az egyéb nemzeti hatóságaik támogassák a hatáskörrel rendelkező hatóságok munkáját, különösen azokban az esetekben, amikor a jogsértés felszámolásához büntetőjogi intéz</w:t>
      </w:r>
      <w:r>
        <w:rPr>
          <w:noProof/>
        </w:rPr>
        <w:t xml:space="preserve">kedések szükségesek. </w:t>
      </w:r>
    </w:p>
    <w:p w:rsidR="001E667A" w:rsidRDefault="005F0856">
      <w:pPr>
        <w:autoSpaceDE w:val="0"/>
        <w:autoSpaceDN w:val="0"/>
        <w:adjustRightInd w:val="0"/>
        <w:spacing w:before="0"/>
        <w:rPr>
          <w:b/>
          <w:bCs/>
          <w:noProof/>
          <w:szCs w:val="24"/>
        </w:rPr>
      </w:pPr>
      <w:r>
        <w:rPr>
          <w:b/>
          <w:noProof/>
        </w:rPr>
        <w:t>IV. fejezet – A piacfelügyelet szervezete és általános alapelvei</w:t>
      </w:r>
    </w:p>
    <w:p w:rsidR="001E667A" w:rsidRDefault="005F0856">
      <w:pPr>
        <w:rPr>
          <w:noProof/>
        </w:rPr>
      </w:pPr>
      <w:r>
        <w:rPr>
          <w:noProof/>
        </w:rPr>
        <w:t>A rendelet meghatározza a tagállamoknak a piacfelügyelet saját területükön történő megszervezése tekintetében fennálló kötelezettségeit. Megállapítja azokat az eljárások</w:t>
      </w:r>
      <w:r>
        <w:rPr>
          <w:noProof/>
        </w:rPr>
        <w:t>at, amelyeket ki kell alakítaniuk ahhoz, hogy nyomon kövessék a kockázatokkal kapcsolatos kérdéseket vagy panaszokat, figyelemmel kísérjék a baleseteket és a végfelhasználók egészségét érő károsodásokat, ellenőrizzék a gazdasági szereplő által végrehajtott</w:t>
      </w:r>
      <w:r>
        <w:rPr>
          <w:noProof/>
        </w:rPr>
        <w:t xml:space="preserve"> korrekciós intézkedéseket, és figyelemmel kísérjék a biztonsági kérdéseket érintő tudományos és technikai ismereteket.</w:t>
      </w:r>
    </w:p>
    <w:p w:rsidR="001E667A" w:rsidRDefault="005F0856">
      <w:pPr>
        <w:rPr>
          <w:noProof/>
        </w:rPr>
      </w:pPr>
      <w:r>
        <w:rPr>
          <w:noProof/>
        </w:rPr>
        <w:t>A rendelet meghatározza, hogy a tagállamoknak hogyan kell kijelölniük a piacfelügyeleti hatóságokat és az összekötő hivatalokat. Megálla</w:t>
      </w:r>
      <w:r>
        <w:rPr>
          <w:noProof/>
        </w:rPr>
        <w:t>pítja a piacfelügyeleti hatóságok tevékenységei kapcsán követendő alapelveket, nevezetesen, hogy a felügyeletnek hatékonynak, az intézkedéseknek a megfeleléssel arányosnak kell lenniük, a hatóságoknak a meghatározott tényezőkre épülő kockázatalapú megközel</w:t>
      </w:r>
      <w:r>
        <w:rPr>
          <w:noProof/>
        </w:rPr>
        <w:t>ítést kell alkalmazniuk, és átlátható, független és pártatlan módon kell eljárniuk.</w:t>
      </w:r>
    </w:p>
    <w:p w:rsidR="001E667A" w:rsidRDefault="005F0856">
      <w:pPr>
        <w:rPr>
          <w:noProof/>
        </w:rPr>
      </w:pPr>
      <w:r>
        <w:rPr>
          <w:noProof/>
        </w:rPr>
        <w:t xml:space="preserve">A rendelet kötelezi a tagállamokat arra is, hogy rendszeresen készítsenek nemzeti piacfelügyeleti stratégiát, és felsorolja, hogy annak mit kell tartalmaznia. </w:t>
      </w:r>
    </w:p>
    <w:p w:rsidR="001E667A" w:rsidRDefault="005F0856">
      <w:pPr>
        <w:autoSpaceDE w:val="0"/>
        <w:autoSpaceDN w:val="0"/>
        <w:adjustRightInd w:val="0"/>
        <w:spacing w:before="0"/>
        <w:rPr>
          <w:b/>
          <w:bCs/>
          <w:noProof/>
          <w:szCs w:val="24"/>
        </w:rPr>
      </w:pPr>
      <w:r>
        <w:rPr>
          <w:b/>
          <w:noProof/>
        </w:rPr>
        <w:t>V. fejezet –</w:t>
      </w:r>
      <w:r>
        <w:rPr>
          <w:b/>
          <w:noProof/>
        </w:rPr>
        <w:t xml:space="preserve"> Piacfelügyeleti hatáskörök és intézkedések</w:t>
      </w:r>
    </w:p>
    <w:p w:rsidR="001E667A" w:rsidRDefault="005F0856">
      <w:pPr>
        <w:autoSpaceDE w:val="0"/>
        <w:autoSpaceDN w:val="0"/>
        <w:adjustRightInd w:val="0"/>
        <w:spacing w:before="0"/>
        <w:rPr>
          <w:bCs/>
          <w:noProof/>
          <w:szCs w:val="24"/>
        </w:rPr>
      </w:pPr>
      <w:r>
        <w:rPr>
          <w:noProof/>
        </w:rPr>
        <w:t>A rendelet meghatározza a piacfelügyeleti hatóságok hatásköreit annak érdekében, hogy azok biztosítsák a termékekre vonatkozó uniós harmonizációs jogszabályok határokon átnyúló eredményes érvényesítését. E hatásk</w:t>
      </w:r>
      <w:r>
        <w:rPr>
          <w:noProof/>
        </w:rPr>
        <w:t>örök magukban foglalják a felhatalmazást a meg nem felelés előfordulásához kapcsolódó dokumentumokhoz és adatokhoz való hozzáférésre, valamint a gazdasági szereplők és a közigazgatási szervek arra való kötelezésére, hogy rendelkezésre bocsássanak minden, a</w:t>
      </w:r>
      <w:r>
        <w:rPr>
          <w:noProof/>
        </w:rPr>
        <w:t xml:space="preserve"> meg nem felelés előfordulásával kapcsolatos információt; helyszíni vizsgálatok végrehajtására; próbavásárlások végrehajtására; ideiglenes intézkedések elfogadására; vizsgálat vagy a meg nem felelés megszüntetésére irányuló eljárás indítására; a termékek r</w:t>
      </w:r>
      <w:r>
        <w:rPr>
          <w:noProof/>
        </w:rPr>
        <w:t>endelkezésre bocsátásának betiltására, vagy a termék visszahívására és a forgalomból való kivonására és megsemmisítésére; szankció megállapítására és a meg nem felelés eredményeként szerzett nyereség behajtásának elrendelésére; valamint a meghozott határoz</w:t>
      </w:r>
      <w:r>
        <w:rPr>
          <w:noProof/>
        </w:rPr>
        <w:t xml:space="preserve">atok közzétételére, köztük az érintett gazdasági szereplő megnevezésére. </w:t>
      </w:r>
    </w:p>
    <w:p w:rsidR="001E667A" w:rsidRDefault="005F0856">
      <w:pPr>
        <w:autoSpaceDE w:val="0"/>
        <w:autoSpaceDN w:val="0"/>
        <w:adjustRightInd w:val="0"/>
        <w:spacing w:before="0"/>
        <w:rPr>
          <w:bCs/>
          <w:noProof/>
          <w:szCs w:val="24"/>
        </w:rPr>
      </w:pPr>
      <w:r>
        <w:rPr>
          <w:noProof/>
        </w:rPr>
        <w:t>E hatáskör gyakorlásakor a tagállamok fenntartják a lehetőséget annak eldöntésére, hogy – a nemzeti szintű jogszabályoknak megfelelően – az illetékes hatóságok saját minimális hatásk</w:t>
      </w:r>
      <w:r>
        <w:rPr>
          <w:noProof/>
        </w:rPr>
        <w:t xml:space="preserve">örükben járnak-e el, vagy a hatáskört a bírósághoz fordulva gyakorolják. </w:t>
      </w:r>
    </w:p>
    <w:p w:rsidR="001E667A" w:rsidRDefault="005F0856">
      <w:pPr>
        <w:spacing w:before="0"/>
        <w:rPr>
          <w:bCs/>
          <w:noProof/>
          <w:szCs w:val="24"/>
        </w:rPr>
      </w:pPr>
      <w:r>
        <w:rPr>
          <w:noProof/>
        </w:rPr>
        <w:t>A rendelet meghatároz piacfelügyeleti intézkedéseket, megállapítja az eljárásokat és a betartandó alapelveket. A súlyos veszélyt jelentő és gyors beavatkozást igénylő termékek vonatk</w:t>
      </w:r>
      <w:r>
        <w:rPr>
          <w:noProof/>
        </w:rPr>
        <w:t xml:space="preserve">ozásában a fejezet megteremti a kapcsolatot a 2001/95/EK irányelvvel és az irányelv által létrehozott uniós riasztási rendszerrel. </w:t>
      </w:r>
    </w:p>
    <w:p w:rsidR="001E667A" w:rsidRDefault="005F0856">
      <w:pPr>
        <w:autoSpaceDE w:val="0"/>
        <w:autoSpaceDN w:val="0"/>
        <w:adjustRightInd w:val="0"/>
        <w:spacing w:before="0"/>
        <w:rPr>
          <w:bCs/>
          <w:noProof/>
          <w:szCs w:val="24"/>
        </w:rPr>
      </w:pPr>
      <w:r>
        <w:rPr>
          <w:noProof/>
        </w:rPr>
        <w:t>A rendelet bevezeti az uniós vizsgálati létesítmények kijelölésének lehetőségét és meghatározza az általuk ellátandó feladat</w:t>
      </w:r>
      <w:r>
        <w:rPr>
          <w:noProof/>
        </w:rPr>
        <w:t xml:space="preserve">okat. </w:t>
      </w:r>
    </w:p>
    <w:p w:rsidR="001E667A" w:rsidRDefault="005F0856">
      <w:pPr>
        <w:autoSpaceDE w:val="0"/>
        <w:autoSpaceDN w:val="0"/>
        <w:adjustRightInd w:val="0"/>
        <w:spacing w:before="0"/>
        <w:rPr>
          <w:bCs/>
          <w:noProof/>
          <w:szCs w:val="24"/>
        </w:rPr>
      </w:pPr>
      <w:r>
        <w:rPr>
          <w:noProof/>
        </w:rPr>
        <w:t xml:space="preserve">A piacfelügyelet finanszírozásának elve mellett ez a fejezet előírja a piacfelügyeleti hatóságok számára, hogy a költségeiket – a nem teljesítés esetén – a gazdasági szereplőkre kivetett igazgatási díjakból fedezzék. </w:t>
      </w:r>
    </w:p>
    <w:p w:rsidR="001E667A" w:rsidRDefault="005F0856">
      <w:pPr>
        <w:autoSpaceDE w:val="0"/>
        <w:autoSpaceDN w:val="0"/>
        <w:adjustRightInd w:val="0"/>
        <w:spacing w:before="0"/>
        <w:rPr>
          <w:b/>
          <w:bCs/>
          <w:noProof/>
          <w:szCs w:val="24"/>
        </w:rPr>
      </w:pPr>
      <w:r>
        <w:rPr>
          <w:b/>
          <w:noProof/>
        </w:rPr>
        <w:t xml:space="preserve">VI. fejezet – Együttműködés és </w:t>
      </w:r>
      <w:r>
        <w:rPr>
          <w:b/>
          <w:noProof/>
        </w:rPr>
        <w:t xml:space="preserve">a kölcsönös segítségnyújtásra vonatkozó eljárás </w:t>
      </w:r>
    </w:p>
    <w:p w:rsidR="001E667A" w:rsidRDefault="005F0856">
      <w:pPr>
        <w:autoSpaceDE w:val="0"/>
        <w:autoSpaceDN w:val="0"/>
        <w:adjustRightInd w:val="0"/>
        <w:spacing w:before="0"/>
        <w:rPr>
          <w:bCs/>
          <w:noProof/>
          <w:szCs w:val="24"/>
        </w:rPr>
      </w:pPr>
      <w:r>
        <w:rPr>
          <w:noProof/>
        </w:rPr>
        <w:t>A kölcsönös segítségnyújtás két formában történhet:</w:t>
      </w:r>
    </w:p>
    <w:p w:rsidR="001E667A" w:rsidRDefault="005F0856">
      <w:pPr>
        <w:pStyle w:val="Bullet0"/>
        <w:rPr>
          <w:noProof/>
        </w:rPr>
      </w:pPr>
      <w:r>
        <w:rPr>
          <w:noProof/>
        </w:rPr>
        <w:t xml:space="preserve">információkérés, amely lehetővé teszi, hogy valamely tagállam piacfelügyeleti hatóságai információt és bizonyítékokat szerezzenek be egymástól, és </w:t>
      </w:r>
    </w:p>
    <w:p w:rsidR="001E667A" w:rsidRDefault="005F0856">
      <w:pPr>
        <w:pStyle w:val="Bullet0"/>
        <w:rPr>
          <w:noProof/>
        </w:rPr>
      </w:pPr>
      <w:r>
        <w:rPr>
          <w:noProof/>
        </w:rPr>
        <w:t>végreha</w:t>
      </w:r>
      <w:r>
        <w:rPr>
          <w:noProof/>
        </w:rPr>
        <w:t xml:space="preserve">jtási intézkedések iránti megkeresés, amely lehetővé teszi, hogy valamely tagállam piacfelügyeleti hatóságai egy másik tagállamban működő partnerszervezettől végrehajtási intézkedések megtételét kérjék. </w:t>
      </w:r>
    </w:p>
    <w:p w:rsidR="001E667A" w:rsidRDefault="005F0856">
      <w:pPr>
        <w:numPr>
          <w:ilvl w:val="255"/>
          <w:numId w:val="0"/>
        </w:numPr>
        <w:autoSpaceDE w:val="0"/>
        <w:autoSpaceDN w:val="0"/>
        <w:adjustRightInd w:val="0"/>
        <w:spacing w:before="0"/>
        <w:rPr>
          <w:bCs/>
          <w:noProof/>
          <w:szCs w:val="24"/>
        </w:rPr>
      </w:pPr>
      <w:r>
        <w:rPr>
          <w:noProof/>
        </w:rPr>
        <w:t xml:space="preserve">A rendelet meghatározza a kölcsönös segítségnyújtás </w:t>
      </w:r>
      <w:r>
        <w:rPr>
          <w:noProof/>
        </w:rPr>
        <w:t xml:space="preserve">iránti megkeresésre vonatkozó eljárást. Ezeket a megkereséseket az információs és kommunikációs rendszeren keresztül, formanyomtatványokon kell mind a megkereső, mind a megkeresett tagállam összekötő hivatala részére eljuttatni. A rendelet előírja azt is, </w:t>
      </w:r>
      <w:r>
        <w:rPr>
          <w:noProof/>
        </w:rPr>
        <w:t>hogy a valamely tagállamban beszerzett bizonyítékok és vizsgálati eredmények egy másik tagállamban is felhasználhatók.</w:t>
      </w:r>
    </w:p>
    <w:p w:rsidR="001E667A" w:rsidRDefault="005F0856">
      <w:pPr>
        <w:autoSpaceDE w:val="0"/>
        <w:autoSpaceDN w:val="0"/>
        <w:adjustRightInd w:val="0"/>
        <w:spacing w:before="0"/>
        <w:rPr>
          <w:bCs/>
          <w:noProof/>
          <w:szCs w:val="24"/>
        </w:rPr>
      </w:pPr>
      <w:r>
        <w:rPr>
          <w:noProof/>
        </w:rPr>
        <w:t>Az alapelv az, hogy a valamely tagállam piacfelügyeleti hatósága által meghozott határozat alapján nem megfelelőnek ítélt termékekről egy</w:t>
      </w:r>
      <w:r>
        <w:rPr>
          <w:noProof/>
        </w:rPr>
        <w:t xml:space="preserve"> másik tagállam piacfelügyeleti hatóságai is vélelmezik, hogy nem megfelelők, mindaddig, amíg az érintett gazdasági szereplő ennek ellenkezőjéről bizonyítékot nem szolgáltat. A kölcsönös segítségnyújtás mint eszköz célja, hogy kezelje azokat az eseteket, a</w:t>
      </w:r>
      <w:r>
        <w:rPr>
          <w:noProof/>
        </w:rPr>
        <w:t>mikor egy termék meg nem felelése több országot érint, és a meg nem felelés megszüntetését vagy a termék betiltását szolgáló, minden tagállamra kiterjedő intézkedéseket tegyen lehetővé. A rendelet elősegíti a piacfelügyeleti hatóságok által a minimális hat</w:t>
      </w:r>
      <w:r>
        <w:rPr>
          <w:noProof/>
        </w:rPr>
        <w:t xml:space="preserve">áskörüket gyakorolva megszerzett bizonyítékok és vizsgálati eredmények országhatáron túl történő felhasználását. </w:t>
      </w:r>
    </w:p>
    <w:p w:rsidR="001E667A" w:rsidRDefault="005F0856">
      <w:pPr>
        <w:autoSpaceDE w:val="0"/>
        <w:autoSpaceDN w:val="0"/>
        <w:adjustRightInd w:val="0"/>
        <w:spacing w:before="0"/>
        <w:rPr>
          <w:bCs/>
          <w:noProof/>
          <w:szCs w:val="24"/>
        </w:rPr>
      </w:pPr>
      <w:r>
        <w:rPr>
          <w:noProof/>
        </w:rPr>
        <w:t>A rendelet értelmében a megkeresett hatóságnak a végrehajtási intézkedésekben meghatározott időtartamon belül válaszolnia kell a kölcsönös seg</w:t>
      </w:r>
      <w:r>
        <w:rPr>
          <w:noProof/>
        </w:rPr>
        <w:t xml:space="preserve">ítségnyújtás iránti megkeresésre. </w:t>
      </w:r>
    </w:p>
    <w:p w:rsidR="001E667A" w:rsidRDefault="005F0856">
      <w:pPr>
        <w:autoSpaceDE w:val="0"/>
        <w:autoSpaceDN w:val="0"/>
        <w:adjustRightInd w:val="0"/>
        <w:spacing w:before="0"/>
        <w:rPr>
          <w:bCs/>
          <w:noProof/>
          <w:szCs w:val="24"/>
        </w:rPr>
      </w:pPr>
      <w:r>
        <w:rPr>
          <w:noProof/>
        </w:rPr>
        <w:t>A rendelet biztosítja a szakmai és kereskedelmi titkok védelmét, mivel előírja, hogy a piacfelügyeleti hatóságoknak átadott információ kizárólag az uniós harmonizációs jogszabályoknak való megfelelés biztosítása kapcsán h</w:t>
      </w:r>
      <w:r>
        <w:rPr>
          <w:noProof/>
        </w:rPr>
        <w:t xml:space="preserve">asználható fel. </w:t>
      </w:r>
    </w:p>
    <w:p w:rsidR="001E667A" w:rsidRDefault="005F0856">
      <w:pPr>
        <w:autoSpaceDE w:val="0"/>
        <w:autoSpaceDN w:val="0"/>
        <w:adjustRightInd w:val="0"/>
        <w:spacing w:before="0"/>
        <w:rPr>
          <w:b/>
          <w:bCs/>
          <w:noProof/>
          <w:szCs w:val="24"/>
        </w:rPr>
      </w:pPr>
      <w:r>
        <w:rPr>
          <w:b/>
          <w:noProof/>
        </w:rPr>
        <w:t>VII. fejezet – Az uniós piacra belépő termékek</w:t>
      </w:r>
    </w:p>
    <w:p w:rsidR="001E667A" w:rsidRDefault="005F0856">
      <w:pPr>
        <w:autoSpaceDE w:val="0"/>
        <w:autoSpaceDN w:val="0"/>
        <w:adjustRightInd w:val="0"/>
        <w:spacing w:before="0"/>
        <w:rPr>
          <w:bCs/>
          <w:noProof/>
          <w:szCs w:val="24"/>
        </w:rPr>
      </w:pPr>
      <w:r>
        <w:rPr>
          <w:noProof/>
        </w:rPr>
        <w:t>A rendelet az uniós piacra belépő termékek vonatkozásában megerősített ellenőrzési keretrendszert ír elő. Abból a feltételezésből indul ki, hogy a nem biztonságos vagy nem megfelelő termékek u</w:t>
      </w:r>
      <w:r>
        <w:rPr>
          <w:noProof/>
        </w:rPr>
        <w:t xml:space="preserve">niós piacon történő forgalomba hozatala legeredményesebben a szabad forgalomba bocsátásukat megelőzően végrehajtott megfelelő ellenőrzésekkel akadályozható meg. A vámhatóságok kockázatértékelésre alapozott ellenőrzéséket hajtanak végre. </w:t>
      </w:r>
    </w:p>
    <w:p w:rsidR="001E667A" w:rsidRDefault="005F0856">
      <w:pPr>
        <w:autoSpaceDE w:val="0"/>
        <w:autoSpaceDN w:val="0"/>
        <w:adjustRightInd w:val="0"/>
        <w:spacing w:before="0"/>
        <w:rPr>
          <w:noProof/>
        </w:rPr>
      </w:pPr>
      <w:r>
        <w:rPr>
          <w:noProof/>
        </w:rPr>
        <w:t>Elsősorban a termé</w:t>
      </w:r>
      <w:r>
        <w:rPr>
          <w:noProof/>
        </w:rPr>
        <w:t>kek forgalomba hozatalára, valamint a szabad forgalomba bocsátás felfüggesztésére és megtagadására vonatkozó eljárásokon keresztül erősíti a piacfelügyeleti hatóságok és a vámhatóságok közötti információmegosztást is. A meg nem feleléssel kapcsolatos jelen</w:t>
      </w:r>
      <w:r>
        <w:rPr>
          <w:noProof/>
        </w:rPr>
        <w:t>tősebb kockázat feltárása esetén a piacfelügyeleti hatóságoktól a termékekre és a gazdasági szereplőkre vonatkozó tájékoztatás kérhető. Amennyiben az adott információ az uniós harmonizációs jogszabályok érvényesítése szempontjából releváns, a vámhatóságokn</w:t>
      </w:r>
      <w:r>
        <w:rPr>
          <w:noProof/>
        </w:rPr>
        <w:t xml:space="preserve">ak időben tájékoztatniuk kell a piacfelügyeleti hatóságokat a termékek szabad forgalomba bocsátás alá vonásáról és az ellenőrzések eredményeiről. </w:t>
      </w:r>
    </w:p>
    <w:p w:rsidR="001E667A" w:rsidRDefault="005F0856">
      <w:pPr>
        <w:autoSpaceDE w:val="0"/>
        <w:autoSpaceDN w:val="0"/>
        <w:adjustRightInd w:val="0"/>
        <w:spacing w:before="0"/>
        <w:rPr>
          <w:bCs/>
          <w:noProof/>
          <w:szCs w:val="24"/>
        </w:rPr>
      </w:pPr>
      <w:r>
        <w:rPr>
          <w:noProof/>
        </w:rPr>
        <w:t xml:space="preserve">A szabad forgalomba bocsátás felfüggeszthető, ha: </w:t>
      </w:r>
    </w:p>
    <w:p w:rsidR="001E667A" w:rsidRDefault="005F0856">
      <w:pPr>
        <w:pStyle w:val="Bullet0"/>
        <w:rPr>
          <w:noProof/>
        </w:rPr>
      </w:pPr>
      <w:r>
        <w:rPr>
          <w:noProof/>
        </w:rPr>
        <w:t>a termékhez nem mellékelték az előírt dokumentációt, nincs</w:t>
      </w:r>
      <w:r>
        <w:rPr>
          <w:noProof/>
        </w:rPr>
        <w:t xml:space="preserve"> az előírtaknak megfelelően megjelölve vagy címkézve, nincs rajta feltüntetve az uniós harmonizációs jogszabályok által megkövetelt CE-jelölés vagy egyéb jelölés, </w:t>
      </w:r>
    </w:p>
    <w:p w:rsidR="001E667A" w:rsidRDefault="005F0856">
      <w:pPr>
        <w:pStyle w:val="Bullet0"/>
        <w:rPr>
          <w:noProof/>
        </w:rPr>
      </w:pPr>
      <w:r>
        <w:rPr>
          <w:noProof/>
        </w:rPr>
        <w:t>nem azonosítható a termékmegfelelési információért felelős, Unióban letelepedett személy, va</w:t>
      </w:r>
      <w:r>
        <w:rPr>
          <w:noProof/>
        </w:rPr>
        <w:t xml:space="preserve">gy </w:t>
      </w:r>
    </w:p>
    <w:p w:rsidR="001E667A" w:rsidRDefault="005F0856">
      <w:pPr>
        <w:pStyle w:val="Bullet0"/>
        <w:rPr>
          <w:noProof/>
        </w:rPr>
      </w:pPr>
      <w:r>
        <w:rPr>
          <w:noProof/>
        </w:rPr>
        <w:t xml:space="preserve">okkal hihető, hogy a termék forgalomba hozatala nem az uniós harmonizációs jogszabályokban meghatározott követelmények szerint történt. </w:t>
      </w:r>
    </w:p>
    <w:p w:rsidR="001E667A" w:rsidRDefault="005F0856">
      <w:pPr>
        <w:autoSpaceDE w:val="0"/>
        <w:autoSpaceDN w:val="0"/>
        <w:adjustRightInd w:val="0"/>
        <w:spacing w:before="0"/>
        <w:rPr>
          <w:bCs/>
          <w:noProof/>
          <w:szCs w:val="24"/>
        </w:rPr>
      </w:pPr>
      <w:r>
        <w:rPr>
          <w:noProof/>
        </w:rPr>
        <w:t xml:space="preserve">A rendelet kedvezőbb bánásmódot ír elő a 952/2013/EU rendeletben értelmében különleges státussal rendelkező </w:t>
      </w:r>
      <w:r>
        <w:rPr>
          <w:noProof/>
        </w:rPr>
        <w:t>engedélyezett gazdálkodók által szabad forgalomba bocsátásra bejelentett termékek esetében. Meghatározza e kedvezőbb bánásmód felfüggesztésének feltételeit arra az esetre, ha az ellenőrzés során meg nem felelést tárnak fel. Az engedélyezett gazdálkodókra v</w:t>
      </w:r>
      <w:r>
        <w:rPr>
          <w:noProof/>
        </w:rPr>
        <w:t>onatkozó információk piacfelügyeleti hatóságok és vámhatóságok közötti megosztásának eljárási szabályait a végrehajtási intézkedések határozzák majd meg.</w:t>
      </w:r>
    </w:p>
    <w:p w:rsidR="001E667A" w:rsidRDefault="005F0856">
      <w:pPr>
        <w:autoSpaceDE w:val="0"/>
        <w:autoSpaceDN w:val="0"/>
        <w:adjustRightInd w:val="0"/>
        <w:spacing w:before="0"/>
        <w:rPr>
          <w:b/>
          <w:bCs/>
          <w:noProof/>
          <w:szCs w:val="24"/>
        </w:rPr>
      </w:pPr>
      <w:r>
        <w:rPr>
          <w:b/>
          <w:noProof/>
        </w:rPr>
        <w:t xml:space="preserve">VIII. fejezet – Összehangolt végrehajtás és nemzetközi együttműködés </w:t>
      </w:r>
    </w:p>
    <w:p w:rsidR="001E667A" w:rsidRDefault="005F0856">
      <w:pPr>
        <w:autoSpaceDE w:val="0"/>
        <w:autoSpaceDN w:val="0"/>
        <w:adjustRightInd w:val="0"/>
        <w:spacing w:before="0"/>
        <w:rPr>
          <w:bCs/>
          <w:noProof/>
          <w:szCs w:val="24"/>
        </w:rPr>
      </w:pPr>
      <w:r>
        <w:rPr>
          <w:noProof/>
        </w:rPr>
        <w:t>A rendelettel – a Bizottságon be</w:t>
      </w:r>
      <w:r>
        <w:rPr>
          <w:noProof/>
        </w:rPr>
        <w:t>lül – létrejön az európai uniós termékmegfelelőségi hálózat (továbbiakban: hálózat) A hálózat egy testületből, igazgatási koordinációs csoportokból és titkárságból áll; feladatait a rendelet részletezi.</w:t>
      </w:r>
    </w:p>
    <w:p w:rsidR="001E667A" w:rsidRDefault="005F0856">
      <w:pPr>
        <w:autoSpaceDE w:val="0"/>
        <w:autoSpaceDN w:val="0"/>
        <w:adjustRightInd w:val="0"/>
        <w:spacing w:before="0"/>
        <w:rPr>
          <w:bCs/>
          <w:noProof/>
          <w:szCs w:val="24"/>
        </w:rPr>
      </w:pPr>
      <w:r>
        <w:rPr>
          <w:noProof/>
        </w:rPr>
        <w:t>A hálózat a végrehajtással kapcsolatos feladatok koor</w:t>
      </w:r>
      <w:r>
        <w:rPr>
          <w:noProof/>
        </w:rPr>
        <w:t>dinációjában, azaz az uniós szintű piacfelügyeleti együttműködés fokozásában játszik majd szerepet. Ezenkívül a hálózat felel majd a termékekre vonatkozó uniós harmonizációs jogszabályok végrehajtásával kapcsolatos információk gyűjtését és tárolását szolgá</w:t>
      </w:r>
      <w:r>
        <w:rPr>
          <w:noProof/>
        </w:rPr>
        <w:t xml:space="preserve">ló információs és kommunikációs rendszer fenntartásáért. A rendszer a Bizottság és a tagállamokban működő piacfelügyeleti hatóságok rendelkezésére áll majd, a közvélemény tájékoztatására és az átláthatóság biztosítására vonatkozó kötelezettség teljesítése </w:t>
      </w:r>
      <w:r>
        <w:rPr>
          <w:noProof/>
        </w:rPr>
        <w:t>érdekében pedig egy nyilvános felület is kapcsolódik majd hozzá.</w:t>
      </w:r>
    </w:p>
    <w:p w:rsidR="001E667A" w:rsidRDefault="005F0856">
      <w:pPr>
        <w:autoSpaceDE w:val="0"/>
        <w:autoSpaceDN w:val="0"/>
        <w:adjustRightInd w:val="0"/>
        <w:spacing w:before="0"/>
        <w:rPr>
          <w:bCs/>
          <w:noProof/>
          <w:szCs w:val="24"/>
        </w:rPr>
      </w:pPr>
      <w:r>
        <w:rPr>
          <w:noProof/>
        </w:rPr>
        <w:t>A rendelet, a termékekre vonatkozó uniós harmonizációs jogszabályok végrehajtásának biztosítása érdekében, meghatározza a harmadik országokkal vagy nemzetközi szervezetekkel létrejövő nemzetk</w:t>
      </w:r>
      <w:r>
        <w:rPr>
          <w:noProof/>
        </w:rPr>
        <w:t>özi együttműködések keretrendszerét. Előírja a harmadik ország által a termékeken – azok Unióba irányuló kivitele előtt – végrehajtandó termékhez kötődő, kivitel előtti ellenőrzések rendszerét is. A rendszer megvalósítására vonatkozó részleteket a végrehaj</w:t>
      </w:r>
      <w:r>
        <w:rPr>
          <w:noProof/>
        </w:rPr>
        <w:t xml:space="preserve">tási jogi aktusok határozzák majd meg. </w:t>
      </w:r>
    </w:p>
    <w:p w:rsidR="001E667A" w:rsidRDefault="005F0856">
      <w:pPr>
        <w:autoSpaceDE w:val="0"/>
        <w:autoSpaceDN w:val="0"/>
        <w:adjustRightInd w:val="0"/>
        <w:spacing w:before="0"/>
        <w:rPr>
          <w:b/>
          <w:bCs/>
          <w:noProof/>
          <w:szCs w:val="24"/>
        </w:rPr>
      </w:pPr>
      <w:r>
        <w:rPr>
          <w:b/>
          <w:noProof/>
        </w:rPr>
        <w:t>IX. fejezet – Záró rendelkezések</w:t>
      </w:r>
    </w:p>
    <w:p w:rsidR="001E667A" w:rsidRDefault="005F0856">
      <w:pPr>
        <w:autoSpaceDE w:val="0"/>
        <w:autoSpaceDN w:val="0"/>
        <w:adjustRightInd w:val="0"/>
        <w:spacing w:before="0"/>
        <w:rPr>
          <w:bCs/>
          <w:noProof/>
          <w:szCs w:val="24"/>
        </w:rPr>
      </w:pPr>
      <w:r>
        <w:rPr>
          <w:noProof/>
        </w:rPr>
        <w:t xml:space="preserve">A rendelet előírja, hogy a Bizottság nyújtson finanszírozást az Unió általános piacfelügyeleti politikája alá tartozó ügyekhez kapcsolódó valamennyi fellépésre. </w:t>
      </w:r>
    </w:p>
    <w:p w:rsidR="001E667A" w:rsidRDefault="005F0856">
      <w:pPr>
        <w:autoSpaceDE w:val="0"/>
        <w:autoSpaceDN w:val="0"/>
        <w:adjustRightInd w:val="0"/>
        <w:spacing w:before="0"/>
        <w:rPr>
          <w:bCs/>
          <w:noProof/>
          <w:szCs w:val="24"/>
        </w:rPr>
      </w:pPr>
      <w:r>
        <w:rPr>
          <w:noProof/>
        </w:rPr>
        <w:t>A rendelet tartalmazz</w:t>
      </w:r>
      <w:r>
        <w:rPr>
          <w:noProof/>
        </w:rPr>
        <w:t xml:space="preserve">a az Unió pénzügyi érdekeinek védelmét szolgáló általános érvényű rendelkezéseket. </w:t>
      </w:r>
    </w:p>
    <w:p w:rsidR="001E667A" w:rsidRDefault="005F0856">
      <w:pPr>
        <w:autoSpaceDE w:val="0"/>
        <w:autoSpaceDN w:val="0"/>
        <w:adjustRightInd w:val="0"/>
        <w:spacing w:before="0"/>
        <w:rPr>
          <w:b/>
          <w:bCs/>
          <w:noProof/>
          <w:szCs w:val="24"/>
        </w:rPr>
      </w:pPr>
      <w:r>
        <w:rPr>
          <w:b/>
          <w:noProof/>
        </w:rPr>
        <w:t>X. fejezet – Záró rendelkezések</w:t>
      </w:r>
    </w:p>
    <w:p w:rsidR="001E667A" w:rsidRDefault="005F0856">
      <w:pPr>
        <w:rPr>
          <w:noProof/>
        </w:rPr>
      </w:pPr>
      <w:r>
        <w:rPr>
          <w:noProof/>
        </w:rPr>
        <w:t>A rendelet előírja, hogy a mellékletben szereplő uniós harmonizációs jogszabályokra nem vonatkozik majd a 765/2008/EK rendelet 15–29. cikke.</w:t>
      </w:r>
    </w:p>
    <w:p w:rsidR="001E667A" w:rsidRDefault="005F0856">
      <w:pPr>
        <w:rPr>
          <w:noProof/>
        </w:rPr>
      </w:pPr>
      <w:r>
        <w:rPr>
          <w:noProof/>
        </w:rPr>
        <w:t>Az e rendelet mellékletében meghatározott 23 jogi eszközt kell módosítani, eltávolítva belőlük a 765/2008/EK rendelet 15–29. cikkére történő hivatkozásokat. A rendelet módosítja a 2004/42/EK európai parlamenti és tanácsi irányelvet is</w:t>
      </w:r>
      <w:r>
        <w:rPr>
          <w:rStyle w:val="FootnoteReference"/>
          <w:noProof/>
        </w:rPr>
        <w:footnoteReference w:id="22"/>
      </w:r>
      <w:r>
        <w:rPr>
          <w:noProof/>
        </w:rPr>
        <w:t>.</w:t>
      </w:r>
    </w:p>
    <w:p w:rsidR="001E667A" w:rsidRDefault="005F0856">
      <w:pPr>
        <w:autoSpaceDE w:val="0"/>
        <w:autoSpaceDN w:val="0"/>
        <w:adjustRightInd w:val="0"/>
        <w:spacing w:before="0"/>
        <w:rPr>
          <w:b/>
          <w:bCs/>
          <w:i/>
          <w:noProof/>
          <w:szCs w:val="24"/>
        </w:rPr>
      </w:pPr>
      <w:r>
        <w:rPr>
          <w:b/>
          <w:noProof/>
        </w:rPr>
        <w:t xml:space="preserve">XI. fejezet – </w:t>
      </w:r>
      <w:r>
        <w:rPr>
          <w:b/>
          <w:noProof/>
        </w:rPr>
        <w:t>Szankciók, értékelés, bizottsági eljárás és hatálybalépés és alkalmazás</w:t>
      </w:r>
    </w:p>
    <w:p w:rsidR="001E667A" w:rsidRDefault="005F0856">
      <w:pPr>
        <w:rPr>
          <w:noProof/>
        </w:rPr>
      </w:pPr>
      <w:r>
        <w:rPr>
          <w:noProof/>
        </w:rPr>
        <w:t xml:space="preserve">Miközben elismeri, hogy a szankciók megállapítása a tagállamok kompetenciája, a rendelet a szankciókra vonatkozó irányelveket határoz meg. </w:t>
      </w:r>
    </w:p>
    <w:p w:rsidR="001E667A" w:rsidRDefault="005F0856">
      <w:pPr>
        <w:rPr>
          <w:noProof/>
        </w:rPr>
      </w:pPr>
      <w:r>
        <w:rPr>
          <w:noProof/>
        </w:rPr>
        <w:t>A rendelet az alkalmazásának értékelésére, v</w:t>
      </w:r>
      <w:r>
        <w:rPr>
          <w:noProof/>
        </w:rPr>
        <w:t xml:space="preserve">alamint a végrehajtási jogi aktusok elfogadására irányuló bizottsági eljárásra vonatkozó általános rendelkezéseket is megállapít. </w:t>
      </w:r>
    </w:p>
    <w:p w:rsidR="001E667A" w:rsidRDefault="005F0856">
      <w:pPr>
        <w:autoSpaceDE w:val="0"/>
        <w:autoSpaceDN w:val="0"/>
        <w:adjustRightInd w:val="0"/>
        <w:spacing w:before="0"/>
        <w:rPr>
          <w:b/>
          <w:bCs/>
          <w:noProof/>
          <w:szCs w:val="24"/>
        </w:rPr>
      </w:pPr>
      <w:r>
        <w:rPr>
          <w:b/>
          <w:noProof/>
        </w:rPr>
        <w:t>Melléklet</w:t>
      </w:r>
    </w:p>
    <w:p w:rsidR="001E667A" w:rsidRDefault="005F0856">
      <w:pPr>
        <w:autoSpaceDE w:val="0"/>
        <w:autoSpaceDN w:val="0"/>
        <w:adjustRightInd w:val="0"/>
        <w:spacing w:before="0"/>
        <w:rPr>
          <w:bCs/>
          <w:noProof/>
          <w:szCs w:val="24"/>
        </w:rPr>
      </w:pPr>
      <w:r>
        <w:rPr>
          <w:noProof/>
        </w:rPr>
        <w:t>A melléklet felsorolja a termékekre vonatkozó uniós harmonizációs jogi eszközöket, kijelölve ezzel a rendelet alkal</w:t>
      </w:r>
      <w:r>
        <w:rPr>
          <w:noProof/>
        </w:rPr>
        <w:t xml:space="preserve">mazásának hatályát. </w:t>
      </w:r>
      <w:r>
        <w:rPr>
          <w:noProof/>
        </w:rPr>
        <w:br w:type="page"/>
      </w:r>
    </w:p>
    <w:p w:rsidR="001E667A" w:rsidRDefault="005F0856" w:rsidP="005F0856">
      <w:pPr>
        <w:pStyle w:val="Rfrenceinterinstitutionnelle"/>
        <w:rPr>
          <w:noProof/>
        </w:rPr>
      </w:pPr>
      <w:r w:rsidRPr="005F0856">
        <w:t>2017/0353 (COD)</w:t>
      </w:r>
    </w:p>
    <w:p w:rsidR="001E667A" w:rsidRDefault="005F0856" w:rsidP="005F0856">
      <w:pPr>
        <w:pStyle w:val="Statut"/>
        <w:rPr>
          <w:noProof/>
        </w:rPr>
      </w:pPr>
      <w:r w:rsidRPr="005F0856">
        <w:t>Javaslat</w:t>
      </w:r>
    </w:p>
    <w:p w:rsidR="001E667A" w:rsidRDefault="005F0856" w:rsidP="005F0856">
      <w:pPr>
        <w:pStyle w:val="Typedudocument"/>
        <w:rPr>
          <w:noProof/>
        </w:rPr>
      </w:pPr>
      <w:r w:rsidRPr="005F0856">
        <w:t>AZ EURÓPAI PARLAMENT ÉS A TANÁCS RENDELETE</w:t>
      </w:r>
    </w:p>
    <w:p w:rsidR="001E667A" w:rsidRDefault="005F0856" w:rsidP="005F0856">
      <w:pPr>
        <w:pStyle w:val="Titreobjet"/>
        <w:rPr>
          <w:noProof/>
        </w:rPr>
      </w:pPr>
      <w:r w:rsidRPr="005F0856">
        <w:t>a termékekre vonatkozó uniós harmonizációs jogszabályok betartására és érvényesítésére vonatkozó szabályok és eljárások megállapításáról, valamint a 305/2011/EU, az 528/2012/EU, az (EU) 2016/424, az (EU) 2016/425, az (EU) 2016/426, az (EU) 2017/1369 európai parlamenti és tanácsi rendelet, valamint a 2004/42/EK, 2009/48/EK, a 2010/35/EU, a 2013/29/EU, a 2013/53/EU, a 2014/28/EU, a 2014/29/EU, a 2014/30/EU, a 2014/31/EU, a 2014/32/EU, a 2014/33/EU, a 2014/34/EU, a 2014/35/EU, a 2014/53/EU, a 2014/68/EU és a 2014/90/EU európai parlamenti és tanácsi irányelv módosításáról</w:t>
      </w:r>
    </w:p>
    <w:p w:rsidR="001E667A" w:rsidRDefault="005F0856" w:rsidP="005F0856">
      <w:pPr>
        <w:pStyle w:val="IntrtEEE"/>
        <w:rPr>
          <w:noProof/>
        </w:rPr>
      </w:pPr>
      <w:r w:rsidRPr="005F0856">
        <w:t>(EGT-vonatkozású szöveg)</w:t>
      </w:r>
    </w:p>
    <w:p w:rsidR="001E667A" w:rsidRDefault="005F0856">
      <w:pPr>
        <w:pStyle w:val="Institutionquiagit"/>
        <w:rPr>
          <w:noProof/>
        </w:rPr>
      </w:pPr>
      <w:r>
        <w:rPr>
          <w:noProof/>
        </w:rPr>
        <w:t>AZ EURÓPAI PARLAMENT ÉS AZ EURÓPAI UNIÓ TANÁCSA,</w:t>
      </w:r>
    </w:p>
    <w:p w:rsidR="001E667A" w:rsidRDefault="005F0856">
      <w:pPr>
        <w:rPr>
          <w:noProof/>
        </w:rPr>
      </w:pPr>
      <w:r>
        <w:rPr>
          <w:noProof/>
        </w:rPr>
        <w:t>tekintettel az Európai Unió m</w:t>
      </w:r>
      <w:r>
        <w:rPr>
          <w:noProof/>
        </w:rPr>
        <w:t>űködéséről szóló szerződésre és különösen annak 33, 114. és 207. cikkére,</w:t>
      </w:r>
    </w:p>
    <w:p w:rsidR="001E667A" w:rsidRDefault="005F0856">
      <w:pPr>
        <w:rPr>
          <w:noProof/>
        </w:rPr>
      </w:pPr>
      <w:r>
        <w:rPr>
          <w:noProof/>
        </w:rPr>
        <w:t>tekintettel az Európai Bizottság javaslatára,</w:t>
      </w:r>
    </w:p>
    <w:p w:rsidR="001E667A" w:rsidRDefault="005F0856">
      <w:pPr>
        <w:rPr>
          <w:noProof/>
        </w:rPr>
      </w:pPr>
      <w:r>
        <w:rPr>
          <w:noProof/>
        </w:rPr>
        <w:t>a jogalkotási aktus tervezetének a nemzeti parlamentek számára való megküldését követően,</w:t>
      </w:r>
    </w:p>
    <w:p w:rsidR="001E667A" w:rsidRDefault="005F0856">
      <w:pPr>
        <w:rPr>
          <w:noProof/>
        </w:rPr>
      </w:pPr>
      <w:r>
        <w:rPr>
          <w:noProof/>
        </w:rPr>
        <w:t xml:space="preserve">tekintettel az Európai Gazdasági és Szociális </w:t>
      </w:r>
      <w:r>
        <w:rPr>
          <w:noProof/>
        </w:rPr>
        <w:t>Bizottság véleményére</w:t>
      </w:r>
      <w:r>
        <w:rPr>
          <w:rStyle w:val="FootnoteReference"/>
          <w:noProof/>
        </w:rPr>
        <w:footnoteReference w:id="23"/>
      </w:r>
      <w:r>
        <w:rPr>
          <w:noProof/>
        </w:rPr>
        <w:t xml:space="preserve">, </w:t>
      </w:r>
    </w:p>
    <w:p w:rsidR="001E667A" w:rsidRDefault="005F0856">
      <w:pPr>
        <w:rPr>
          <w:noProof/>
        </w:rPr>
      </w:pPr>
      <w:r>
        <w:rPr>
          <w:noProof/>
        </w:rPr>
        <w:t>rendes jogalkotási eljárás keretében,</w:t>
      </w:r>
    </w:p>
    <w:p w:rsidR="001E667A" w:rsidRDefault="005F0856">
      <w:pPr>
        <w:rPr>
          <w:noProof/>
        </w:rPr>
      </w:pPr>
      <w:r>
        <w:rPr>
          <w:noProof/>
        </w:rPr>
        <w:t>mivel: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 xml:space="preserve">A termékek Unión belüli szabad mozgásának biztosításához gondoskodni kell arról, hogy a termékek megfeleljenek a közérdek – úgymint az egészség és a biztonság általában –, a </w:t>
      </w:r>
      <w:r>
        <w:rPr>
          <w:noProof/>
        </w:rPr>
        <w:t xml:space="preserve">munkahelyi egészség és biztonság, a fogyasztók védelme és a környezetvédelem, valamint a közbiztonság magas szintű védelmére vonatkozó követelményeknek. Az előírások szigorú végrehajtása alapvető fontosságú ezen érdekek megfelelő védelme és a tisztességes </w:t>
      </w:r>
      <w:r>
        <w:rPr>
          <w:noProof/>
        </w:rPr>
        <w:t xml:space="preserve">verseny – az áruk uniós piacán való – kiteljesedését lehetővé tevő feltételek megteremtése szempontjából. A teljes belső piacon, többek között a harmadik országokból az Unióba belépő termékek vonatkozásában megvalósuló jogérvényesítés biztosításához ezért </w:t>
      </w:r>
      <w:r>
        <w:rPr>
          <w:noProof/>
        </w:rPr>
        <w:t>szabályokra van szükség.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Az egységes árupiac – nem megfelelő termékek uniós piacon történő forgalomba hozatalának megakadályozására irányuló erőfeszítések fokozásán keresztül történő – megerősítése a Bizottság „Az egységes piac továbbfejlesztése: a pol</w:t>
      </w:r>
      <w:r>
        <w:rPr>
          <w:noProof/>
        </w:rPr>
        <w:t>gárok és vállalkozások lehetőségeinek bővítése” című közleményében</w:t>
      </w:r>
      <w:r>
        <w:rPr>
          <w:rStyle w:val="FootnoteReference"/>
          <w:noProof/>
        </w:rPr>
        <w:footnoteReference w:id="24"/>
      </w:r>
      <w:r>
        <w:rPr>
          <w:noProof/>
        </w:rPr>
        <w:t xml:space="preserve"> szereplő egyik prioritás. Ezt a piacfelügyelet megerősítése, a gazdasági szereplők megfelelő eszközökkel történő ösztönzése, a megfelelőségre irányuló ellenőrzésének intenzívebbé tétele, a</w:t>
      </w:r>
      <w:r>
        <w:rPr>
          <w:noProof/>
        </w:rPr>
        <w:t xml:space="preserve"> végrehajtó hatóságok – köztük a vámhatóságok – között létrejövő szorosabb határon átnyúló együttműködések előmozdítása révén kell elérni.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A piacfelügyeleti keretrendszert meg kell erősíteni, hogy tovább javuljon a termékekre vonatkozó uniós harmonizác</w:t>
      </w:r>
      <w:r>
        <w:rPr>
          <w:noProof/>
        </w:rPr>
        <w:t>iós jogszabályok betartása és érvényesítése.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A 2001/95/EK európai palamenti és tanácsi irányelv</w:t>
      </w:r>
      <w:r>
        <w:rPr>
          <w:rStyle w:val="FootnoteReference"/>
          <w:noProof/>
        </w:rPr>
        <w:footnoteReference w:id="25"/>
      </w:r>
      <w:r>
        <w:rPr>
          <w:noProof/>
        </w:rPr>
        <w:t xml:space="preserve"> minden fogyasztási cikkre vonatkozóan meghatározza az általános biztonsági követelményeket, és a veszélyes termékek vonatkozásában előírja a tagállamok kül</w:t>
      </w:r>
      <w:r>
        <w:rPr>
          <w:noProof/>
        </w:rPr>
        <w:t>önös kötelezettségeit és hatásköreit, valamint az ehhez kapcsolódó – a nem élelmiszer jellegű termékek uniós riasztási rendszerén (RAPEX) keresztül zajló – információcserét. A piacfelügyeleti hatóságoknak lehetőséget kell adni az irányelv értelmében rendel</w:t>
      </w:r>
      <w:r>
        <w:rPr>
          <w:noProof/>
        </w:rPr>
        <w:t>kezésükre álló, egyedibb intézkedések meghozatalára. A fogyasztási cikkekkel kapcsolatos nagyobb biztonság elérése érdekében az információcserét és gyors beavatkozást igénylő helyzetekre a 2001/95/EK irányelvben előírt és a 765/2008/EK</w:t>
      </w:r>
      <w:r>
        <w:rPr>
          <w:rStyle w:val="FootnoteReference"/>
          <w:noProof/>
        </w:rPr>
        <w:footnoteReference w:id="26"/>
      </w:r>
      <w:r>
        <w:rPr>
          <w:noProof/>
        </w:rPr>
        <w:t xml:space="preserve"> európai parlamenti </w:t>
      </w:r>
      <w:r>
        <w:rPr>
          <w:noProof/>
        </w:rPr>
        <w:t xml:space="preserve">és tanácsi rendelettel megerősített mechanizmusok – ahhoz, hogy eredményesebbek legyenek – kiegészítésre szorulnak. 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E rendeletnek ki kell terjednie a mellékletben felsorolt uniós harmonizációs jogszabályok hatálya alá tartozó termékekre. A mellékletbe</w:t>
      </w:r>
      <w:r>
        <w:rPr>
          <w:noProof/>
        </w:rPr>
        <w:t xml:space="preserve">n felsorolt jogszabályoknak az élelmiszeren és takarmányon, emberi, illetve állatgyógyászati felhasználásra szánt gyógyszereken, élő növényeken és állatokon, emberi eredetű termékeken, valamint a növények és állatok reprodukciójához közvetlenül kapcsolódó </w:t>
      </w:r>
      <w:r>
        <w:rPr>
          <w:noProof/>
        </w:rPr>
        <w:t>növényi és állati termékeken kívül minden egyéb előállított termékre vonatkozó uniós harmonizációs jogszabályt le kell fedniük. Ez biztosítja majd a termékekre vonatkozó piacfelügyelet egységes uniós szintű keretrendszerét. Ezért a termékekre vonatkozó szá</w:t>
      </w:r>
      <w:r>
        <w:rPr>
          <w:noProof/>
        </w:rPr>
        <w:t>mos uniós harmonizációs jogszabályt módosítani kell, különösen a 765/2008/EK rendelet egyes rendelkezéseire történő hivatkozások eltávolítása céljából. Ha a jövőben új uniós harmonizációs jogszabály kerül elfogadásra, az elfogadott jogszabály határozza maj</w:t>
      </w:r>
      <w:r>
        <w:rPr>
          <w:noProof/>
        </w:rPr>
        <w:t>d meg, hogy ez a rendelet vonatkozik-e rá.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A teljes jogszabályi keretrendszer észszerűsítése és egyszerűsítése érdekében, szem előtt tartva közben a minőségi jogalkotásra vonatkozó célkitűzést, az uniós piacra belépő termékek ellenőrzésére vonatkozó sz</w:t>
      </w:r>
      <w:r>
        <w:rPr>
          <w:noProof/>
        </w:rPr>
        <w:t xml:space="preserve">abályokat felül kell vizsgálni és a termékek külső határon történő ellenőrzését szabályozó egységes jogszabályi keretbe kell integrálni. 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A fogyasztók biztonsága jelentős mértékben a biztonsági követelményeket előíró, termékekre vonatkozó uniós harmoni</w:t>
      </w:r>
      <w:r>
        <w:rPr>
          <w:noProof/>
        </w:rPr>
        <w:t>zációs jogszabályok aktív érvényesítésén múlik. Ennek megfelelően a végrehajtási intézkedések erősítésére van szükség. Ezeket az intézkedéseket folyamatosan fejleszteni, a hatékonyságukat pedig növelni kell annak érdekében, hogy a globális piacból és az eg</w:t>
      </w:r>
      <w:r>
        <w:rPr>
          <w:noProof/>
        </w:rPr>
        <w:t xml:space="preserve">yre összetettebb ellátási láncokból fakadó aktuális kihívásoknak megfeleljenek. 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>Az e rendelet által létrehozott keretnek ki kell egészítenie és meg kell erősítenie az uniós harmonizációs jogszabályokban meglévő, a termékek megfelelőségével kapcsolatos</w:t>
      </w:r>
      <w:r>
        <w:rPr>
          <w:noProof/>
        </w:rPr>
        <w:t xml:space="preserve"> információkra vonatkozó rendelkezéseket, valamint a gazdasági szereplőkkel történő együttműködésre, a termékek piacfelügyeletére és az Unióba belépő termékek ellenőrzésére vonatkozó keretszabályozást. A </w:t>
      </w:r>
      <w:r>
        <w:rPr>
          <w:i/>
          <w:noProof/>
        </w:rPr>
        <w:t>lex specialis</w:t>
      </w:r>
      <w:r>
        <w:rPr>
          <w:noProof/>
        </w:rPr>
        <w:t xml:space="preserve"> elvvel összhangban azonban e rendelete</w:t>
      </w:r>
      <w:r>
        <w:rPr>
          <w:noProof/>
        </w:rPr>
        <w:t>t csak akkor kell alkalmazni, amennyiben más, már létező vagy jövőbeli uniós harmonizációs jogszabályok nem tartalmaznak az itt meghatározottakkal megegyező célkitűzésű, jellegű vagy hatályú egyedi rendelkezéseket. Így e rendelet megfelelő rendelkezései ne</w:t>
      </w:r>
      <w:r>
        <w:rPr>
          <w:noProof/>
        </w:rPr>
        <w:t>m vonatkoznak az említett különös rendelkezések által szabályozott területekre, egyebek mellett a kábítószer-prekurzorokról szóló 273/2004/EK európai parlamenti és tanácsi rendeletben</w:t>
      </w:r>
      <w:r>
        <w:rPr>
          <w:rStyle w:val="FootnoteReference"/>
          <w:noProof/>
        </w:rPr>
        <w:footnoteReference w:id="27"/>
      </w:r>
      <w:r>
        <w:rPr>
          <w:noProof/>
        </w:rPr>
        <w:t>, a kozmetikai termékekről szóló 1223/2009/EK európai parlamenti és taná</w:t>
      </w:r>
      <w:r>
        <w:rPr>
          <w:noProof/>
        </w:rPr>
        <w:t>csi rendeletben</w:t>
      </w:r>
      <w:r>
        <w:rPr>
          <w:rStyle w:val="FootnoteReference"/>
          <w:noProof/>
        </w:rPr>
        <w:footnoteReference w:id="28"/>
      </w:r>
      <w:r>
        <w:rPr>
          <w:noProof/>
        </w:rPr>
        <w:t>, az orvostechnikai eszközökről szóló (EU) 2017/745 európai parlamenti és tanácsi rendeletben</w:t>
      </w:r>
      <w:r>
        <w:rPr>
          <w:rStyle w:val="FootnoteReference"/>
          <w:noProof/>
        </w:rPr>
        <w:footnoteReference w:id="29"/>
      </w:r>
      <w:r>
        <w:rPr>
          <w:noProof/>
        </w:rPr>
        <w:t xml:space="preserve"> és az in vitro diagnosztikai orvostechnikai eszközökről szóló (EU) 2017/746 európai parlamenti és tanácsi rendeletben</w:t>
      </w:r>
      <w:r>
        <w:rPr>
          <w:rStyle w:val="FootnoteReference"/>
          <w:noProof/>
        </w:rPr>
        <w:footnoteReference w:id="30"/>
      </w:r>
      <w:r>
        <w:rPr>
          <w:noProof/>
        </w:rPr>
        <w:t xml:space="preserve"> meghatározottakra. 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(9)</w:t>
      </w:r>
      <w:r>
        <w:rPr>
          <w:noProof/>
        </w:rPr>
        <w:tab/>
        <w:t>Az</w:t>
      </w:r>
      <w:r>
        <w:rPr>
          <w:noProof/>
        </w:rPr>
        <w:t xml:space="preserve"> uniós harmonizációs jogszabályok végrehajtásának a tagállamok hatáskörébe kell tartoznia, és ezek piacfelügyeleti hatóságaitól kell megkövetelni, hogy biztosítsák a jogszabályok maradéktalan teljesítését. A tagállamoknak tehát szisztematikus megközelítést</w:t>
      </w:r>
      <w:r>
        <w:rPr>
          <w:noProof/>
        </w:rPr>
        <w:t xml:space="preserve"> kell alkalmazniuk a piacfelügyeleti és más területeken zajló végrehajtási tevékenységek hatékonyságának biztosítása érdekében.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(10)</w:t>
      </w:r>
      <w:r>
        <w:rPr>
          <w:noProof/>
        </w:rPr>
        <w:tab/>
        <w:t>A 765/2008/EK rendeletben jelenleg szereplő egyes fogalommeghatározásokat össze kell hangolni a más uniós jogi aktusokban l</w:t>
      </w:r>
      <w:r>
        <w:rPr>
          <w:noProof/>
        </w:rPr>
        <w:t>eírt fogalommeghatározásokkal, és adott esetben úgy kell azokat módosítani, hogy tükrözzék a modern ellátási láncok felépítését.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(11)</w:t>
      </w:r>
      <w:r>
        <w:rPr>
          <w:noProof/>
        </w:rPr>
        <w:tab/>
        <w:t xml:space="preserve">Az ellátási lánc minden pontján el kell várni a gazdasági szereplőktől, hogy a termékek forgalomba hozatalakor vagy </w:t>
      </w:r>
      <w:r>
        <w:rPr>
          <w:noProof/>
        </w:rPr>
        <w:t xml:space="preserve">forgalmazásakor felelősséggel és a rájuk vonatkozó jogi előírásoknak maradéktalanul megfelelve járjanak el, biztosítva ezzel a termékekre vonatkozó uniós harmonizációs jogszabályok teljesítését. E rendelet nem érintheti az uniós harmonizációs jogszabályok </w:t>
      </w:r>
      <w:r>
        <w:rPr>
          <w:noProof/>
        </w:rPr>
        <w:t>különös rendelkezései szerinti az ellátási és értékesítési folyamatban részt vevő egyes gazdasági szereplők szerepének megfelelő kötelezettségeket, azzal, hogy a termék uniós harmonizációs jogszabályokban előírtaknak való megfeleléséért végső soron a gyárt</w:t>
      </w:r>
      <w:r>
        <w:rPr>
          <w:noProof/>
        </w:rPr>
        <w:t>ó felel.</w:t>
      </w:r>
    </w:p>
    <w:p w:rsidR="001E667A" w:rsidRDefault="005F0856">
      <w:pPr>
        <w:pStyle w:val="ManualConsidrant"/>
        <w:rPr>
          <w:noProof/>
          <w:szCs w:val="24"/>
        </w:rPr>
      </w:pPr>
      <w:r>
        <w:rPr>
          <w:noProof/>
        </w:rPr>
        <w:t>(12)</w:t>
      </w:r>
      <w:r>
        <w:rPr>
          <w:noProof/>
        </w:rPr>
        <w:tab/>
        <w:t>A modern ellátási láncok számos különböző gazdasági szereplőt fognak össze, és ezek mindegyikére vonatkoznia kell az uniós harmonizációs jogszabályok végrehajtásának, megfelelő mértékben figyelembe véve azonban az ellátási láncban betöltött s</w:t>
      </w:r>
      <w:r>
        <w:rPr>
          <w:noProof/>
        </w:rPr>
        <w:t>zerepüket, és hogy milyen mértékben járulnak hozzá a termékek uniós piacon történő forgalmazásához. E rendelkezést tehát minden olyan gazdasági szereplőre alkalmazni kell, amelyet közvetlenül érint a 273/2004/EK</w:t>
      </w:r>
      <w:r>
        <w:rPr>
          <w:rStyle w:val="FootnoteReference"/>
          <w:noProof/>
        </w:rPr>
        <w:footnoteReference w:id="31"/>
      </w:r>
      <w:r>
        <w:rPr>
          <w:noProof/>
        </w:rPr>
        <w:t>, az 1907/2006/EK</w:t>
      </w:r>
      <w:r>
        <w:rPr>
          <w:rStyle w:val="FootnoteReference"/>
          <w:noProof/>
        </w:rPr>
        <w:footnoteReference w:id="32"/>
      </w:r>
      <w:r>
        <w:rPr>
          <w:noProof/>
        </w:rPr>
        <w:t>, az 1272/2008/EK</w:t>
      </w:r>
      <w:r>
        <w:rPr>
          <w:rStyle w:val="FootnoteReference"/>
          <w:noProof/>
        </w:rPr>
        <w:footnoteReference w:id="33"/>
      </w:r>
      <w:r>
        <w:rPr>
          <w:noProof/>
        </w:rPr>
        <w:t>, az 122</w:t>
      </w:r>
      <w:r>
        <w:rPr>
          <w:noProof/>
        </w:rPr>
        <w:t>2/2009/EK</w:t>
      </w:r>
      <w:r>
        <w:rPr>
          <w:rStyle w:val="FootnoteReference"/>
          <w:noProof/>
        </w:rPr>
        <w:footnoteReference w:id="34"/>
      </w:r>
      <w:r>
        <w:rPr>
          <w:noProof/>
        </w:rPr>
        <w:t>,</w:t>
      </w:r>
      <w:r>
        <w:rPr>
          <w:rFonts w:ascii="EUAlbertina" w:hAnsi="EUAlbertina"/>
          <w:b/>
          <w:noProof/>
          <w:color w:val="000000"/>
          <w:sz w:val="19"/>
        </w:rPr>
        <w:t xml:space="preserve"> </w:t>
      </w:r>
      <w:r>
        <w:rPr>
          <w:noProof/>
          <w:color w:val="000000"/>
          <w:szCs w:val="24"/>
        </w:rPr>
        <w:t>az</w:t>
      </w:r>
      <w:r>
        <w:rPr>
          <w:rFonts w:ascii="EUAlbertina" w:hAnsi="EUAlbertina"/>
          <w:b/>
          <w:noProof/>
          <w:color w:val="000000"/>
          <w:sz w:val="19"/>
        </w:rPr>
        <w:t xml:space="preserve"> </w:t>
      </w:r>
      <w:r>
        <w:rPr>
          <w:noProof/>
        </w:rPr>
        <w:t>1223/2009/EK, az (EU) 2016/424</w:t>
      </w:r>
      <w:r>
        <w:rPr>
          <w:rStyle w:val="FootnoteReference"/>
          <w:noProof/>
        </w:rPr>
        <w:footnoteReference w:id="35"/>
      </w:r>
      <w:r>
        <w:rPr>
          <w:noProof/>
        </w:rPr>
        <w:t>, az (EU) 2016/425</w:t>
      </w:r>
      <w:r>
        <w:rPr>
          <w:rStyle w:val="FootnoteReference"/>
          <w:noProof/>
        </w:rPr>
        <w:footnoteReference w:id="36"/>
      </w:r>
      <w:r>
        <w:rPr>
          <w:noProof/>
        </w:rPr>
        <w:t>, az (EU) 2016/426</w:t>
      </w:r>
      <w:r>
        <w:rPr>
          <w:rStyle w:val="FootnoteReference"/>
          <w:noProof/>
        </w:rPr>
        <w:footnoteReference w:id="37"/>
      </w:r>
      <w:r>
        <w:rPr>
          <w:noProof/>
        </w:rPr>
        <w:t>, az (EU) 2017/1369</w:t>
      </w:r>
      <w:r>
        <w:rPr>
          <w:rStyle w:val="FootnoteReference"/>
          <w:noProof/>
        </w:rPr>
        <w:footnoteReference w:id="38"/>
      </w:r>
      <w:r>
        <w:rPr>
          <w:noProof/>
        </w:rPr>
        <w:t>, az (EU) 2017/745 és az (EU) 2017/746 európai parlamenti és tanácsi rendelet, valamint a 2006/42/EK</w:t>
      </w:r>
      <w:r>
        <w:rPr>
          <w:rStyle w:val="FootnoteReference"/>
          <w:noProof/>
        </w:rPr>
        <w:footnoteReference w:id="39"/>
      </w:r>
      <w:r>
        <w:rPr>
          <w:noProof/>
        </w:rPr>
        <w:t>, a 2006/66/EK</w:t>
      </w:r>
      <w:r>
        <w:rPr>
          <w:rStyle w:val="FootnoteReference"/>
          <w:noProof/>
        </w:rPr>
        <w:footnoteReference w:id="40"/>
      </w:r>
      <w:r>
        <w:rPr>
          <w:noProof/>
        </w:rPr>
        <w:t>, a 2009/48/EK</w:t>
      </w:r>
      <w:r>
        <w:rPr>
          <w:rStyle w:val="FootnoteReference"/>
          <w:noProof/>
        </w:rPr>
        <w:footnoteReference w:id="41"/>
      </w:r>
      <w:r>
        <w:rPr>
          <w:noProof/>
        </w:rPr>
        <w:t>, a 2010/35/EU</w:t>
      </w:r>
      <w:r>
        <w:rPr>
          <w:rStyle w:val="FootnoteReference"/>
          <w:noProof/>
        </w:rPr>
        <w:footnoteReference w:id="42"/>
      </w:r>
      <w:r>
        <w:rPr>
          <w:noProof/>
        </w:rPr>
        <w:t>, a 20</w:t>
      </w:r>
      <w:r>
        <w:rPr>
          <w:noProof/>
        </w:rPr>
        <w:t>13/29/EU</w:t>
      </w:r>
      <w:r>
        <w:rPr>
          <w:rStyle w:val="FootnoteReference"/>
          <w:noProof/>
        </w:rPr>
        <w:footnoteReference w:id="43"/>
      </w:r>
      <w:r>
        <w:rPr>
          <w:noProof/>
        </w:rPr>
        <w:t>, a 2013/53/EU</w:t>
      </w:r>
      <w:r>
        <w:rPr>
          <w:rStyle w:val="FootnoteReference"/>
          <w:noProof/>
        </w:rPr>
        <w:footnoteReference w:id="44"/>
      </w:r>
      <w:r>
        <w:rPr>
          <w:noProof/>
        </w:rPr>
        <w:t>, a 2014/28/EU</w:t>
      </w:r>
      <w:r>
        <w:rPr>
          <w:rStyle w:val="FootnoteReference"/>
          <w:noProof/>
        </w:rPr>
        <w:footnoteReference w:id="45"/>
      </w:r>
      <w:r>
        <w:rPr>
          <w:noProof/>
        </w:rPr>
        <w:t>, a 2014/29/EU</w:t>
      </w:r>
      <w:r>
        <w:rPr>
          <w:rStyle w:val="FootnoteReference"/>
          <w:noProof/>
        </w:rPr>
        <w:footnoteReference w:id="46"/>
      </w:r>
      <w:r>
        <w:rPr>
          <w:noProof/>
        </w:rPr>
        <w:t>, a 2014/30/EU</w:t>
      </w:r>
      <w:r>
        <w:rPr>
          <w:rStyle w:val="FootnoteReference"/>
          <w:noProof/>
        </w:rPr>
        <w:footnoteReference w:id="47"/>
      </w:r>
      <w:r>
        <w:rPr>
          <w:noProof/>
        </w:rPr>
        <w:t>, a 2014/31/EU</w:t>
      </w:r>
      <w:r>
        <w:rPr>
          <w:rStyle w:val="FootnoteReference"/>
          <w:noProof/>
        </w:rPr>
        <w:footnoteReference w:id="48"/>
      </w:r>
      <w:r>
        <w:rPr>
          <w:noProof/>
        </w:rPr>
        <w:t>, a 2014/32/EU</w:t>
      </w:r>
      <w:r>
        <w:rPr>
          <w:rStyle w:val="FootnoteReference"/>
          <w:noProof/>
        </w:rPr>
        <w:footnoteReference w:id="49"/>
      </w:r>
      <w:r>
        <w:rPr>
          <w:noProof/>
        </w:rPr>
        <w:t>, a 2014/33/EU</w:t>
      </w:r>
      <w:r>
        <w:rPr>
          <w:rStyle w:val="FootnoteReference"/>
          <w:noProof/>
        </w:rPr>
        <w:footnoteReference w:id="50"/>
      </w:r>
      <w:r>
        <w:rPr>
          <w:noProof/>
        </w:rPr>
        <w:t>, a 2014/34/EU</w:t>
      </w:r>
      <w:r>
        <w:rPr>
          <w:rStyle w:val="FootnoteReference"/>
          <w:noProof/>
        </w:rPr>
        <w:footnoteReference w:id="51"/>
      </w:r>
      <w:r>
        <w:rPr>
          <w:noProof/>
        </w:rPr>
        <w:t>, a 2014/35/EU</w:t>
      </w:r>
      <w:r>
        <w:rPr>
          <w:rStyle w:val="FootnoteReference"/>
          <w:noProof/>
        </w:rPr>
        <w:footnoteReference w:id="52"/>
      </w:r>
      <w:r>
        <w:rPr>
          <w:noProof/>
        </w:rPr>
        <w:t>, a 2014/68/EU</w:t>
      </w:r>
      <w:r>
        <w:rPr>
          <w:rStyle w:val="FootnoteReference"/>
          <w:noProof/>
        </w:rPr>
        <w:footnoteReference w:id="53"/>
      </w:r>
      <w:r>
        <w:rPr>
          <w:noProof/>
        </w:rPr>
        <w:t xml:space="preserve"> és a 2014/90/EU</w:t>
      </w:r>
      <w:r>
        <w:rPr>
          <w:rStyle w:val="FootnoteReference"/>
          <w:noProof/>
        </w:rPr>
        <w:footnoteReference w:id="54"/>
      </w:r>
      <w:r>
        <w:rPr>
          <w:noProof/>
        </w:rPr>
        <w:t xml:space="preserve"> európai parlamenti és tanácsi irányelv.</w:t>
      </w:r>
    </w:p>
    <w:p w:rsidR="001E667A" w:rsidRDefault="005F0856">
      <w:pPr>
        <w:pStyle w:val="ManualConsidrant"/>
        <w:rPr>
          <w:noProof/>
          <w:szCs w:val="24"/>
        </w:rPr>
      </w:pPr>
      <w:r>
        <w:rPr>
          <w:noProof/>
        </w:rPr>
        <w:t>(13)</w:t>
      </w:r>
      <w:r>
        <w:rPr>
          <w:noProof/>
        </w:rPr>
        <w:tab/>
        <w:t>Az e-kereskedelem fejlődése nagyré</w:t>
      </w:r>
      <w:r>
        <w:rPr>
          <w:noProof/>
        </w:rPr>
        <w:t>szt az információs társadalommal összefüggő szolgáltatást – általában platformokon és díjazás ellenében – nyújtó szolgáltatók elterjedésének köszönhető, amelyek harmadik személy által létrehozott tartalmat tárolva kínálnak közvetítői szolgáltatásokat anélk</w:t>
      </w:r>
      <w:r>
        <w:rPr>
          <w:noProof/>
        </w:rPr>
        <w:t>ül, hogy bármiféle ellenőrzést gyakorolnának e tartalom felett, azaz nem valamely gazdasági szereplő javára járnak el. A szolgáltatásaikon keresztül kínált nem megfelelő termékekkel kapcsolatos tartalmak eltávolítása vagy, ha ez nem megoldható, a nem megfe</w:t>
      </w:r>
      <w:r>
        <w:rPr>
          <w:noProof/>
        </w:rPr>
        <w:t>lelő termékhez való hozzáférés letiltása nem érintheti a 2000/31/EK európai parlamenti és tanácsi irányelvben</w:t>
      </w:r>
      <w:r>
        <w:rPr>
          <w:rStyle w:val="FootnoteReference"/>
          <w:noProof/>
        </w:rPr>
        <w:footnoteReference w:id="55"/>
      </w:r>
      <w:r>
        <w:rPr>
          <w:noProof/>
        </w:rPr>
        <w:t xml:space="preserve"> meghatározott szabályokat. Nem állapítható meg különösen a szolgáltatókat terhelő olyan általános kötelezettség, amely szerint az általuk továbbí</w:t>
      </w:r>
      <w:r>
        <w:rPr>
          <w:noProof/>
        </w:rPr>
        <w:t xml:space="preserve">tott vagy tárolt információkat nyomon kellene követniük, és olyan általános kötelezettség sem állapítható meg, amely szerint jogellenes tevékenységre utaló tényeket vagy körülményeket kellene kivizsgálniuk. Ezen túlmenően a tárhelyszolgáltatókat nem lehet </w:t>
      </w:r>
      <w:r>
        <w:rPr>
          <w:noProof/>
        </w:rPr>
        <w:t>felelősségre vonni egészen addig, ameddig ténylegesen tudomást nem szereztek a jogellenes tevékenységről vagy információról, illetve ameddig nincsenek tudatában azoknak a tényeknek vagy körülményeknek, amelyekből nyilvánvalóvá válik, hogy jogellenes tevéke</w:t>
      </w:r>
      <w:r>
        <w:rPr>
          <w:noProof/>
        </w:rPr>
        <w:t>nységről vagy információról van szó.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(14)</w:t>
      </w:r>
      <w:r>
        <w:rPr>
          <w:noProof/>
        </w:rPr>
        <w:tab/>
        <w:t>A méltányosabb egységes piacnak minden gazdasági szereplő számára biztosítania kell az egyenlő versenyfeltételeket, valamint a tisztességtelen versennyel szembeni védelmet. Ennek érdekében a termékekre vonatkozó un</w:t>
      </w:r>
      <w:r>
        <w:rPr>
          <w:noProof/>
        </w:rPr>
        <w:t>iós harmonizációs jogszabályok végrehajtásának megerősítésére van szükség. A gyártók és a piacfelügyeleti hatóságok között kialakuló jó együttműködés kiemelten fontos, mivel lehetővé teszi a termékekhez kapcsolódó azonnali beavatkozások és korrekciós tevék</w:t>
      </w:r>
      <w:r>
        <w:rPr>
          <w:noProof/>
        </w:rPr>
        <w:t>enységek megtételét. Fontos, hogy annak érdekében, hogy a piacfelügyeleti hatóságok a termék uniós harmonizációs jogszabályoknak való megfelelésére vonatkozó kérdéseiket intézni tudják valakihez, lennie kell az Unióban letelepedett kapcsolattartó személyne</w:t>
      </w:r>
      <w:r>
        <w:rPr>
          <w:noProof/>
        </w:rPr>
        <w:t>k. A termékmegfelelési információk nyújtásáért felelős személynek a gyártónak, az importőrnek vagy más, a gyártó által e célra kijelölt személynek, például egy másik gazdasági szerepelőnek, kell lennie. A termékmegfelelési információkért felelős, Unióban l</w:t>
      </w:r>
      <w:r>
        <w:rPr>
          <w:noProof/>
        </w:rPr>
        <w:t>etelepedett személy kiemelt szerepet játszik abban, hogy a piacfelügyeleti hatóságok rendelkezésére álljon egy Unión belüli kapcsolattartó, és – az Unión belüli fogyasztók, munkavállalók és vállalkozások érdekében – a termékek uniós harmonizációs jogszabál</w:t>
      </w:r>
      <w:r>
        <w:rPr>
          <w:noProof/>
        </w:rPr>
        <w:t>yoknak való megfelelését biztosító egyedi feladatok időben el legyenek látva. E rendelet termékmegfelelési információkért felelős az Unióban letelepedett személy kijelölést előíró rendelkezéseit nem kell alkalmazni akkor, ha a termékekre vonatkozó bizonyos</w:t>
      </w:r>
      <w:r>
        <w:rPr>
          <w:noProof/>
        </w:rPr>
        <w:t xml:space="preserve"> jogi eszközök ezzel megegyező hatású különös követelményeket határoznak meg, nevezetesen az </w:t>
      </w:r>
      <w:hyperlink r:id="rId17">
        <w:r>
          <w:rPr>
            <w:rStyle w:val="Hyperlink"/>
            <w:noProof/>
            <w:color w:val="auto"/>
          </w:rPr>
          <w:t>1223/2009/EK rendelet</w:t>
        </w:r>
      </w:hyperlink>
      <w:r>
        <w:rPr>
          <w:rStyle w:val="Hyperlink"/>
          <w:noProof/>
          <w:color w:val="auto"/>
        </w:rPr>
        <w:t xml:space="preserve"> </w:t>
      </w:r>
      <w:r>
        <w:rPr>
          <w:noProof/>
        </w:rPr>
        <w:t>4. cikke, az (EU) 2017/745 rendelet 1</w:t>
      </w:r>
      <w:r>
        <w:rPr>
          <w:noProof/>
        </w:rPr>
        <w:t>5. cikke és az (EU) 2017/746 rendelet 15. cikke.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(15)</w:t>
      </w:r>
      <w:r>
        <w:rPr>
          <w:noProof/>
        </w:rPr>
        <w:tab/>
        <w:t>A tagállamoknak akár az (EU) [</w:t>
      </w:r>
      <w:r>
        <w:rPr>
          <w:i/>
          <w:noProof/>
        </w:rPr>
        <w:t>be kell illeszteni</w:t>
      </w:r>
      <w:r>
        <w:rPr>
          <w:noProof/>
        </w:rPr>
        <w:t xml:space="preserve"> </w:t>
      </w:r>
      <w:r>
        <w:rPr>
          <w:i/>
          <w:noProof/>
        </w:rPr>
        <w:t>a kölcsönös elismerésről szóló új rendeletre történő hivatkozást</w:t>
      </w:r>
      <w:r>
        <w:rPr>
          <w:noProof/>
        </w:rPr>
        <w:t>] rendeletnek</w:t>
      </w:r>
      <w:r>
        <w:rPr>
          <w:rStyle w:val="FootnoteReference"/>
          <w:noProof/>
        </w:rPr>
        <w:footnoteReference w:id="56"/>
      </w:r>
      <w:r>
        <w:rPr>
          <w:noProof/>
        </w:rPr>
        <w:t xml:space="preserve"> megfelelően létrehozott termékügyi kapcsolattartó pontokon keresztül a vonatkozó uniós harmonizációs jogszabályokkal kapcsolatosan nyújtott tájékoztatással, vagy a megfelelőséghez kapcsolódó partnerségi megállapodások keretében a piacfelügyeleti hatóságok</w:t>
      </w:r>
      <w:r>
        <w:rPr>
          <w:noProof/>
        </w:rPr>
        <w:t xml:space="preserve"> által a vonatkozó uniós harmonizációs jogszabályok tekintetében adott iránymutatással kell a gazdasági szereplőket segíteniük. A piacfelügyeleti hatóságok számára lehetővé kell tenni, hogy az érdekelt felekkel már meglévő együttműködéseikre építsenek, és </w:t>
      </w:r>
      <w:r>
        <w:rPr>
          <w:noProof/>
        </w:rPr>
        <w:t xml:space="preserve">– egy földrajzi területen belül és termékkategóriákra vonatkozóan – az előírásoknak való megfelelés támogatása és a meg nem felelés feltárása érdekében az érdekeltekkel egyetértési megállapodásokat kössenek. 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(16)</w:t>
      </w:r>
      <w:r>
        <w:rPr>
          <w:noProof/>
        </w:rPr>
        <w:tab/>
        <w:t xml:space="preserve">A tagállamoknak ki kell jelölniük a saját </w:t>
      </w:r>
      <w:r>
        <w:rPr>
          <w:noProof/>
        </w:rPr>
        <w:t>piacfelügyeleti hatóságaikat. Az igazgatási segítségnyújtás és együttműködés megkönnyítése érdekében a tagállamoknak egy összekötő hivatalt is ki kell jelölniük. Az összekötő hivataloknak biztosítaniuk kell a végrehajtási és a piacfelügyeleti tevékenységek</w:t>
      </w:r>
      <w:r>
        <w:rPr>
          <w:noProof/>
        </w:rPr>
        <w:t xml:space="preserve"> koordinációját, valamint a más tagállamok piacfelügyeleteivel és a Bizottsággal történő kommunikációt.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(17)</w:t>
      </w:r>
      <w:r>
        <w:rPr>
          <w:noProof/>
        </w:rPr>
        <w:tab/>
        <w:t>Szükség van – a Bizottság által gondozott – európai uniós termékmegfelelőségi hálózat létrehozására azzal a céllal, hogy összehangolja és megkönnyí</w:t>
      </w:r>
      <w:r>
        <w:rPr>
          <w:noProof/>
        </w:rPr>
        <w:t>tse a tagállamok közös, végrehajtási tevékenységei, mint a közös vizsgálatok, megvalósítását. Ezen igazgatási támogatási struktúrának lehetővé kell tennie az erőforrások egyesítését, valamint fenn kell tartania a tagállamok és a Bizottság közötti kommuniká</w:t>
      </w:r>
      <w:r>
        <w:rPr>
          <w:noProof/>
        </w:rPr>
        <w:t>ciós és információs rendszert, ezáltal segítve elő a termékekre vonatkozó uniós harmonizációs jogszabályok végrehajtásának megerősítését és a jogsértéstől való hatékonyabb elrettentést.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(18)</w:t>
      </w:r>
      <w:r>
        <w:rPr>
          <w:noProof/>
        </w:rPr>
        <w:tab/>
        <w:t>A termékekre vonatkozó uniós harmonizációs jogszabályok helyes al</w:t>
      </w:r>
      <w:r>
        <w:rPr>
          <w:noProof/>
        </w:rPr>
        <w:t>kalmazásának biztosításához alapos és hatékony piacfelügyeleti tevékenységre van szükség. Tekintettel arra, hogy az ellenőrzések a gazdasági szereplők számára terhet jelenthetnek, a piacfelügyeleti hatóságoknak e szereplők érdekeit figyelembe véve és az em</w:t>
      </w:r>
      <w:r>
        <w:rPr>
          <w:noProof/>
        </w:rPr>
        <w:t>lített terheket a hatékony és eredményes ellenőrzés elvégzéséhez még szükséges szintre korlátozva kell az ellenőrzési tevékenységüket megszervezniük és végrehajtaniuk. Ezenkívül a tagállamok illetékes hatóságainak a piacfelügyeleti tevékenységük elvégzések</w:t>
      </w:r>
      <w:r>
        <w:rPr>
          <w:noProof/>
        </w:rPr>
        <w:t>or azonos szintű gondossággal kell eljárniuk, függetlenül attól, hogy az adott termék meg nem felelése a tagállam területére korlátozódik-e vagy valószínűleg hatással van valamely másik tagállam piacára is.</w:t>
      </w:r>
    </w:p>
    <w:p w:rsidR="001E667A" w:rsidRDefault="005F0856">
      <w:pPr>
        <w:pStyle w:val="ManualConsidrant"/>
        <w:rPr>
          <w:noProof/>
          <w:szCs w:val="24"/>
        </w:rPr>
      </w:pPr>
      <w:r>
        <w:rPr>
          <w:noProof/>
        </w:rPr>
        <w:t>(19)</w:t>
      </w:r>
      <w:r>
        <w:rPr>
          <w:noProof/>
        </w:rPr>
        <w:tab/>
        <w:t>A termékekre vonatkozó uniós harmonizációs j</w:t>
      </w:r>
      <w:r>
        <w:rPr>
          <w:noProof/>
        </w:rPr>
        <w:t>ogszabályok megfelelő végrehajtásának biztosítása érdekében a piacfelügyeleti hatóságoknak közös vizsgálati és végrehajtási hatáskörökkel kell rendelkezniük, amelyek lehetővé teszik a piacfelügyeleti hatóságok közötti fokozott együttműködést, és eredményes</w:t>
      </w:r>
      <w:r>
        <w:rPr>
          <w:noProof/>
        </w:rPr>
        <w:t>ebb visszatartó hatást gyakorolnak az uniós harmonizációs jogszabályokat szándékosan megsértő gazdasági szereplőkre. E hatásköröknek kellően kiterjedtnek kell lenniük az uniós harmonizációs jogszabályok végrehajtásával kapcsolatos kihívások, az e-kereskede</w:t>
      </w:r>
      <w:r>
        <w:rPr>
          <w:noProof/>
        </w:rPr>
        <w:t>lem és a digitális környezet jelentette kihívások kezeléséhez, valamint annak megakadályozásához, hogy a gazdasági szereplők kihasználják a végrehajtási rendszer hiányosságait, és áttelepüljenek azokba a tagállamokba, amelyek piacfelügyeleti hatóságai ninc</w:t>
      </w:r>
      <w:r>
        <w:rPr>
          <w:noProof/>
        </w:rPr>
        <w:t>senek felkészülve a jogellenes gyakorlatok megszüntetésére. A hatásköröknek különösen az információ és a bizonyítékok illetékes hatóságok közötti megosztását kell lehetővé tenniük annak érdekében, hogy a végrehajtás bármely tagállamban azonos módon megtört</w:t>
      </w:r>
      <w:r>
        <w:rPr>
          <w:noProof/>
        </w:rPr>
        <w:t>énhessen.</w:t>
      </w:r>
    </w:p>
    <w:p w:rsidR="001E667A" w:rsidRDefault="005F0856">
      <w:pPr>
        <w:pStyle w:val="ManualConsidrant"/>
        <w:rPr>
          <w:noProof/>
          <w:szCs w:val="24"/>
        </w:rPr>
      </w:pPr>
      <w:r>
        <w:rPr>
          <w:noProof/>
        </w:rPr>
        <w:t>(20)</w:t>
      </w:r>
      <w:r>
        <w:rPr>
          <w:noProof/>
        </w:rPr>
        <w:tab/>
        <w:t>E rendelet nem érinti a tagállamok azon jogát, hogy az általuk megfelelőnek tekintett végrehajtási rendszert szabadon megválasszák. A tagállamok szabadon eldönthetik, hogy a piacfelügyeleti hatóságaik saját hatáskörben eljárva végezhetik-e a</w:t>
      </w:r>
      <w:r>
        <w:rPr>
          <w:noProof/>
        </w:rPr>
        <w:t xml:space="preserve"> vizsgálatokat és a végrehajtást, vagy az illetékes bíróságokhoz fordulva gyakorolhatják e hatáskört.</w:t>
      </w:r>
    </w:p>
    <w:p w:rsidR="001E667A" w:rsidRDefault="005F0856">
      <w:pPr>
        <w:pStyle w:val="ManualConsidrant"/>
        <w:rPr>
          <w:noProof/>
          <w:szCs w:val="24"/>
        </w:rPr>
      </w:pPr>
      <w:r>
        <w:rPr>
          <w:noProof/>
        </w:rPr>
        <w:t>(21)</w:t>
      </w:r>
      <w:r>
        <w:rPr>
          <w:noProof/>
        </w:rPr>
        <w:tab/>
        <w:t>A piacfelügyeleti hatóságok számára lehetővé kell tenni, hogy ha nem megfelelő termékek forgalomba hozataláról szereznek tudomást, saját kezdeményezé</w:t>
      </w:r>
      <w:r>
        <w:rPr>
          <w:noProof/>
        </w:rPr>
        <w:t>sre vizsgálatot indítsanak.</w:t>
      </w:r>
    </w:p>
    <w:p w:rsidR="001E667A" w:rsidRDefault="005F0856">
      <w:pPr>
        <w:pStyle w:val="ManualConsidrant"/>
        <w:rPr>
          <w:noProof/>
          <w:szCs w:val="24"/>
        </w:rPr>
      </w:pPr>
      <w:r>
        <w:rPr>
          <w:noProof/>
        </w:rPr>
        <w:t>(22)</w:t>
      </w:r>
      <w:r>
        <w:rPr>
          <w:noProof/>
        </w:rPr>
        <w:tab/>
        <w:t>Biztosítani kell a piacfelügyeleti hatóságok hozzáférését a vizsgálat tárgyához kapcsolódó minden bizonyítékhoz, információhoz és adathoz, amely szükséges annak megállapításához, hogy az alkalmazandó uniós harmonizációs jog</w:t>
      </w:r>
      <w:r>
        <w:rPr>
          <w:noProof/>
        </w:rPr>
        <w:t>szabályokat megsértették-e, és különösen, amely szükséges a felelős gazdasági szereplő azonosításához, függetlenül attól, hogy ki rendelkezik a bizonyítékkal, információval vagy adattal, és hogy az hol és milyen formában található meg. A piacfelügyeleti ha</w:t>
      </w:r>
      <w:r>
        <w:rPr>
          <w:noProof/>
        </w:rPr>
        <w:t>tóságokat fel kell jogosítani arra, hogy minden szükséges bizonyíték, adat és információ benyújtását előírják a digitális értékláncban elhelyezkedő harmadik felek számára.</w:t>
      </w:r>
    </w:p>
    <w:p w:rsidR="001E667A" w:rsidRDefault="005F0856">
      <w:pPr>
        <w:pStyle w:val="ManualConsidrant"/>
        <w:rPr>
          <w:noProof/>
          <w:szCs w:val="24"/>
        </w:rPr>
      </w:pPr>
      <w:r>
        <w:rPr>
          <w:noProof/>
        </w:rPr>
        <w:t>(23)</w:t>
      </w:r>
      <w:r>
        <w:rPr>
          <w:noProof/>
        </w:rPr>
        <w:tab/>
        <w:t>A piacfelügyeleti hatóságok számára lehetővé kell tenni, hogy a szükséges helys</w:t>
      </w:r>
      <w:r>
        <w:rPr>
          <w:noProof/>
        </w:rPr>
        <w:t>zíni ellenőrzéseket elvégezzék, és a gazdasági szereplő által annak kereskedelmi, üzleti, kézműipari vagy szakmai tevékenységéhez kapcsolódó célokra használt bármely helyiségbe, területre vagy szállítóeszközbe belépjenek.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(24)</w:t>
      </w:r>
      <w:r>
        <w:rPr>
          <w:noProof/>
        </w:rPr>
        <w:tab/>
        <w:t>A piacfelügyeleti hatóságokat</w:t>
      </w:r>
      <w:r>
        <w:rPr>
          <w:noProof/>
        </w:rPr>
        <w:t xml:space="preserve"> fel kell jogosítani arra, hogy az érintett gazdasági szereplő bármely képviselőjétől vagy munkatársától a helyszíni ellenőrzés tárgyához kapcsolódó magyarázat megadását vagy tények ismertetését, információ vagy dokumentum átadását kérjék, valamint a képvi</w:t>
      </w:r>
      <w:r>
        <w:rPr>
          <w:noProof/>
        </w:rPr>
        <w:t>selő vagy munkatárs által adott választ rögzítsék.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(25)</w:t>
      </w:r>
      <w:r>
        <w:rPr>
          <w:noProof/>
        </w:rPr>
        <w:tab/>
        <w:t>A piacfelügyeleti hatóságok számára lehetővé kell tenni, hogy ellenőrizzék, hogy a forgalmazott termékek megfelelnek-e az uniós harmonizációs jogszabályoknak, és hogy a meg nem felelésről bizonyítékot</w:t>
      </w:r>
      <w:r>
        <w:rPr>
          <w:noProof/>
        </w:rPr>
        <w:t xml:space="preserve"> szerezzenek. Ennek megfelelően a hatáskörüknek ki kell terjednie tesztvásárlások elvégzésére, és ha a bizonyíték más módon nem szerezhető be, a termékek álnéven történő megvásárlására.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(26)</w:t>
      </w:r>
      <w:r>
        <w:rPr>
          <w:noProof/>
        </w:rPr>
        <w:tab/>
        <w:t>A piacfelügyeleti hatóságok számára – különösen a digitális körny</w:t>
      </w:r>
      <w:r>
        <w:rPr>
          <w:noProof/>
        </w:rPr>
        <w:t>ezetben – lehetővé kell tenni, hogy a meg nem felelést gyorsan és eredményesen megszüntessék, főként, ha a terméket értékesítő gazdasági szereplő elfedi a személyazonosságát, vagy a jogérvényesítés kikerülése érdekében az Unión belül vagy egy harmadik orsz</w:t>
      </w:r>
      <w:r>
        <w:rPr>
          <w:noProof/>
        </w:rPr>
        <w:t>ágba áttelepül. A piacfelügyeleti hatóságok számára lehetőséget kell biztosítani arra, hogy azokban az esetekben, amikor a meg nem felelés következtében a végfelhasználókat súlyos vagy helyrehozhatatlan kár érheti, és a kár megelőzésére vagy mérséklésére m</w:t>
      </w:r>
      <w:r>
        <w:rPr>
          <w:noProof/>
        </w:rPr>
        <w:t>ás eszköz nem áll rendelkezésre, ideiglenes intézkedéseket hozzanak meg, beleértve, szükség esetén, egy weboldal, szolgáltatás, fiók vagy egy teljes doménnév, határozott időtartamra történő felfüggesztését a 2000/31/EK irányelvben meghatározott elvekkel ös</w:t>
      </w:r>
      <w:r>
        <w:rPr>
          <w:noProof/>
        </w:rPr>
        <w:t>szehangban. Ezenkívül a piacfelügyeleti hatóságok hatáskörének ki kell terjednie arra, hogy lezárjanak vagy egy harmadik fél szolgáltatóval lezárassanak egy webhelyet, szolgáltatást vagy fiókot vagy ezek egy részét, vagy töröljenek egy teljes doménnevet.</w:t>
      </w:r>
    </w:p>
    <w:p w:rsidR="001E667A" w:rsidRDefault="005F0856">
      <w:pPr>
        <w:pStyle w:val="ManualConsidrant"/>
        <w:rPr>
          <w:noProof/>
          <w:szCs w:val="24"/>
        </w:rPr>
      </w:pPr>
      <w:r>
        <w:rPr>
          <w:noProof/>
        </w:rPr>
        <w:t>(</w:t>
      </w:r>
      <w:r>
        <w:rPr>
          <w:noProof/>
        </w:rPr>
        <w:t>27)</w:t>
      </w:r>
      <w:r>
        <w:rPr>
          <w:noProof/>
        </w:rPr>
        <w:tab/>
        <w:t>A piacfelügyeleti hatóságok a gazdasági szereplők, a végfelhasználók és a lakosság érdekében járnak el, azzal céllal, hogy biztosítsák a termékekre vonatkozó uniós harmonizációs jogszabályok által meghatározott közérdekek – megfelelő végrehajtási intéz</w:t>
      </w:r>
      <w:r>
        <w:rPr>
          <w:noProof/>
        </w:rPr>
        <w:t>kedések révén történő – következetes megőrzését és védelmét, valamint ezen jogszabályok teljes ellátási lánc vonatkozásában – a megfelelő ellenőrzések révén – történő betartását. Ebből következően a piacfelügyeleti hatóságok, az általuk megvalósított tevék</w:t>
      </w:r>
      <w:r>
        <w:rPr>
          <w:noProof/>
        </w:rPr>
        <w:t>enységek eredményessége és hatékonysága tekintetében elszámolással tartoznak a gazdasági szereplők, a végfelhasználók és a lakosság felé. Hozzáférést kell biztosítaniuk a tevékenységeik, többek között az ellenőrzések, megszervezésére és megvalósítására von</w:t>
      </w:r>
      <w:r>
        <w:rPr>
          <w:noProof/>
        </w:rPr>
        <w:t>atkozó információkhoz, valamint rendszeresen közzé kell tenniük az elvégzett tevékenységekről és azok eredményeiről szóló tájékoztatást. A piacfelügyeleti hatóságokat, bizonyos feltételek fennállása esetén, fel kell jogosítani arra is, hogy az egyes gazdas</w:t>
      </w:r>
      <w:r>
        <w:rPr>
          <w:noProof/>
        </w:rPr>
        <w:t>ági szereplőkről, az azokra irányuló piacfelügyeleti ellenőrzések eredményei alapján a megfelelőségre vonatkozóan nyilvántartott adatokat közzétegyenek vagy rendelkezésre bocsássanak.</w:t>
      </w:r>
    </w:p>
    <w:p w:rsidR="001E667A" w:rsidRDefault="005F0856">
      <w:pPr>
        <w:pStyle w:val="ManualConsidrant"/>
        <w:rPr>
          <w:noProof/>
          <w:szCs w:val="24"/>
        </w:rPr>
      </w:pPr>
      <w:r>
        <w:rPr>
          <w:noProof/>
        </w:rPr>
        <w:t>(28)</w:t>
      </w:r>
      <w:r>
        <w:rPr>
          <w:noProof/>
        </w:rPr>
        <w:tab/>
        <w:t>A gazdasági szereplőknek maradéktalanul együtt kell működniük a pia</w:t>
      </w:r>
      <w:r>
        <w:rPr>
          <w:noProof/>
        </w:rPr>
        <w:t xml:space="preserve">cfelügyeleti hatóságokkal és más illetékes hatóságokkal annak érdekében, hogy biztosítsák a piacfelügyeleti tevékenységek zökkenőmentes végrehajtását, és hogy lehetővé tegyék a hatóságok számára a feladataik ellátását. 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(29)</w:t>
      </w:r>
      <w:r>
        <w:rPr>
          <w:noProof/>
        </w:rPr>
        <w:tab/>
        <w:t xml:space="preserve">E rendelet nem érinti a RAPEX </w:t>
      </w:r>
      <w:r>
        <w:rPr>
          <w:noProof/>
        </w:rPr>
        <w:t>2001/95/EK irányelv és 765/2008/EK rendelet szerinti működését.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(30)</w:t>
      </w:r>
      <w:r>
        <w:rPr>
          <w:noProof/>
        </w:rPr>
        <w:tab/>
        <w:t>E rendelet nem érinti a Szerződés 114. cikke (10) bekezdésének megfelelően az ágazati uniós harmonizációs jogszabályok által előírt védzáradék-eljárást. Az Unión belüli azonos mértékű véd</w:t>
      </w:r>
      <w:r>
        <w:rPr>
          <w:noProof/>
        </w:rPr>
        <w:t>elem biztosítása érdekében a tagállamok számára engedélyezni kell, hogy az egészségre vagy a biztonságra, vagy a közérdek védelemének egyéb szempontjaira kockázatot jelentő termékekkel kapcsolatban korlátozó intézkedéseket hozzanak meg. A tagállamoknak eze</w:t>
      </w:r>
      <w:r>
        <w:rPr>
          <w:noProof/>
        </w:rPr>
        <w:t>n intézkedésekről értesíteniük kell a többi tagállamot és a Bizottságot, lehetővé téve a Bizottság számára, hogy a belső piac működésének biztosítása érdekében állást foglaljon a termékek szabad mozgását korlátozó nemzeti intézkedésekkel kapcsolatban.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(31)</w:t>
      </w:r>
      <w:r>
        <w:rPr>
          <w:noProof/>
        </w:rPr>
        <w:tab/>
        <w:t>A piacfelügyeleti hatóságok közötti információcserére, valamint a bizonyítékok és a vizsgálati eredmények felhasználására a bizalmas adatkezelés, a szakmai és üzleti titoktartás legszigorúbb garanciáit kell érvényesíteni. Az adatokat a vonatkozó nemzeti j</w:t>
      </w:r>
      <w:r>
        <w:rPr>
          <w:noProof/>
        </w:rPr>
        <w:t xml:space="preserve">ogszabályoknak megfelelően kell kezelni annak érdekében, hogy a vizsgálat ne kerüljön veszélybe és a gazdasági szereplő jó hírneve ne sérüljön. </w:t>
      </w:r>
    </w:p>
    <w:p w:rsidR="001E667A" w:rsidRDefault="005F0856">
      <w:pPr>
        <w:pStyle w:val="ManualConsidrant"/>
        <w:rPr>
          <w:noProof/>
          <w:szCs w:val="24"/>
        </w:rPr>
      </w:pPr>
      <w:r>
        <w:rPr>
          <w:noProof/>
        </w:rPr>
        <w:t>(32)</w:t>
      </w:r>
      <w:r>
        <w:rPr>
          <w:noProof/>
        </w:rPr>
        <w:tab/>
        <w:t>Ha e rendelet alkalmazása céljából személyes adatok feldolgozására van szükség, azt a személyes adatok véd</w:t>
      </w:r>
      <w:r>
        <w:rPr>
          <w:noProof/>
        </w:rPr>
        <w:t>elmére vonatkozó uniós jogszabályoknak megfelelően kell elvégezni. A személyes adatok e rendelet céljaira történő bármiféle feldolgozására az (EU) 2016/679 európai parlamenti és tanácsi rendelet</w:t>
      </w:r>
      <w:r>
        <w:rPr>
          <w:rStyle w:val="FootnoteReference"/>
          <w:noProof/>
        </w:rPr>
        <w:footnoteReference w:id="57"/>
      </w:r>
      <w:r>
        <w:rPr>
          <w:noProof/>
        </w:rPr>
        <w:t xml:space="preserve"> és adott esetben a 45/2001/EK európai parlamenti és tanácsi </w:t>
      </w:r>
      <w:r>
        <w:rPr>
          <w:noProof/>
        </w:rPr>
        <w:t>rendelet</w:t>
      </w:r>
      <w:r>
        <w:rPr>
          <w:rStyle w:val="FootnoteReference"/>
          <w:noProof/>
        </w:rPr>
        <w:footnoteReference w:id="58"/>
      </w:r>
      <w:r>
        <w:rPr>
          <w:noProof/>
        </w:rPr>
        <w:t xml:space="preserve"> vonatkozik. 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(33)</w:t>
      </w:r>
      <w:r>
        <w:rPr>
          <w:noProof/>
        </w:rPr>
        <w:tab/>
        <w:t>Az Unióban a piacfelügyeleti keretrendszerhez kapcsolódóan elvégzett vizsgálatok megbízhatóságának és következetességének biztosítása érdekében a Bizottságnak uniós vizsgálóhelyeket kell kijelölnie. Ezenkívül, a vizsgálati eredm</w:t>
      </w:r>
      <w:r>
        <w:rPr>
          <w:noProof/>
        </w:rPr>
        <w:t>ények Unión belüli megosztását szolgáló átfogóbb információs rendszer kifejlesztésére van szükség, hogy uniós szinten elkerülhetők legyenek a felesleges párhuzamosságok és a következetesség nagyobb teret nyerjen.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(34)</w:t>
      </w:r>
      <w:r>
        <w:rPr>
          <w:noProof/>
        </w:rPr>
        <w:tab/>
        <w:t>A Bizottság által vizsgálóhelyként kij</w:t>
      </w:r>
      <w:r>
        <w:rPr>
          <w:noProof/>
        </w:rPr>
        <w:t>elölt laboratóriumoknak rendelkezniük kell a feladatok legmagasabb színvonalon történő elvégzéséhez szükséges szakértelemmel, felszereléssel, infrastruktúrával és személyzettel. A megbízható eredmények biztosítása érdekében az uniós vizsgálóhelyeket a vona</w:t>
      </w:r>
      <w:r>
        <w:rPr>
          <w:noProof/>
        </w:rPr>
        <w:t>tkozó uniós harmonizált szabványok szerint kell akkreditálni. Az akkreditálást a 765/2008/EK rendeletnek megfelelően működő nemzeti akkreditáló testületnek kell elvégeznie.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(35)</w:t>
      </w:r>
      <w:r>
        <w:rPr>
          <w:noProof/>
        </w:rPr>
        <w:tab/>
        <w:t>A tagállamoktól meg kell követelni, hogy gondoskodjanak róla, hogy a megfelelő</w:t>
      </w:r>
      <w:r>
        <w:rPr>
          <w:noProof/>
        </w:rPr>
        <w:t xml:space="preserve"> személyzethez és felszereléshez szükséges elegendő pénzügyi forrás mindig a piacfelügyeleti hatóságok rendelkezésére álljon. A hatékony piacfelügyeleti tevékenység erőforrásokat igényel, és az erőforrásokat folyamatosan és mindig az éppen aktuális végreha</w:t>
      </w:r>
      <w:r>
        <w:rPr>
          <w:noProof/>
        </w:rPr>
        <w:t>jtási igényeknek megfelelő szinten kell biztosítani. Az állami finanszírozást tehát díjak kiszabásával kell kiegészíteni, ami a nem megfelelőnek bizonyuló termékek vonatkozásában végzett piacfelügyeleti tevékenység kapcsán felmerült költségeket fedezi, kel</w:t>
      </w:r>
      <w:r>
        <w:rPr>
          <w:noProof/>
        </w:rPr>
        <w:t xml:space="preserve">lően figyelembe véve az adott gazdasági szereplő jogszabályoknak való megfelelés terén tanúsított eddigi teljesítményét. 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(36)</w:t>
      </w:r>
      <w:r>
        <w:rPr>
          <w:noProof/>
        </w:rPr>
        <w:tab/>
        <w:t>A piacfelügyeleti tevékenységek gazdasági szereplőktől beszedett díjakból történő finanszírozásának teljesen átlátható módon kell</w:t>
      </w:r>
      <w:r>
        <w:rPr>
          <w:noProof/>
        </w:rPr>
        <w:t xml:space="preserve"> történnie, úgy, hogy abból a polgárok és a vállalkozások is megértsék, hogy a díj megállapítása milyen módszerek és adatok alapján történt, valamint tájékoztatást kapjanak a díjakból befolyó bevételek felhasználásáról. 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(37)</w:t>
      </w:r>
      <w:r>
        <w:rPr>
          <w:noProof/>
        </w:rPr>
        <w:tab/>
        <w:t xml:space="preserve">Helyénvaló, hogy a tagállamok </w:t>
      </w:r>
      <w:r>
        <w:rPr>
          <w:noProof/>
        </w:rPr>
        <w:t xml:space="preserve">jelöljék ki a vámjogszabályok alkalmazásáért felelős hatóságokat és a nemzeti jogszabályok értelmében az uniós piacra belépő termékek ellenőrzéséért felelős bármely más hatóságot. 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(38)</w:t>
      </w:r>
      <w:r>
        <w:rPr>
          <w:noProof/>
        </w:rPr>
        <w:tab/>
        <w:t>A nem biztonságos vagy nem megfelelő termékek uniós piacon történő for</w:t>
      </w:r>
      <w:r>
        <w:rPr>
          <w:noProof/>
        </w:rPr>
        <w:t>galomba hozatala leghatékonyabban e termékeknek a szabad forgalomba bocsátását megelőzően történő felderítésével akadályozható meg. A vámhatóságok, mint az Unió vámterületére belépő termékek ellenőrzéséért felelős hatóságok, teljes rálátással bírnak a küls</w:t>
      </w:r>
      <w:r>
        <w:rPr>
          <w:noProof/>
        </w:rPr>
        <w:t>ő határokon keresztül zajló kereskedelmi forgalomra, így elő kell írni számukra, hogy a kockázatértékelésen alapuló megfelelő ellenőrzéseket végezzenek el, hozzájárulva ezzel a piac biztonságának növeléséhez. A termékekre vonatkozó uniós harmonizációs jogs</w:t>
      </w:r>
      <w:r>
        <w:rPr>
          <w:noProof/>
        </w:rPr>
        <w:t>zabályok egységes végrehajtása csak a piacfelügyelet és a vámhatóságok közötti rendszerszerű együttműködés és információcsere útján valósítható meg. Ezeknek a hatóságoknak jó előre meg kell kapniuk a piacfelügyeleti hatóságoktól minden szükséges információ</w:t>
      </w:r>
      <w:r>
        <w:rPr>
          <w:noProof/>
        </w:rPr>
        <w:t>t a nem megfelelő termékek vagy azon gazdasági szereplők tekintetében, amelyek esetében nagyobb a meg nem felelés veszélye. Amennyiben az adott információ az uniós harmonizációs jogszabályok végrehajtása szempontjából releváns, a vámhatóságoknak viszont id</w:t>
      </w:r>
      <w:r>
        <w:rPr>
          <w:noProof/>
        </w:rPr>
        <w:t>őben tájékoztatniuk kell a piacfelügyeleti hatóságokat a termékek szabad forgalomba bocsátás alá vonásáról és az ellenőrzések eredményeiről. Ezenkívül, ha a Bizottság tudomást szerez arról, hogy valamely behozott termék súlyos veszélyt jelent, a megfelelés</w:t>
      </w:r>
      <w:r>
        <w:rPr>
          <w:noProof/>
        </w:rPr>
        <w:t>re és a végrehajtásra vonatkozó – az Unióba irányuló első belépési pontokon megvalósuló – összehangolt és hatékonyabb ellenőrzések biztosítása érdekében tájékoztatnia kell a tagállamokat az adott kockázatokról.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(39)</w:t>
      </w:r>
      <w:r>
        <w:rPr>
          <w:noProof/>
        </w:rPr>
        <w:tab/>
        <w:t xml:space="preserve">A vám- és piacfelügyeleti hatóságok, az </w:t>
      </w:r>
      <w:r>
        <w:rPr>
          <w:noProof/>
        </w:rPr>
        <w:t xml:space="preserve">Unió vámterületére belépő termékek ellenőrzésével kapcsolatos feladatai ellátásában történő támogatása érdekében, az engedélyezett gazdálkodó státusával kapcsolatos információk és a termékbiztonság tekintetében a megfelelőségére vonatkozóan nyilvántartott </w:t>
      </w:r>
      <w:r>
        <w:rPr>
          <w:noProof/>
        </w:rPr>
        <w:t>adatok megosztását szolgáló eljárásrend kialakításáig a 952/2013/EU rendelet 38. cikke (2) bekezdésében meghatározott engedélyezett gazdálkodók által szabad forgalomba bocsátásra bejelentett termékeket kedvezőbb bánásmódban kell részesíteni. E megközelítés</w:t>
      </w:r>
      <w:r>
        <w:rPr>
          <w:noProof/>
        </w:rPr>
        <w:t xml:space="preserve">nek lehetővé kell tennie a terméke szabad forgalomba bocsátott termékek célzottabb, kockázatalapú ellenőrzését. 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(40)</w:t>
      </w:r>
      <w:r>
        <w:rPr>
          <w:noProof/>
        </w:rPr>
        <w:tab/>
        <w:t>A Bizottság számára lehetőséget kell biztosítani arra, hogy piacfelügyelettel kapcsolatos információkat harmadik országok szabályozó hatós</w:t>
      </w:r>
      <w:r>
        <w:rPr>
          <w:noProof/>
        </w:rPr>
        <w:t xml:space="preserve">ágaival vagy nemzetközi szervezetekkel megosszon annak érdekében, hogy a termékeik uniós piacra történő kivitele előtt biztosítsa azok megfelelőségét. 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(41)</w:t>
      </w:r>
      <w:r>
        <w:rPr>
          <w:noProof/>
        </w:rPr>
        <w:tab/>
        <w:t xml:space="preserve">E területen a </w:t>
      </w:r>
      <w:r>
        <w:rPr>
          <w:rStyle w:val="st"/>
          <w:noProof/>
        </w:rPr>
        <w:t>piacfelügyeleti információs és kommunikációs rendszer</w:t>
      </w:r>
      <w:r>
        <w:rPr>
          <w:noProof/>
        </w:rPr>
        <w:t xml:space="preserve"> (ICSMS) fenntartására és tovább</w:t>
      </w:r>
      <w:r>
        <w:rPr>
          <w:noProof/>
        </w:rPr>
        <w:t>fejlesztésére van szükség. A piacfelügyeleti információs és kommunikációs rendszert a termékekre vonatkozó uniós harmonizációs jogszabályok végrehajtásával kapcsolatos információk gyűjtése céljából tovább kell fejleszteni és a Bizottság, az összekötő hivat</w:t>
      </w:r>
      <w:r>
        <w:rPr>
          <w:noProof/>
        </w:rPr>
        <w:t>alok és a piacfelügyeleti hatóságok, valamint – egy nyilvános felületen keresztül – a lakosság számára hozzáférhetővé kell tenni. Ezenkívül ki kell fejleszteni egy, a nemzeti vámhatóságok és a piacfelügyeleti hatóságok közötti hatékony információcserét leh</w:t>
      </w:r>
      <w:r>
        <w:rPr>
          <w:noProof/>
        </w:rPr>
        <w:t xml:space="preserve">etővé tevő elektronikus felületet. 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(42)</w:t>
      </w:r>
      <w:r>
        <w:rPr>
          <w:noProof/>
        </w:rPr>
        <w:tab/>
        <w:t>A Bizottságnak, a benne meghatározott célok mentén, el kell végeznie e rendelet értékelését. A jogalkotás minőségének javításáról szóló, 2016. április 13-i intézményközi megállapodás</w:t>
      </w:r>
      <w:r>
        <w:rPr>
          <w:rStyle w:val="FootnoteReference"/>
          <w:noProof/>
        </w:rPr>
        <w:footnoteReference w:id="59"/>
      </w:r>
      <w:r>
        <w:rPr>
          <w:noProof/>
        </w:rPr>
        <w:t xml:space="preserve"> 22. pontja szerint a hatékonysá</w:t>
      </w:r>
      <w:r>
        <w:rPr>
          <w:noProof/>
        </w:rPr>
        <w:t>gra, eredményességre, relevanciára, koherenciára és hozzáadott értékre vonatkozó értékelés képezi a további intézkedési lehetőségek hatásvizsgálatainak alapját.</w:t>
      </w:r>
      <w:r>
        <w:rPr>
          <w:b/>
          <w:noProof/>
        </w:rPr>
        <w:t xml:space="preserve"> 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(43)</w:t>
      </w:r>
      <w:r>
        <w:rPr>
          <w:noProof/>
        </w:rPr>
        <w:tab/>
        <w:t>Az Unió pénzügyi érdekeit a teljes kiadási ciklusban arányos intézkedésekkel kell védeni,</w:t>
      </w:r>
      <w:r>
        <w:rPr>
          <w:noProof/>
        </w:rPr>
        <w:t xml:space="preserve"> ideértve a szabálytalanságok megelőzését, feltárását és kivizsgálását, az elveszített, jogalap nélkül kifizetett vagy szabálytalanul felhasznált források visszafizettetését, valamint adott esetben közigazgatási és pénzügyi szankciók alkalmazását.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(44)</w:t>
      </w:r>
      <w:r>
        <w:rPr>
          <w:noProof/>
        </w:rPr>
        <w:tab/>
        <w:t>A n</w:t>
      </w:r>
      <w:r>
        <w:rPr>
          <w:noProof/>
        </w:rPr>
        <w:t xml:space="preserve">em megfelelő mértékű visszatartó hatás és az egyenlőtlen szintű védelem egyik fő oka az Unión belüli szankciók sokfélesége. A szankciók, többek közötti a pénzbírságok megállapítására vonatkozó szabályok tagállami hatáskörbe tartoznak, és ennek megfelelően </w:t>
      </w:r>
      <w:r>
        <w:rPr>
          <w:noProof/>
        </w:rPr>
        <w:t>ezeket nemzeti szintű jogszabályban kell meghatározni. Az Unión belüli egységes és hatékony visszatartó hatás elérése érdekében ugyanakkor a szankciók szintjének meghatározására vonatkozó közös kritériumok és irányelvek kialakítására van szükség. A hatékon</w:t>
      </w:r>
      <w:r>
        <w:rPr>
          <w:noProof/>
        </w:rPr>
        <w:t>y, arányos és visszatartó hatású szankciók szintjének meghatározására irányuló uniós kritériumok kialakítása, különösen a gazdasági szereplők múltbéli magatartása, a piacfelügyeleti hatóságok vizsgálatai során tanúsított együttműködésük, valamint az okozot</w:t>
      </w:r>
      <w:r>
        <w:rPr>
          <w:noProof/>
        </w:rPr>
        <w:t xml:space="preserve">t kár szintje vonatkozásában, kiemelten fontos a „forum shopping”-ra ösztönző gyenge pontok elkerülése szempontjából. 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(45)</w:t>
      </w:r>
      <w:r>
        <w:rPr>
          <w:noProof/>
        </w:rPr>
        <w:tab/>
        <w:t>E rendelet egységes feltételek mellett történő végrehajtásának biztosítása érdekében a Bizottságot végrehajtási hatáskörökkel kell f</w:t>
      </w:r>
      <w:r>
        <w:rPr>
          <w:noProof/>
        </w:rPr>
        <w:t>elruházni az uniós vizsgálóhelyek kijelöléséhez kapcsolódó eljárások, az információkérésekhez és a végrehajtási intézkedésekre irányuló megkeresésekhez kapcsolódó eljárások, az uniós harmonizációs jogszabályok hatálya alá tartozó termékek tekintetében a vá</w:t>
      </w:r>
      <w:r>
        <w:rPr>
          <w:noProof/>
        </w:rPr>
        <w:t>mhatóságok által elvégezett ellenőrzésekre vonatkozó statisztikai adatok, az engedélyezett gazdálkodók státusára vonatkozóan a vámhatóságok és piacfelügyeleti hatóságok között megvalósuló információmegosztás során megosztandó adatok és követendő eljárások,</w:t>
      </w:r>
      <w:r>
        <w:rPr>
          <w:noProof/>
        </w:rPr>
        <w:t xml:space="preserve"> a vámhatóságok által a „szabad forgalomba bocsátás” vámeljárás alá vont termékekre vonatkozó információs és kommunikációs rendszerrel kapcsolatos végrehajtási rendelkezések és adatok részletei, valamint a kivitel előtt végrehajtandó termékhez kötődő ellen</w:t>
      </w:r>
      <w:r>
        <w:rPr>
          <w:noProof/>
        </w:rPr>
        <w:t>őrzések rendszere, többek között a követendő megfelelőségi bizonyítvány és ellenőrzési minta tekintetében. Az említett hatásköröket a 182/2011/EU európai parlamenti és tanácsi rendeletnek megfelelően kell gyakorolni</w:t>
      </w:r>
      <w:r>
        <w:rPr>
          <w:rStyle w:val="FootnoteReference"/>
          <w:noProof/>
        </w:rPr>
        <w:footnoteReference w:id="60"/>
      </w:r>
      <w:r>
        <w:rPr>
          <w:noProof/>
        </w:rPr>
        <w:t>.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(46)</w:t>
      </w:r>
      <w:r>
        <w:rPr>
          <w:noProof/>
        </w:rPr>
        <w:tab/>
        <w:t>Mivel e rendelet célját, nevezete</w:t>
      </w:r>
      <w:r>
        <w:rPr>
          <w:noProof/>
        </w:rPr>
        <w:t>sen annak biztosítását, hogy az Unióban forgalomba hozott termékek megfeleljenek az uniós harmonizációs jogszabályokból fakadó követelményeknek, tekintettel arra, hogy minden tagállam illetékes hatóságai között létrejövő magas szintű együttműködésre, kölcs</w:t>
      </w:r>
      <w:r>
        <w:rPr>
          <w:noProof/>
        </w:rPr>
        <w:t>önhatásra és egységes fellépésre van szükség, a tagállamok nem tudják kielégítően megvalósítani, az Unió szintjén azonban a rendelet léptéke és hatásai miatt e cél jobban megvalósítható, az Unió intézkedéseket hozhat az Európai Unióról szóló szerződés 5. c</w:t>
      </w:r>
      <w:r>
        <w:rPr>
          <w:noProof/>
        </w:rPr>
        <w:t>ikkében említett szubszidiaritás elvének megfelelően. Az e cikkben foglalt arányosság elvének megfelelően ez a rendelet nem lépi túl az e cél eléréséhez szükséges mértéket.</w:t>
      </w:r>
    </w:p>
    <w:p w:rsidR="001E667A" w:rsidRDefault="005F0856">
      <w:pPr>
        <w:pStyle w:val="ManualConsidrant"/>
        <w:rPr>
          <w:noProof/>
        </w:rPr>
      </w:pPr>
      <w:r>
        <w:rPr>
          <w:noProof/>
        </w:rPr>
        <w:t>(47)</w:t>
      </w:r>
      <w:r>
        <w:rPr>
          <w:noProof/>
        </w:rPr>
        <w:tab/>
        <w:t>E rendelet tiszteletben tartja az alapvető jogokat és tekintettel van különöse</w:t>
      </w:r>
      <w:r>
        <w:rPr>
          <w:noProof/>
        </w:rPr>
        <w:t>n az Európai Unió Alapjogi Chartája által elismert elvekre. Ennek megfelelően ezt a rendeletet a fenti jogokat és elveket tiszteletben tartva kell értelmezni és alkalmazni. E rendelet célja különösen, hogy biztosítsa a fogyasztóvédelem, a vállalkozás szaba</w:t>
      </w:r>
      <w:r>
        <w:rPr>
          <w:noProof/>
        </w:rPr>
        <w:t>dsága, a szólásszabadság és az információ szabadsága, a tulajdonhoz való jog és a személyes adatok védelme maradéktalan tiszteletben tartását,</w:t>
      </w:r>
    </w:p>
    <w:p w:rsidR="001E667A" w:rsidRDefault="005F0856">
      <w:pPr>
        <w:pStyle w:val="Formuledadoption"/>
        <w:rPr>
          <w:noProof/>
        </w:rPr>
      </w:pPr>
      <w:r>
        <w:rPr>
          <w:noProof/>
        </w:rPr>
        <w:t>ELFOGADTA EZT A RENDELETET:</w:t>
      </w:r>
    </w:p>
    <w:p w:rsidR="001E667A" w:rsidRDefault="005F0856">
      <w:pPr>
        <w:pStyle w:val="ChapterTitle"/>
        <w:rPr>
          <w:noProof/>
        </w:rPr>
      </w:pPr>
      <w:r>
        <w:rPr>
          <w:noProof/>
        </w:rPr>
        <w:t xml:space="preserve">I. fejezet </w:t>
      </w:r>
    </w:p>
    <w:p w:rsidR="001E667A" w:rsidRDefault="005F0856">
      <w:pPr>
        <w:pStyle w:val="ChapterTitle"/>
        <w:rPr>
          <w:noProof/>
        </w:rPr>
      </w:pPr>
      <w:r>
        <w:rPr>
          <w:noProof/>
        </w:rPr>
        <w:t>Általános rendelkezések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1. cikk</w:t>
      </w:r>
    </w:p>
    <w:p w:rsidR="001E667A" w:rsidRDefault="005F0856">
      <w:pPr>
        <w:jc w:val="center"/>
        <w:rPr>
          <w:b/>
          <w:noProof/>
        </w:rPr>
      </w:pPr>
      <w:r>
        <w:rPr>
          <w:b/>
          <w:noProof/>
        </w:rPr>
        <w:t>Tárgy</w:t>
      </w:r>
    </w:p>
    <w:p w:rsidR="001E667A" w:rsidRDefault="005F0856">
      <w:pPr>
        <w:rPr>
          <w:noProof/>
        </w:rPr>
      </w:pPr>
      <w:r>
        <w:rPr>
          <w:noProof/>
        </w:rPr>
        <w:t>E rendelet a megfelelőséggel kapcsolatos információra vonatkozó szabályokat és eljárásokat állapít meg egyes olyan termékek tekintetében, amelyek az e termékek kereskedelmi feltételeit harmonizáló uniós jogi aktusok hatálya alá tartoznak. Létrehozza a gazd</w:t>
      </w:r>
      <w:r>
        <w:rPr>
          <w:noProof/>
        </w:rPr>
        <w:t xml:space="preserve">asági szereplőkkel e termékekhez kapcsolódóan kialakítandó együttműködés keretrendszerét. </w:t>
      </w:r>
    </w:p>
    <w:p w:rsidR="001E667A" w:rsidRDefault="005F0856">
      <w:pPr>
        <w:rPr>
          <w:noProof/>
        </w:rPr>
      </w:pPr>
      <w:r>
        <w:rPr>
          <w:noProof/>
        </w:rPr>
        <w:t>Megteremti az e termékekre irányuló piacfelügyelet keretrendszerét annak biztosítása érdekében, hogy a termékek megfeleljenek a közérdek – úgymint az egészség és a b</w:t>
      </w:r>
      <w:r>
        <w:rPr>
          <w:noProof/>
        </w:rPr>
        <w:t xml:space="preserve">iztonság általában –, a munkahelyi egészség és biztonság, a fogyasztók védelme és a környezetvédelem, valamint a biztonság magas szintű védelmére vonatkozó követelményeknek. </w:t>
      </w:r>
    </w:p>
    <w:p w:rsidR="001E667A" w:rsidRDefault="005F0856">
      <w:pPr>
        <w:rPr>
          <w:noProof/>
        </w:rPr>
      </w:pPr>
      <w:r>
        <w:rPr>
          <w:noProof/>
        </w:rPr>
        <w:t>E rendelet meghatározza az uniós piacra belépő e termékekre irányuló ellenőrzések</w:t>
      </w:r>
      <w:r>
        <w:rPr>
          <w:noProof/>
        </w:rPr>
        <w:t xml:space="preserve"> keretrendszerét is.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2. cikk</w:t>
      </w:r>
    </w:p>
    <w:p w:rsidR="001E667A" w:rsidRDefault="005F0856">
      <w:pPr>
        <w:jc w:val="center"/>
        <w:rPr>
          <w:b/>
          <w:noProof/>
        </w:rPr>
      </w:pPr>
      <w:r>
        <w:rPr>
          <w:b/>
          <w:noProof/>
        </w:rPr>
        <w:t>Hatály</w:t>
      </w:r>
    </w:p>
    <w:p w:rsidR="001E667A" w:rsidRDefault="005F0856">
      <w:pPr>
        <w:pStyle w:val="Point0number"/>
        <w:numPr>
          <w:ilvl w:val="0"/>
          <w:numId w:val="13"/>
        </w:numPr>
        <w:rPr>
          <w:noProof/>
        </w:rPr>
      </w:pPr>
      <w:r>
        <w:rPr>
          <w:noProof/>
        </w:rPr>
        <w:t>E rendelet minden olyan termékre vonatkozik, amely az e rendelet mellékletében meghatározott uniós harmonizációs jogszabályok hatálya alá esik (továbbiakban: „uniós harmonizációs jogszabályok”).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 xml:space="preserve">E rendelet minden egyes </w:t>
      </w:r>
      <w:r>
        <w:rPr>
          <w:noProof/>
        </w:rPr>
        <w:t>rendelkezését alkalmazni kell mindaddig, amíg az uniós harmonizációs jogszabályok nem tartalmaznak megegyező célokkal meghozott olyan különös rendelkezéseket, amelyek a piacfelügyelet és a végrehajtás egyes szempontjait pontosabban szabályozzák.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E rendelet</w:t>
      </w:r>
      <w:r>
        <w:rPr>
          <w:noProof/>
        </w:rPr>
        <w:t xml:space="preserve"> alkalmazása nem korlátozza a piacfelügyeleti hatóságokat az általános termékbiztonságról szóló 2001/95/EK irányelvben szereplő egyedi intézkedések meghozatalában.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 xml:space="preserve">E rendelet nem érinti a 2000/31/EK irányelv 12., 13., 14. és 15. cikkének alkalmazását. 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3.</w:t>
      </w:r>
      <w:r>
        <w:rPr>
          <w:noProof/>
        </w:rPr>
        <w:t xml:space="preserve"> cikk</w:t>
      </w:r>
    </w:p>
    <w:p w:rsidR="001E667A" w:rsidRDefault="005F0856">
      <w:pPr>
        <w:jc w:val="center"/>
        <w:rPr>
          <w:b/>
          <w:noProof/>
        </w:rPr>
      </w:pPr>
      <w:r>
        <w:rPr>
          <w:b/>
          <w:noProof/>
        </w:rPr>
        <w:t>Fogalommeghatározások</w:t>
      </w:r>
    </w:p>
    <w:p w:rsidR="001E667A" w:rsidRDefault="005F0856">
      <w:pPr>
        <w:rPr>
          <w:noProof/>
        </w:rPr>
      </w:pPr>
      <w:r>
        <w:rPr>
          <w:noProof/>
        </w:rPr>
        <w:t>E rendelet alkalmazásában: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„forgalmazás”: az uniós piacon valamely termék gazdasági tevékenység keretében történő rendelkezésre bocsátása értékesítés, fogyasztás vagy felhasználás céljára, ellenérték fejében vagy ingyenesen;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„forgalomba hozatal”: a termék első alkalommal történő forgalmazása az uniós piacon;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„piacfelügyelet”: a piacfelügyeleti hatóságok által annak biztosítására végzett tevékenységek és intézkedések, hogy a termékek megfeleljenek az uniós harmonizációs j</w:t>
      </w:r>
      <w:r>
        <w:rPr>
          <w:noProof/>
        </w:rPr>
        <w:t xml:space="preserve">ogszabályokban megállapított követelményeknek, illetve ne jelentsenek veszélyt az egészségre, a biztonságra vagy a közérdek védelmének bármilyen más szempontjára; 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„piacfelügyeleti hatóság”: a tagállam által a 11. cikk szerint az adott tagállam területé</w:t>
      </w:r>
      <w:r>
        <w:rPr>
          <w:noProof/>
        </w:rPr>
        <w:t>re vonatkozóan piacfelügyeleti hatóságként kijelölt hatóság;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„megkereső hatóság”: az a piacfelügyeleti hatóság, amely a kölcsönös segítségnyújtás iránti megkeresést benyújtja;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6.</w:t>
      </w:r>
      <w:r>
        <w:rPr>
          <w:noProof/>
        </w:rPr>
        <w:tab/>
        <w:t xml:space="preserve">"megkeresett hatóság”: az a piacfelügyeleti hatóság, amelyhez a kölcsönös </w:t>
      </w:r>
      <w:r>
        <w:rPr>
          <w:noProof/>
        </w:rPr>
        <w:t xml:space="preserve">segítségnyújtás iránti megkeresés beérkezik; 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7.</w:t>
      </w:r>
      <w:r>
        <w:rPr>
          <w:noProof/>
        </w:rPr>
        <w:tab/>
        <w:t xml:space="preserve">„meg nem felelés”: az adott termékre vonatkozó uniós harmonizációs jogszabályok bármelyike által meghatározott valamely követelmény teljesítésének elmulasztása; 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8.</w:t>
      </w:r>
      <w:r>
        <w:rPr>
          <w:noProof/>
        </w:rPr>
        <w:tab/>
        <w:t>„gyártó”: az a természetes vagy jogi szemé</w:t>
      </w:r>
      <w:r>
        <w:rPr>
          <w:noProof/>
        </w:rPr>
        <w:t>ly, aki vagy amely terméket gyárt, illetve terméket terveztet vagy gyártat, és az adott terméket saját nevével vagy védjegyével ellátva forgalmazza;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9.</w:t>
      </w:r>
      <w:r>
        <w:rPr>
          <w:noProof/>
        </w:rPr>
        <w:tab/>
        <w:t>„importőr”: az Unióban letelepedett olyan természetes vagy jogi személy, aki vagy amely egy harmadik ors</w:t>
      </w:r>
      <w:r>
        <w:rPr>
          <w:noProof/>
        </w:rPr>
        <w:t>zágból származó terméket hoz forgalomba az uniós piacon;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10.</w:t>
      </w:r>
      <w:r>
        <w:rPr>
          <w:noProof/>
        </w:rPr>
        <w:tab/>
        <w:t>„forgalmazó”: az a gyártótól vagy importőrtől különböző természetes vagy jogi személy az ellátási láncban, aki vagy amely terméket forgalmaz;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11.</w:t>
      </w:r>
      <w:r>
        <w:rPr>
          <w:noProof/>
        </w:rPr>
        <w:tab/>
        <w:t>„meghatalmazott képviselő”: az Unióban letelepede</w:t>
      </w:r>
      <w:r>
        <w:rPr>
          <w:noProof/>
        </w:rPr>
        <w:t xml:space="preserve">tt olyan természetes vagy jogi személy, aki vagy amely a gyártótól írásbeli meghatalmazást kapott arra, hogy a gyártónak a vonatkozó uniós harmonizációs jogszabályokból fakadó kötelezettségeivel összefüggő meghatározott feladatok céljából a gyártó nevében </w:t>
      </w:r>
      <w:r>
        <w:rPr>
          <w:noProof/>
        </w:rPr>
        <w:t>eljárjon;</w:t>
      </w:r>
    </w:p>
    <w:p w:rsidR="001E667A" w:rsidRDefault="005F0856">
      <w:pPr>
        <w:pStyle w:val="ManualNumPar1"/>
        <w:rPr>
          <w:noProof/>
          <w:szCs w:val="24"/>
        </w:rPr>
      </w:pPr>
      <w:r>
        <w:rPr>
          <w:noProof/>
        </w:rPr>
        <w:t>12.</w:t>
      </w:r>
      <w:r>
        <w:rPr>
          <w:noProof/>
        </w:rPr>
        <w:tab/>
        <w:t xml:space="preserve">„gazdasági szereplő”: a gyártó, a meghatalmazott képviselő, az importőr vagy a forgalmazó, és többek között: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 2006/66/EK, a 2009/48/EK, a 2010/35/EU, a 2013/29/EU, a 2013/53/EU, a 2014/28/EU, a 2014/29/EU, a 2014/30/EU, a 2014/31/EU, a 2</w:t>
      </w:r>
      <w:r>
        <w:rPr>
          <w:noProof/>
        </w:rPr>
        <w:t>014/32/EU, a 2014/33/EU, a 2014/34/EU, a 2014/35/EU, a 2014/53/EU, a 2014/68/EU, a 2014/90/EU irányelvben, valamint a 305/2011/EU, az (EU) 2016/424, az (EU) 2016/425, az (EU) 2016/426, az (EU) 2017/745 és az (EU) 2017/746 rendeletben említett bármely gazda</w:t>
      </w:r>
      <w:r>
        <w:rPr>
          <w:noProof/>
        </w:rPr>
        <w:t>sági szereplő;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 273/2004/EK rendeletben meghatározott gazdasági szereplők;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az 1907/2006/EK és az 1272/2008/EK rendeletben szereplő meghatározások szerinti árucikkek előállítója és továbbfelhasználó;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a 2013/53/EU irányelvben meghatározott magánimp</w:t>
      </w:r>
      <w:r>
        <w:rPr>
          <w:noProof/>
        </w:rPr>
        <w:t>ortőr;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a 2006/42/EK és a 2014/33/EU irányelvben meghatározott üzembe helyező;</w:t>
      </w:r>
    </w:p>
    <w:p w:rsidR="001E667A" w:rsidRDefault="005F0856">
      <w:pPr>
        <w:pStyle w:val="Point1"/>
        <w:rPr>
          <w:noProof/>
          <w:szCs w:val="24"/>
        </w:rPr>
      </w:pPr>
      <w:r>
        <w:rPr>
          <w:noProof/>
        </w:rPr>
        <w:t>f)</w:t>
      </w:r>
      <w:r>
        <w:rPr>
          <w:noProof/>
        </w:rPr>
        <w:tab/>
        <w:t>az 1222/2009/EK rendeletben meghatározott beszállító és forgalmazó;</w:t>
      </w:r>
    </w:p>
    <w:p w:rsidR="001E667A" w:rsidRDefault="005F0856">
      <w:pPr>
        <w:pStyle w:val="Point1"/>
        <w:rPr>
          <w:noProof/>
          <w:szCs w:val="24"/>
        </w:rPr>
      </w:pPr>
      <w:r>
        <w:rPr>
          <w:noProof/>
        </w:rPr>
        <w:t>g)</w:t>
      </w:r>
      <w:r>
        <w:rPr>
          <w:noProof/>
        </w:rPr>
        <w:tab/>
        <w:t>az (EU) 2017/1369 rendeletben meghatározott kereskedő;</w:t>
      </w:r>
    </w:p>
    <w:p w:rsidR="001E667A" w:rsidRDefault="005F0856">
      <w:pPr>
        <w:pStyle w:val="Point1"/>
        <w:rPr>
          <w:noProof/>
          <w:szCs w:val="24"/>
        </w:rPr>
      </w:pPr>
      <w:r>
        <w:rPr>
          <w:noProof/>
        </w:rPr>
        <w:t>h)</w:t>
      </w:r>
      <w:r>
        <w:rPr>
          <w:noProof/>
        </w:rPr>
        <w:tab/>
        <w:t xml:space="preserve">az Unióban letelepedett és a forgalmazótól </w:t>
      </w:r>
      <w:r>
        <w:rPr>
          <w:noProof/>
        </w:rPr>
        <w:t>eltérő bármely természetes vagy jogi személy, aki az Unió piacára, illetve azon belül termékeket raktároz, csomagol és szállít;</w:t>
      </w:r>
    </w:p>
    <w:p w:rsidR="001E667A" w:rsidRDefault="005F0856">
      <w:pPr>
        <w:pStyle w:val="ManualNumPar1"/>
        <w:rPr>
          <w:noProof/>
          <w:szCs w:val="24"/>
        </w:rPr>
      </w:pPr>
      <w:r>
        <w:rPr>
          <w:noProof/>
        </w:rPr>
        <w:t>13.</w:t>
      </w:r>
      <w:r>
        <w:rPr>
          <w:noProof/>
        </w:rPr>
        <w:tab/>
        <w:t>„korrekciós intézkedés”: a gazdasági szereplő által valamely meg nem felelés megszüntetése érdekében tett intézkedés, beleér</w:t>
      </w:r>
      <w:r>
        <w:rPr>
          <w:noProof/>
        </w:rPr>
        <w:t>tve a termék forgalmazásának korlátozására vagy a forgalmazott termék megsemmisítésére irányuló intézkedéseket;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14.</w:t>
      </w:r>
      <w:r>
        <w:rPr>
          <w:noProof/>
        </w:rPr>
        <w:tab/>
        <w:t>„ideiglenes intézkedés”: a piacfelügyeleti hatóság által meghozott olyan ideiglenes intézkedés, amelynek célja valamely termék forgalmazásán</w:t>
      </w:r>
      <w:r>
        <w:rPr>
          <w:noProof/>
        </w:rPr>
        <w:t>ak – a meg nem felelésre vonatkozó végleges értékeléséig történő – felfüggesztése vagy korlátozása, a későbbi döntés sérelme nélkül.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15.</w:t>
      </w:r>
      <w:r>
        <w:rPr>
          <w:noProof/>
        </w:rPr>
        <w:tab/>
        <w:t>„súlyos veszély”: a piacfelügyeleti hatóságok gyors beavatkozását igénylő bármely súlyos veszély, ideértve azt a súlyos</w:t>
      </w:r>
      <w:r>
        <w:rPr>
          <w:noProof/>
        </w:rPr>
        <w:t xml:space="preserve"> veszélyt is, amelynek hatása nem azonnal jelentkezik;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16.</w:t>
      </w:r>
      <w:r>
        <w:rPr>
          <w:noProof/>
        </w:rPr>
        <w:tab/>
        <w:t>„végfelhasználó”: az Unióban lakóhellyel vagy székhellyel rendelkező olyan természetes vagy jogi személy, aki vagy amely számára vagy kereskedelmi, üzleti, kézműipari vagy szakmai tevékenységi körö</w:t>
      </w:r>
      <w:r>
        <w:rPr>
          <w:noProof/>
        </w:rPr>
        <w:t>n kívül fogyasztóként, vagy az ipari vagy szakmai tevékenysége körében szakmai végfelhasználóként terméket forgalmaztak;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17.</w:t>
      </w:r>
      <w:r>
        <w:rPr>
          <w:noProof/>
        </w:rPr>
        <w:tab/>
        <w:t xml:space="preserve">„visszahívás”: minden olyan intézkedés, amelynek célja a végfelhasználó számára már forgalmazott termék visszajuttatása; 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18.</w:t>
      </w:r>
      <w:r>
        <w:rPr>
          <w:noProof/>
        </w:rPr>
        <w:tab/>
        <w:t>„forg</w:t>
      </w:r>
      <w:r>
        <w:rPr>
          <w:noProof/>
        </w:rPr>
        <w:t>alomból történő kivonás”: minden olyan intézkedés, amelynek célja a termék forgalmazásának megakadályozása az értékesítési láncban;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19.</w:t>
      </w:r>
      <w:r>
        <w:rPr>
          <w:noProof/>
        </w:rPr>
        <w:tab/>
        <w:t>„vámhatóságok”: a 952/2013/EU rendelet 5. cikkének (1) bekezdésében meghatározott vámhatóságok;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20.</w:t>
      </w:r>
      <w:r>
        <w:rPr>
          <w:noProof/>
        </w:rPr>
        <w:tab/>
        <w:t>„szabad forgalomba b</w:t>
      </w:r>
      <w:r>
        <w:rPr>
          <w:noProof/>
        </w:rPr>
        <w:t xml:space="preserve">ocsátás”: a </w:t>
      </w:r>
      <w:r>
        <w:rPr>
          <w:noProof/>
          <w:color w:val="000000"/>
        </w:rPr>
        <w:t>952/2013/EU</w:t>
      </w:r>
      <w:r>
        <w:rPr>
          <w:noProof/>
        </w:rPr>
        <w:t xml:space="preserve"> rendelet 201. cikkében meghatározott eljárás;</w:t>
      </w:r>
    </w:p>
    <w:p w:rsidR="001E667A" w:rsidRDefault="005F0856">
      <w:pPr>
        <w:pStyle w:val="ManualNumPar1"/>
        <w:rPr>
          <w:rFonts w:cs="EUAlbertina"/>
          <w:noProof/>
          <w:color w:val="000000"/>
        </w:rPr>
      </w:pPr>
      <w:r>
        <w:rPr>
          <w:noProof/>
        </w:rPr>
        <w:t>21.</w:t>
      </w:r>
      <w:r>
        <w:rPr>
          <w:noProof/>
        </w:rPr>
        <w:tab/>
        <w:t xml:space="preserve">„az uniós piacra belépő termékek”: harmadik országból származó olyan termékek, amelyeket az uniós piacon való forgalomba hozatalra vagy az Unió vámterületén belüli magáncélú </w:t>
      </w:r>
      <w:r>
        <w:rPr>
          <w:noProof/>
        </w:rPr>
        <w:t>felhasználásra vagy fogyasztásra szánnak, és a „szabad forgalomba bocsátás” vámeljárás alatt állnak;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22.</w:t>
      </w:r>
      <w:r>
        <w:rPr>
          <w:noProof/>
        </w:rPr>
        <w:tab/>
        <w:t>„engedélyezett gazdálkodó”: a 952/2013/EU rendelet 38. cikkének (1) bekezdése szerint megadott státussal rendelkező gazdasági szereplő.</w:t>
      </w:r>
    </w:p>
    <w:p w:rsidR="001E667A" w:rsidRDefault="001E667A">
      <w:pPr>
        <w:rPr>
          <w:noProof/>
        </w:rPr>
      </w:pPr>
    </w:p>
    <w:p w:rsidR="001E667A" w:rsidRDefault="005F0856">
      <w:pPr>
        <w:pStyle w:val="ChapterTitle"/>
        <w:rPr>
          <w:noProof/>
        </w:rPr>
      </w:pPr>
      <w:r>
        <w:rPr>
          <w:noProof/>
        </w:rPr>
        <w:t>II. fejezet</w:t>
      </w:r>
    </w:p>
    <w:p w:rsidR="001E667A" w:rsidRDefault="005F0856">
      <w:pPr>
        <w:pStyle w:val="ChapterTitle"/>
        <w:rPr>
          <w:noProof/>
        </w:rPr>
      </w:pPr>
      <w:r>
        <w:rPr>
          <w:noProof/>
        </w:rPr>
        <w:t>Te</w:t>
      </w:r>
      <w:r>
        <w:rPr>
          <w:noProof/>
        </w:rPr>
        <w:t>rmékmegfelelési információk</w:t>
      </w:r>
    </w:p>
    <w:p w:rsidR="001E667A" w:rsidRDefault="005F0856">
      <w:pPr>
        <w:pStyle w:val="Titrearticle"/>
        <w:ind w:left="720"/>
        <w:rPr>
          <w:noProof/>
        </w:rPr>
      </w:pPr>
      <w:r>
        <w:rPr>
          <w:noProof/>
        </w:rPr>
        <w:t>4. cikk</w:t>
      </w:r>
    </w:p>
    <w:p w:rsidR="001E667A" w:rsidRDefault="005F0856">
      <w:pPr>
        <w:ind w:left="720"/>
        <w:jc w:val="center"/>
        <w:rPr>
          <w:b/>
          <w:bCs/>
          <w:noProof/>
        </w:rPr>
      </w:pPr>
      <w:r>
        <w:rPr>
          <w:b/>
          <w:noProof/>
        </w:rPr>
        <w:t>A termékmegfelelési információkért felelős személy</w:t>
      </w:r>
    </w:p>
    <w:p w:rsidR="001E667A" w:rsidRDefault="005F0856">
      <w:pPr>
        <w:pStyle w:val="Point0number"/>
        <w:numPr>
          <w:ilvl w:val="0"/>
          <w:numId w:val="16"/>
        </w:numPr>
        <w:rPr>
          <w:noProof/>
        </w:rPr>
      </w:pPr>
      <w:r>
        <w:rPr>
          <w:noProof/>
        </w:rPr>
        <w:t>A termék csak az alábbi feltételek teljesítése esetén hozható forgalomba: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 gyártó letelepedett az Unióban vagy a termék tekintetében az alábbiak közül legalább egy m</w:t>
      </w:r>
      <w:r>
        <w:rPr>
          <w:noProof/>
        </w:rPr>
        <w:t>egtalálható:</w:t>
      </w:r>
    </w:p>
    <w:p w:rsidR="001E667A" w:rsidRDefault="005F0856">
      <w:pPr>
        <w:pStyle w:val="Text2"/>
        <w:ind w:left="1985" w:hanging="568"/>
        <w:rPr>
          <w:noProof/>
        </w:rPr>
      </w:pPr>
      <w:r>
        <w:rPr>
          <w:noProof/>
        </w:rPr>
        <w:t>i.</w:t>
      </w:r>
      <w:r>
        <w:rPr>
          <w:noProof/>
        </w:rPr>
        <w:tab/>
        <w:t>az importőr;</w:t>
      </w:r>
    </w:p>
    <w:p w:rsidR="001E667A" w:rsidRDefault="005F0856">
      <w:pPr>
        <w:pStyle w:val="Text2"/>
        <w:ind w:left="1985" w:hanging="568"/>
        <w:rPr>
          <w:noProof/>
        </w:rPr>
      </w:pPr>
      <w:r>
        <w:rPr>
          <w:noProof/>
        </w:rPr>
        <w:t>ii.</w:t>
      </w:r>
      <w:r>
        <w:rPr>
          <w:noProof/>
        </w:rPr>
        <w:tab/>
        <w:t>az Unióban letelepedett természetes vagy jogi személy, akit vagy amelyet a gyártó írásbeli meghatalmazással a (3) bekezdésben felsorolt feladatok elvégzéséért felelős személyként jelölt ki, és azzal bízta meg, hogy ezeket a</w:t>
      </w:r>
      <w:r>
        <w:rPr>
          <w:noProof/>
        </w:rPr>
        <w:t xml:space="preserve"> feladatokat a gyártó nevében lássa el;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 gyártó, az importőr vagy az a) pontban meghatározott követelményeknek megfelelő egyéb személy megnevezése és elérhetőségei a (4) bekezdésnek megfelelően nyilvánosak, és az (5) bekezdésnek megfelelően feltünteté</w:t>
      </w:r>
      <w:r>
        <w:rPr>
          <w:noProof/>
        </w:rPr>
        <w:t xml:space="preserve">sre kerültek vagy beazonosíthatók.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E cikk alkalmazásában a „termékmegfelelési információért felelős személy” az a személy, aki akár gyártóként, akár importőrként, akár más személyként a termék vonatkozásában az (1) bekezdés a) pontja szerinti követelménye</w:t>
      </w:r>
      <w:r>
        <w:rPr>
          <w:noProof/>
        </w:rPr>
        <w:t>ket teljesíti; ha több ilyen személy is rendelkezésre áll, közülük bármelyik.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termékmegfelelési információért felelős személy az alábbi feladatokat látja el: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ha a termékre vonatkozó uniós harmonizációs jogszabályok EU-megfelelőségi nyilatkozatot és mű</w:t>
      </w:r>
      <w:r>
        <w:rPr>
          <w:noProof/>
        </w:rPr>
        <w:t>szaki dokumentációt írnak elő, a nyilatkozatot és a műszaki dokumentációt az adott jogszabály által meghatározott időszakig a piacfelügyeleti hatóságok számára elérhetővé teszi;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piacfelügyeleti hatóság indokolt kérésére átad az adott hatóság részére a t</w:t>
      </w:r>
      <w:r>
        <w:rPr>
          <w:noProof/>
        </w:rPr>
        <w:t>ermék megfelelőségének igazolásához szükséges minden információt és dokumentációt, mégpedig az Unió valamely, az érintett tagállam által meghatározott hivatalos nyelvén;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felkérésre együttműködik a piacfelügyeleti hatóságokkal valamely termék jelentette </w:t>
      </w:r>
      <w:r>
        <w:rPr>
          <w:noProof/>
        </w:rPr>
        <w:t>veszély megszüntetése vagy, ha az nem lehetséges, csökkentése érdekében tett intézkedések kapcsán.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termék tekintetében a termékmegfelelési információért felelős személy megnevezését és elérhetőségeit a gyártók a saját honlapjukon, vagy ennek hiányában ol</w:t>
      </w:r>
      <w:r>
        <w:rPr>
          <w:noProof/>
        </w:rPr>
        <w:t xml:space="preserve">yan eszközön teszik közzé, amelyen keresztül az Unió lakossága az információhoz könnyen és ingyenesen hozzáférhet.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termék tekintetében a termékmegfelelési információért felelős személy megnevezését és elérhetőségeit vagy az azok beazonosítására szolgáló</w:t>
      </w:r>
      <w:r>
        <w:rPr>
          <w:noProof/>
        </w:rPr>
        <w:t xml:space="preserve"> információt a terméken, annak csomagolásán, az árukötegen vagy a kísérő dokumentumokon fel kell tüntetni.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Az (1) bekezdés alkalmazásában: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 gyártó az (1) bekezdés a) pontjának ii. alpontjában meghatározott személyt kijelölhet függetlenül attól, hogy a</w:t>
      </w:r>
      <w:r>
        <w:rPr>
          <w:noProof/>
        </w:rPr>
        <w:t xml:space="preserve"> termékre vonatkozó uniós harmonizációs jogszabályok szerint jogosult-e vagy köteles-e meghatalmazott képviselőt kijelölni vagy sem;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ha az uniós harmonizációs jogszabályok szerint a gyártó esetében fennáll e jogosultság vagy kötelezettség, a meghatalmaz</w:t>
      </w:r>
      <w:r>
        <w:rPr>
          <w:noProof/>
        </w:rPr>
        <w:t>ott képviselő adott jogszabály szerint történő kijelölése az (1) bekezdés a) pontjának ii. alpontja céljából történő kijelölésnek tekinthető, amennyiben a kijelölés megfelel a bekezdésben meghatározott követelményeknek.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 xml:space="preserve">E cikk nem vonatkozik az </w:t>
      </w:r>
      <w:hyperlink r:id="rId18">
        <w:r>
          <w:rPr>
            <w:rStyle w:val="Hyperlink"/>
            <w:noProof/>
            <w:color w:val="auto"/>
          </w:rPr>
          <w:t>1223/2009/EK</w:t>
        </w:r>
      </w:hyperlink>
      <w:r>
        <w:rPr>
          <w:noProof/>
        </w:rPr>
        <w:t>, az (EU) 2017/745, az (EU) 2017/746 vagy az (EU) 2017/1369 rendelet hatálya alá tartozó termékekre.</w:t>
      </w:r>
    </w:p>
    <w:p w:rsidR="001E667A" w:rsidRDefault="005F0856">
      <w:pPr>
        <w:pStyle w:val="Titrearticle"/>
        <w:ind w:left="720"/>
        <w:rPr>
          <w:noProof/>
        </w:rPr>
      </w:pPr>
      <w:r>
        <w:rPr>
          <w:noProof/>
        </w:rPr>
        <w:t>5. cikk</w:t>
      </w:r>
    </w:p>
    <w:p w:rsidR="001E667A" w:rsidRDefault="005F0856">
      <w:pPr>
        <w:jc w:val="center"/>
        <w:rPr>
          <w:b/>
          <w:noProof/>
        </w:rPr>
      </w:pPr>
      <w:r>
        <w:rPr>
          <w:b/>
          <w:noProof/>
        </w:rPr>
        <w:t>Megfelelőségi nyilatkozat</w:t>
      </w:r>
    </w:p>
    <w:p w:rsidR="001E667A" w:rsidRDefault="005F0856">
      <w:pPr>
        <w:rPr>
          <w:noProof/>
        </w:rPr>
      </w:pPr>
      <w:r>
        <w:rPr>
          <w:noProof/>
        </w:rPr>
        <w:t>Ha az uniós harm</w:t>
      </w:r>
      <w:r>
        <w:rPr>
          <w:noProof/>
        </w:rPr>
        <w:t>onizációs jogszabályok EU-megfelelőségi nyilatkozat elkészítését írják elő, a gyártók a nyilatkozatot közzéteszik a saját honlapjukon vagy ennek hiányában olyan eszközön, amelyen keresztül az Unió lakossága az információhoz könnyen és ingyenesen hozzáférhe</w:t>
      </w:r>
      <w:r>
        <w:rPr>
          <w:noProof/>
        </w:rPr>
        <w:t>t.</w:t>
      </w:r>
    </w:p>
    <w:p w:rsidR="001E667A" w:rsidRDefault="005F0856">
      <w:pPr>
        <w:pStyle w:val="ChapterTitle"/>
        <w:rPr>
          <w:noProof/>
        </w:rPr>
      </w:pPr>
      <w:r>
        <w:rPr>
          <w:noProof/>
        </w:rPr>
        <w:t>III. fejezet</w:t>
      </w:r>
    </w:p>
    <w:p w:rsidR="001E667A" w:rsidRDefault="005F0856">
      <w:pPr>
        <w:pStyle w:val="ChapterTitle"/>
        <w:rPr>
          <w:noProof/>
        </w:rPr>
      </w:pPr>
      <w:r>
        <w:rPr>
          <w:noProof/>
        </w:rPr>
        <w:t xml:space="preserve"> Segítségnyújtás a gazdasági szereplőknek és a velük való együttműködés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6. cikk</w:t>
      </w:r>
    </w:p>
    <w:p w:rsidR="001E667A" w:rsidRDefault="005F0856">
      <w:pPr>
        <w:jc w:val="center"/>
        <w:rPr>
          <w:rFonts w:eastAsia="Times New Roman"/>
          <w:b/>
          <w:bCs/>
          <w:noProof/>
        </w:rPr>
      </w:pPr>
      <w:r>
        <w:rPr>
          <w:b/>
          <w:noProof/>
        </w:rPr>
        <w:t>A gazdasági szereplő tájékoztatása</w:t>
      </w:r>
    </w:p>
    <w:p w:rsidR="001E667A" w:rsidRDefault="005F0856">
      <w:pPr>
        <w:rPr>
          <w:rFonts w:eastAsia="Times New Roman"/>
          <w:i/>
          <w:noProof/>
        </w:rPr>
      </w:pPr>
      <w:r>
        <w:rPr>
          <w:noProof/>
        </w:rPr>
        <w:t>A [</w:t>
      </w:r>
      <w:r>
        <w:rPr>
          <w:i/>
          <w:noProof/>
        </w:rPr>
        <w:t>764/2008/EK európai parlamenti és tanácsi rendeletben/az (EU) [...]európai parlamenti és tanácsi rendeletben</w:t>
      </w:r>
      <w:r>
        <w:rPr>
          <w:noProof/>
        </w:rPr>
        <w:t xml:space="preserve">] említett </w:t>
      </w:r>
      <w:r>
        <w:rPr>
          <w:noProof/>
        </w:rPr>
        <w:t>termékügyi kapcsolattartó pontok a gazdasági szereplők részére – azok kérésére és ingyenesen – tájékoztatást nyújtanak a valamely termékre vonatkozó uniós harmonizációs jogszabályok tekintetében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7. cikk</w:t>
      </w:r>
    </w:p>
    <w:p w:rsidR="001E667A" w:rsidRDefault="005F0856">
      <w:pPr>
        <w:jc w:val="center"/>
        <w:rPr>
          <w:rFonts w:eastAsia="Times New Roman"/>
          <w:b/>
          <w:bCs/>
          <w:noProof/>
        </w:rPr>
      </w:pPr>
      <w:r>
        <w:rPr>
          <w:b/>
          <w:noProof/>
        </w:rPr>
        <w:t>A megfelelőséghez kapcsolódó partnerségi megállapodás</w:t>
      </w:r>
      <w:r>
        <w:rPr>
          <w:b/>
          <w:noProof/>
        </w:rPr>
        <w:t>ok</w:t>
      </w:r>
    </w:p>
    <w:p w:rsidR="001E667A" w:rsidRDefault="005F0856">
      <w:pPr>
        <w:pStyle w:val="Point0number"/>
        <w:numPr>
          <w:ilvl w:val="0"/>
          <w:numId w:val="17"/>
        </w:numPr>
        <w:rPr>
          <w:noProof/>
        </w:rPr>
      </w:pPr>
      <w:r>
        <w:rPr>
          <w:noProof/>
        </w:rPr>
        <w:t xml:space="preserve">A piacfelügyeleti hatóság partnerségi megállapodást köthet a területén letelepedett gazdasági szereplővel, amelynek értelmében a piacfelügyeleti hatóság vállalja, hogy a gazdasági szereplőt az annak felelősségi körébe tartozó termékekre vonatkozó uniós </w:t>
      </w:r>
      <w:r>
        <w:rPr>
          <w:noProof/>
        </w:rPr>
        <w:t>harmonizációs jogszabályok tekintetében tanácsokkal és iránymutatással látja el.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t>A megállapodás nem terjedhet ki megfelelőségértékelési tevékenységek elvégzésére, amire az uniós harmonizációs jogszabályoknak megfelelően bejelentett szervezetek kapnak megbí</w:t>
      </w:r>
      <w:r>
        <w:rPr>
          <w:noProof/>
        </w:rPr>
        <w:t xml:space="preserve">zást.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 xml:space="preserve">Ha valamely piacfelügyeleti hatóság az (1) bekezdésnek megfelelő partnerségi megállapodásra lép, e tényt, valamint a megállapodás hatályával kapcsolatos részleteket, a saját és a gazdasági szereplő megnevezését és címét be kell vinnie a 34. cikkben </w:t>
      </w:r>
      <w:r>
        <w:rPr>
          <w:noProof/>
        </w:rPr>
        <w:t>említett rendszerbe.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Ha valamely piacfelügyeleti hatóság az (1) bekezdésnek megfelelő partnerségi megállapodásra lép, a többi piacfelügyeleti hatóság értesíti az érintett hatóságot – az uniós harmonizációs jogszabályok teljesítéséhez kapcsolódóan – az adot</w:t>
      </w:r>
      <w:r>
        <w:rPr>
          <w:noProof/>
        </w:rPr>
        <w:t>t gazdasági szereplő ellen általa meghozott bármely ideiglenes intézkedésről, és a gazdasági szerelő által megtett bármely korrekciós intézkedésről.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Az (1) bekezdésnek megfelelő partnerségi megállapodásra lépő piacfelügyeleti hatóság az (1) és a (2) bekezd</w:t>
      </w:r>
      <w:r>
        <w:rPr>
          <w:noProof/>
        </w:rPr>
        <w:t xml:space="preserve">és szerinti feladatai ellátása kapcsán észszerűen felmerülő költségek összegét díj formájában a gazdasági szereplőre terhelheti. 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8. cikk</w:t>
      </w:r>
    </w:p>
    <w:p w:rsidR="001E667A" w:rsidRDefault="005F0856">
      <w:pPr>
        <w:jc w:val="center"/>
        <w:rPr>
          <w:rFonts w:eastAsia="Times New Roman"/>
          <w:b/>
          <w:bCs/>
          <w:noProof/>
        </w:rPr>
      </w:pPr>
      <w:r>
        <w:rPr>
          <w:b/>
          <w:noProof/>
        </w:rPr>
        <w:t>Az érdekelt felekkel megkötött egyetértési megállapodás</w:t>
      </w:r>
    </w:p>
    <w:p w:rsidR="001E667A" w:rsidRDefault="005F0856">
      <w:pPr>
        <w:pStyle w:val="Point0number"/>
        <w:numPr>
          <w:ilvl w:val="0"/>
          <w:numId w:val="18"/>
        </w:numPr>
        <w:rPr>
          <w:noProof/>
        </w:rPr>
      </w:pPr>
      <w:r>
        <w:rPr>
          <w:noProof/>
        </w:rPr>
        <w:t>A piacfelügyeleti hatóságok a vállalkozásokkal vagy a vállalko</w:t>
      </w:r>
      <w:r>
        <w:rPr>
          <w:noProof/>
        </w:rPr>
        <w:t>zásokat vagy a végfelhasználókat képviselő szervezetekkel egyetértési megállapodásokat köthetnek, meghatározott termékkategóriák tekintetében vagy meghatározott földrajzi területeken a meg nem felelés feltárására vagy a megfelelés erősítésére irányuló tevé</w:t>
      </w:r>
      <w:r>
        <w:rPr>
          <w:noProof/>
        </w:rPr>
        <w:t xml:space="preserve">kenységek közös végrehajtása vagy finanszírozása érdekében. 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t>Az adott piacfelügyeleti hatóság hozzáférhetővé teszi a megállapodást a nyilvánosság számára, valamint beviszi a 34. cikkben szereplő rendszerbe.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piacfelügyeleti hatóság valamely meg nem felelésre irányuló általa végzett vizsgálat részeként megkötött (1) bekezdés szerinti egyetértési megállapodáshoz felhasználhat bármely, más fél által elvégzett vagy finanszírozott tevékenység eredményként keletke</w:t>
      </w:r>
      <w:r>
        <w:rPr>
          <w:noProof/>
        </w:rPr>
        <w:t xml:space="preserve">zett információt, feltéve, hogy az adott tevékenység megvalósítása független, pártatlan és elfogulatlan módon történt.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piacfelügyeleti hatóságok és az (1) bekezdésben említett vállalkozások vagy szervezetek között, az általuk az adott bekezdés szerint m</w:t>
      </w:r>
      <w:r>
        <w:rPr>
          <w:noProof/>
        </w:rPr>
        <w:t>egkötött egyetértési megállapodás előkészítése vagy megvalósítása céljából történő minden információmegosztást úgy kell tekinteni, hogy az nem sérti a szakmai titoktartás követelményét.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 xml:space="preserve">9. cikk </w:t>
      </w:r>
    </w:p>
    <w:p w:rsidR="001E667A" w:rsidRDefault="005F0856">
      <w:pPr>
        <w:jc w:val="center"/>
        <w:rPr>
          <w:rFonts w:eastAsia="Times New Roman"/>
          <w:b/>
          <w:bCs/>
          <w:noProof/>
        </w:rPr>
      </w:pPr>
      <w:r>
        <w:rPr>
          <w:b/>
          <w:noProof/>
        </w:rPr>
        <w:t>Az önkéntes intézkedések közzététele</w:t>
      </w:r>
    </w:p>
    <w:p w:rsidR="001E667A" w:rsidRDefault="005F0856">
      <w:pPr>
        <w:pStyle w:val="Point0number"/>
        <w:numPr>
          <w:ilvl w:val="0"/>
          <w:numId w:val="19"/>
        </w:numPr>
        <w:rPr>
          <w:noProof/>
        </w:rPr>
      </w:pPr>
      <w:r>
        <w:rPr>
          <w:noProof/>
        </w:rPr>
        <w:t>A Bizottság internetes p</w:t>
      </w:r>
      <w:r>
        <w:rPr>
          <w:noProof/>
        </w:rPr>
        <w:t>ortált hoz létre és tart fenn, amelyen a gazdasági szereplők a 2001/95/EK irányelvben meghatározott termékek vagy az általuk forgalmazott, és egy tagállam területén túlterjedő veszélyt jelentő termékek tekintetében általuk meghozott önkéntes intézkedésekre</w:t>
      </w:r>
      <w:r>
        <w:rPr>
          <w:noProof/>
        </w:rPr>
        <w:t xml:space="preserve"> vonatkozó információkat tehetnek közzé. 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t>Az internetes portálnak olyannak kell lennie, hogy ahhoz a végfelhasználók és a piacfelügyeleti hatóságok is hozzáférjenek.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Ha egy gazdasági szereplő információt kíván közzétenni az (1) bekezdésben említett portálo</w:t>
      </w:r>
      <w:r>
        <w:rPr>
          <w:noProof/>
        </w:rPr>
        <w:t>n, biztosítania kell, hogy a közzétett információ alapján a termék pontosan beazonosítható, és hogy a veszély ismertetése olyan módon történik, hogy az alapján a végfelhasználók meg tudják ítélni, hogy mi a veszélyre adandó megfelelő válaszlépés. Az inform</w:t>
      </w:r>
      <w:r>
        <w:rPr>
          <w:noProof/>
        </w:rPr>
        <w:t>ációt azon tagállamok minden hivatalos nyelvén közzé kell tenni, ahol a terméket forgalmazzák; a tájékoztatásért, valamint az információ pontosságáért pedig a gazdasági szereplők vállalják a felelősséget.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Az (1) bekezdésben meghatározott közzététel nem éri</w:t>
      </w:r>
      <w:r>
        <w:rPr>
          <w:noProof/>
        </w:rPr>
        <w:t>nti az uniós harmonizációs jogszabályok vagy a 2001/95/EK irányelv által a gazdasági szereplőkre vonatkozóan meghatározott kötelezettségeket.</w:t>
      </w:r>
    </w:p>
    <w:p w:rsidR="001E667A" w:rsidRDefault="005F0856">
      <w:pPr>
        <w:pStyle w:val="ChapterTitle"/>
        <w:rPr>
          <w:noProof/>
        </w:rPr>
      </w:pPr>
      <w:r>
        <w:rPr>
          <w:noProof/>
        </w:rPr>
        <w:t>IV. fejezet</w:t>
      </w:r>
    </w:p>
    <w:p w:rsidR="001E667A" w:rsidRDefault="005F0856">
      <w:pPr>
        <w:pStyle w:val="ChapterTitle"/>
        <w:rPr>
          <w:noProof/>
        </w:rPr>
      </w:pPr>
      <w:r>
        <w:rPr>
          <w:noProof/>
        </w:rPr>
        <w:t>A piacfelügyelet szervezete és általános alapelvei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10. cikk</w:t>
      </w:r>
    </w:p>
    <w:p w:rsidR="001E667A" w:rsidRDefault="005F0856">
      <w:pPr>
        <w:jc w:val="center"/>
        <w:rPr>
          <w:b/>
          <w:noProof/>
        </w:rPr>
      </w:pPr>
      <w:r>
        <w:rPr>
          <w:b/>
          <w:noProof/>
        </w:rPr>
        <w:t>A piacfelügyeleti hatóságok szervezet teki</w:t>
      </w:r>
      <w:r>
        <w:rPr>
          <w:b/>
          <w:noProof/>
        </w:rPr>
        <w:t>ntetében fennálló kötelezettsége</w:t>
      </w:r>
    </w:p>
    <w:p w:rsidR="001E667A" w:rsidRDefault="005F0856">
      <w:pPr>
        <w:pStyle w:val="Point0number"/>
        <w:numPr>
          <w:ilvl w:val="0"/>
          <w:numId w:val="20"/>
        </w:numPr>
        <w:rPr>
          <w:noProof/>
        </w:rPr>
      </w:pPr>
      <w:r>
        <w:rPr>
          <w:noProof/>
        </w:rPr>
        <w:t>A piacfelügyeleti hatóságok megfelelő kommunikációt és koordinációs mechanizmusokat alakítanak ki a többi piacfelügyeleti hatósággal.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piacfelügyeleti hatóságok a mellékletben meghatározott uniós harmonizációs jogszabályok</w:t>
      </w:r>
      <w:r>
        <w:rPr>
          <w:noProof/>
        </w:rPr>
        <w:t xml:space="preserve"> hatálya alá tartozó termékekkel kapcsolatban az alábbi eljárásokat alakítják ki: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 veszélyekhez kapcsolódó problémákra vonatkozó panaszok és jelentések után követését szolgáló eljárásokat;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 feltételezhetően azon termékek által okozott balesetek va</w:t>
      </w:r>
      <w:r>
        <w:rPr>
          <w:noProof/>
        </w:rPr>
        <w:t xml:space="preserve">gy a végfelhasználók egészségét és biztonságát érő veszélyek figyelemmel kísérését szolgáló eljárásokat;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a gazdasági szereplők által végrehajtandó korrekciós intézkedések megtételének ellenőrzését szolgáló eljárásokat;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a biztonsági kérdéseket érint</w:t>
      </w:r>
      <w:r>
        <w:rPr>
          <w:noProof/>
        </w:rPr>
        <w:t>ő tudományos és technikai ismeretek összegyűjtését és felderítését szolgáló eljárásokat.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11. cikk</w:t>
      </w:r>
    </w:p>
    <w:p w:rsidR="001E667A" w:rsidRDefault="005F0856">
      <w:pPr>
        <w:jc w:val="center"/>
        <w:rPr>
          <w:rFonts w:eastAsia="Times New Roman"/>
          <w:b/>
          <w:bCs/>
          <w:noProof/>
        </w:rPr>
      </w:pPr>
      <w:r>
        <w:rPr>
          <w:b/>
          <w:noProof/>
        </w:rPr>
        <w:t xml:space="preserve">Piacfelügyeleti hatóságok és összekötő hivatalok </w:t>
      </w:r>
    </w:p>
    <w:p w:rsidR="001E667A" w:rsidRDefault="005F0856">
      <w:pPr>
        <w:pStyle w:val="Point0number"/>
        <w:numPr>
          <w:ilvl w:val="0"/>
          <w:numId w:val="21"/>
        </w:numPr>
        <w:rPr>
          <w:noProof/>
        </w:rPr>
      </w:pPr>
      <w:r>
        <w:rPr>
          <w:noProof/>
        </w:rPr>
        <w:t>Minden egyes tagállam kijelöl a területén egy vagy több piacfelügyeleti hatóságot. Az általa kijelölt piacfe</w:t>
      </w:r>
      <w:r>
        <w:rPr>
          <w:noProof/>
        </w:rPr>
        <w:t>lügyeleti hatóságokról és azok mindegyikének illetékességi területéről a 31. cikknek megfelelően létrehozott hálózaton keresztül és a 34. cikkben szereplő információs és kommunikációs rendszert igénybe véve értesíti a Bizottságot és a többi tagállamot.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Min</w:t>
      </w:r>
      <w:r>
        <w:rPr>
          <w:noProof/>
        </w:rPr>
        <w:t>den egyes tagállam kijelöli összekötő hivatalnak valamely piacfelügyeleti hatóságát vagy egy másik illetékes hatóságot.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Az összekötő hivatal felel a tagállam által kijelölt piacfelügyeleti hatóságok végrehajtási és piacfelügyeleti tevékenységének koordinác</w:t>
      </w:r>
      <w:r>
        <w:rPr>
          <w:noProof/>
        </w:rPr>
        <w:t xml:space="preserve">iójáért.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tagállamok biztosítják a piacfelügyeleti hatóságaik és az összekötő hivataluk számára a feladataik megfelelő ellátásához szükséges erőforrásokat, többek között elegendő költségvetési és egyéb forrást, szakértelmet, eljárásokat és egyéb szabályo</w:t>
      </w:r>
      <w:r>
        <w:rPr>
          <w:noProof/>
        </w:rPr>
        <w:t xml:space="preserve">kat.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Amennyiben valamely tagállam területén több piacfelügyeleti hatóság is van, a tagállam biztosítja, hogy egyértelműen meghatározzák az egyes hatóságok feladatait, és hogy e hatóságok szorosan együttműködjenek annak érdekében, hogy mindegyikük eredmény</w:t>
      </w:r>
      <w:r>
        <w:rPr>
          <w:noProof/>
        </w:rPr>
        <w:t>esen végre tudja hajtani a feladatait.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12. cikk</w:t>
      </w:r>
    </w:p>
    <w:p w:rsidR="001E667A" w:rsidRDefault="005F0856">
      <w:pPr>
        <w:jc w:val="center"/>
        <w:rPr>
          <w:rFonts w:eastAsia="Times New Roman"/>
          <w:b/>
          <w:bCs/>
          <w:noProof/>
        </w:rPr>
      </w:pPr>
      <w:r>
        <w:rPr>
          <w:b/>
          <w:noProof/>
        </w:rPr>
        <w:t>A piacfelügyeleti hatóságok tevékenységei</w:t>
      </w:r>
    </w:p>
    <w:p w:rsidR="001E667A" w:rsidRDefault="005F0856">
      <w:pPr>
        <w:pStyle w:val="Point0number"/>
        <w:numPr>
          <w:ilvl w:val="0"/>
          <w:numId w:val="22"/>
        </w:numPr>
        <w:rPr>
          <w:noProof/>
        </w:rPr>
      </w:pPr>
      <w:r>
        <w:rPr>
          <w:noProof/>
        </w:rPr>
        <w:t xml:space="preserve">A piacfelügyeleti hatóságok tevékenységüket az alábbiak biztosítása érdekében végzik: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 területükön belül a piac hatékony felügyelete a mellékletben meghatározott</w:t>
      </w:r>
      <w:r>
        <w:rPr>
          <w:noProof/>
        </w:rPr>
        <w:t xml:space="preserve"> uniós harmonizációs jogszabályok hatálya alá tartozó termékek tekintetében;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azon jogszabályok és e rendelet teljesítéséhez kapcsolódóan a megfelelő és arányos ideiglenes intézkedések általuk történő meghozatala, és a megfelelő és arányos korrekciós int</w:t>
      </w:r>
      <w:r>
        <w:rPr>
          <w:noProof/>
        </w:rPr>
        <w:t>ézkedések gazdasági szereplők által történő megtétele.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piacfelügyeleti hatóságok az (1) bekezdésben meghatározott tevékenységeik részeként – kockázatlapú megközelítésre épülő – ellenőrzéseket végeznek legalább az alábbi tényezőket figyelembe véve: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az </w:t>
      </w:r>
      <w:r>
        <w:rPr>
          <w:noProof/>
        </w:rPr>
        <w:t xml:space="preserve">alábbiak kapcsán azonosított kockázatokat: </w:t>
      </w:r>
    </w:p>
    <w:p w:rsidR="001E667A" w:rsidRDefault="005F0856">
      <w:pPr>
        <w:pStyle w:val="Text2"/>
        <w:tabs>
          <w:tab w:val="left" w:pos="2268"/>
        </w:tabs>
        <w:ind w:left="2268" w:hanging="851"/>
        <w:rPr>
          <w:noProof/>
        </w:rPr>
      </w:pPr>
      <w:r>
        <w:rPr>
          <w:noProof/>
        </w:rPr>
        <w:t xml:space="preserve">i. </w:t>
      </w:r>
      <w:r>
        <w:rPr>
          <w:noProof/>
        </w:rPr>
        <w:tab/>
        <w:t xml:space="preserve">a termék, így a forgalmazott termékek száma és az adott termékkel kapcsolatos veszélyek; </w:t>
      </w:r>
    </w:p>
    <w:p w:rsidR="001E667A" w:rsidRDefault="005F0856">
      <w:pPr>
        <w:pStyle w:val="Text2"/>
        <w:tabs>
          <w:tab w:val="left" w:pos="2268"/>
        </w:tabs>
        <w:ind w:left="2268" w:hanging="851"/>
        <w:rPr>
          <w:noProof/>
        </w:rPr>
      </w:pPr>
      <w:r>
        <w:rPr>
          <w:noProof/>
        </w:rPr>
        <w:t xml:space="preserve">ii. </w:t>
      </w:r>
      <w:r>
        <w:rPr>
          <w:noProof/>
        </w:rPr>
        <w:tab/>
        <w:t>a gazdasági szereplő ellenőrzése alatt álló tevékenységek és műveletek;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 gazdasági szereplő korábbi meg nem f</w:t>
      </w:r>
      <w:r>
        <w:rPr>
          <w:noProof/>
        </w:rPr>
        <w:t xml:space="preserve">elelésével kapcsolatosan nyilvántartott adatokat, egyebek mellett az engedélyezett gazdálkodók kockázati profilját és státusát;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bármilyen további információt, amely egy adott termék tekintetében a meg nem felelést jelezheti.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piacfelügyeleti hatóságok</w:t>
      </w:r>
      <w:r>
        <w:rPr>
          <w:noProof/>
        </w:rPr>
        <w:t xml:space="preserve"> biztosítják a termék piacról történő visszahívását vagy kivonását, vagy a termék forgalmazásának betiltását vagy korlátozását, amennyiben a rendeltetésszerű és észszerűen előrelátható körülmények közötti használat, valamint megfelelő üzembe helyezés és ka</w:t>
      </w:r>
      <w:r>
        <w:rPr>
          <w:noProof/>
        </w:rPr>
        <w:t>rbantartás mellett, az alábbi feltételek bármelyike teljesül: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 termék veszélyeztetheti a végfelhasználók egészségét vagy biztonságát;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termék nem teljesíti az uniós harmonizációs jogszabályok szerint rá vonatkozó követelményeket. 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t>Ha egy termék kiv</w:t>
      </w:r>
      <w:r>
        <w:rPr>
          <w:noProof/>
        </w:rPr>
        <w:t>onására, visszahívására, betiltására vagy korlátozására kerül sor, a piacfelügyeleti hatóság gondoskodik a Bizottság a 31. cikk szerint létrehozott hálózaton keresztül történő, a többi tagállam és a végfelhasználók megfelelő tájékoztatásáról.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piacfelügye</w:t>
      </w:r>
      <w:r>
        <w:rPr>
          <w:noProof/>
        </w:rPr>
        <w:t>leti hatóságok tevékenységeiket magas szintű átláthatóságot biztosítva végzik, és biztosítják a lakosság hozzáférését az általuk a lakosság számára relevánsnak tartott minden információhoz. Ezenkívül biztosítják, hogy a 34. cikkben említett rendszerbe bevi</w:t>
      </w:r>
      <w:r>
        <w:rPr>
          <w:noProof/>
        </w:rPr>
        <w:t xml:space="preserve">telre kerüljenek az alábbi információk: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az általuk elvégzett ellenőrzések típusa, száma és kimenetele;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az általuk feltárt meg nem felelések típusa és száma;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az általuk a gazdasági szereplőkkel szemben meghozott ideiglenes intézkedések jellege, va</w:t>
      </w:r>
      <w:r>
        <w:rPr>
          <w:noProof/>
        </w:rPr>
        <w:t>lamint a gazdasági szereplők által megtett korrekciós intézkedések jellege;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azon meg nem felelésekre vonatkozó információ, amelyekre tekintettel szankciót állapítottak meg.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piacfelügyeleti hatóságok függetlenül, pártatlanul és elfogulatlanul gyakorolj</w:t>
      </w:r>
      <w:r>
        <w:rPr>
          <w:noProof/>
        </w:rPr>
        <w:t>ák a hatásköreiket és végzik feladataikat.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13. cikk</w:t>
      </w:r>
    </w:p>
    <w:p w:rsidR="001E667A" w:rsidRDefault="005F0856">
      <w:pPr>
        <w:jc w:val="center"/>
        <w:rPr>
          <w:rFonts w:eastAsia="Times New Roman"/>
          <w:b/>
          <w:bCs/>
          <w:noProof/>
        </w:rPr>
      </w:pPr>
      <w:r>
        <w:rPr>
          <w:b/>
          <w:noProof/>
        </w:rPr>
        <w:t>Nemzeti piacfelügyeleti stratégiák</w:t>
      </w:r>
    </w:p>
    <w:p w:rsidR="001E667A" w:rsidRDefault="005F0856">
      <w:pPr>
        <w:pStyle w:val="Point0number"/>
        <w:numPr>
          <w:ilvl w:val="0"/>
          <w:numId w:val="23"/>
        </w:numPr>
        <w:rPr>
          <w:noProof/>
        </w:rPr>
      </w:pPr>
      <w:r>
        <w:rPr>
          <w:noProof/>
        </w:rPr>
        <w:t>Minden egyes tagállam legalább 3 évente nemzeti piacfelügyeleti stratégiát készít. A stratégiának elő kell mozdítania a piacfelügyelethez és az uniós harmonizációs jogsz</w:t>
      </w:r>
      <w:r>
        <w:rPr>
          <w:noProof/>
        </w:rPr>
        <w:t xml:space="preserve">abályok tagállam területén történő végrehajtásához való következetes, átfogó és integrált megközelítést, valamint le kell fednie minden ágazatot és a termékellátási lánc minden szakaszát, a behozatalt és a digitális ellátási láncot is beleértve.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nemzeti</w:t>
      </w:r>
      <w:r>
        <w:rPr>
          <w:noProof/>
        </w:rPr>
        <w:t xml:space="preserve"> piacfelügyeleti stratégiának legalább az alábbi elemeket kell tartalmaznia: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</w:r>
      <w:r>
        <w:rPr>
          <w:noProof/>
        </w:rPr>
        <w:t>a nem megfelelő termékek előfordulására vonatkozó értékelést, figyelembe véve különösen a 12. cikk (2) bekezdésében és a 26. cikk (3) bekezdésében hivatkozott kockázatalapú ellenőrzéseket, valamint a termékkategóriákon belüli meg nem felelési arányokat bef</w:t>
      </w:r>
      <w:r>
        <w:rPr>
          <w:noProof/>
        </w:rPr>
        <w:t xml:space="preserve">olyásoló piaci trendeket;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az uniós harmonizációs jogszabályok végrehajtása szempontjából prioritásként meghatározott területeket;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a meg nem felelések prioritásként meghatározott területeken való előfordulásának csökkentése érdekében tervezett végreh</w:t>
      </w:r>
      <w:r>
        <w:rPr>
          <w:noProof/>
        </w:rPr>
        <w:t>ajtási tevékenységeket, többek között, ahol releváns, a jelentős mértékű meg nem feleléssel bíró termékkategóriákra előirányzott minimális ellenőrzési intenzitást;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az e rendelet szerinti piacfelügyeleti tevékenységek eredményes végrehajtásának és koordi</w:t>
      </w:r>
      <w:r>
        <w:rPr>
          <w:noProof/>
        </w:rPr>
        <w:t>nációjának értékelését, és adott esetben a kapacitásbővítési igények és intézkedések feltárását;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 xml:space="preserve">a más tagállamok piacfelügyeleti hatóságaival létrejövő együttműködések, és adott esetben közös fellépések értékelését;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 xml:space="preserve">a stratégia megvalósítása terén </w:t>
      </w:r>
      <w:r>
        <w:rPr>
          <w:noProof/>
        </w:rPr>
        <w:t xml:space="preserve">elért haladás mérésére és az e rendeletnek való megfelelés ellenőrzésére irányuló nyomon követési programot.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 xml:space="preserve">A tagállamok a 34. cikkben szereplő rendszeren keresztül nyilvánosságra hozzák a nemzeti piacfelügyeleti stratégiájukat. </w:t>
      </w:r>
    </w:p>
    <w:p w:rsidR="001E667A" w:rsidRDefault="001E667A">
      <w:pPr>
        <w:rPr>
          <w:noProof/>
        </w:rPr>
      </w:pPr>
    </w:p>
    <w:p w:rsidR="001E667A" w:rsidRDefault="005F0856">
      <w:pPr>
        <w:pStyle w:val="ChapterTitle"/>
        <w:rPr>
          <w:noProof/>
        </w:rPr>
      </w:pPr>
      <w:r>
        <w:rPr>
          <w:noProof/>
        </w:rPr>
        <w:t>V. fejezet</w:t>
      </w:r>
    </w:p>
    <w:p w:rsidR="001E667A" w:rsidRDefault="005F0856">
      <w:pPr>
        <w:pStyle w:val="ChapterTitle"/>
        <w:rPr>
          <w:noProof/>
        </w:rPr>
      </w:pPr>
      <w:r>
        <w:rPr>
          <w:noProof/>
        </w:rPr>
        <w:t>Piacfelügyel</w:t>
      </w:r>
      <w:r>
        <w:rPr>
          <w:noProof/>
        </w:rPr>
        <w:t xml:space="preserve">eti hatáskörök és intézkedések 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14. cikk</w:t>
      </w:r>
    </w:p>
    <w:p w:rsidR="001E667A" w:rsidRDefault="005F0856">
      <w:pPr>
        <w:jc w:val="center"/>
        <w:rPr>
          <w:rFonts w:eastAsia="Times New Roman"/>
          <w:b/>
          <w:bCs/>
          <w:noProof/>
        </w:rPr>
      </w:pPr>
      <w:r>
        <w:rPr>
          <w:b/>
          <w:noProof/>
        </w:rPr>
        <w:t xml:space="preserve">A piacfelügyeleti hatóságok hatáskörei és feladatai </w:t>
      </w:r>
    </w:p>
    <w:p w:rsidR="001E667A" w:rsidRDefault="005F0856">
      <w:pPr>
        <w:pStyle w:val="Point0number"/>
        <w:numPr>
          <w:ilvl w:val="0"/>
          <w:numId w:val="24"/>
        </w:numPr>
        <w:rPr>
          <w:noProof/>
        </w:rPr>
      </w:pPr>
      <w:r>
        <w:rPr>
          <w:noProof/>
        </w:rPr>
        <w:t>A tagállamok felruházzák a piacfelügyeleti hatóságaikat az e rendelet és az e rendelet mellékletében meghatározott uniós harmonizációs jogszabályok alkalmazásához</w:t>
      </w:r>
      <w:r>
        <w:rPr>
          <w:noProof/>
        </w:rPr>
        <w:t xml:space="preserve"> szükséges piacfelügyeleti, vizsgálati és végrehajtási hatáskörökkel.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tagállamok az (1) bekezdés szerinti hatáskörök – a (3) bekezdésben előírt hatáskört is beleértve – átruházása esetén előírhatják, hogy a hatásköröket adott esetben az alábbi módok egy</w:t>
      </w:r>
      <w:r>
        <w:rPr>
          <w:noProof/>
        </w:rPr>
        <w:t xml:space="preserve">ikén lehet gyakorolni: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közvetlenül a piacfelügyeleti hatóság által annak saját hatáskörében eljárva;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más közigazgatási szervet igénybe véve;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az adott hatáskör gyakorlásának jóváhagyásához szükséges határozat meghozatala szempontjából illetékes bí</w:t>
      </w:r>
      <w:r>
        <w:rPr>
          <w:noProof/>
        </w:rPr>
        <w:t xml:space="preserve">rósághoz fordulva.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 xml:space="preserve">Az (1) bekezdésnek megfelelően a piacfelügyeleti hatóságokra átruházott hatásköröknek legalább az alábbiakat kell tartalmaznia: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hatáskört arra, hogy a gazdasági szereplőket a 15. cikk szerinti ellenőrzések gyakoriságának meghatározá</w:t>
      </w:r>
      <w:r>
        <w:rPr>
          <w:noProof/>
        </w:rPr>
        <w:t>sához szükséges információk nyújtására kötelezze, egyebek mellett a forgalmazott termékek mennyiségére és az adott gazdasági szereplők tevékenységére vonatkozó információk tekintetében;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hatáskört arra, hogy a gazdasági szereplő szervezetét érintő rendsz</w:t>
      </w:r>
      <w:r>
        <w:rPr>
          <w:noProof/>
        </w:rPr>
        <w:t>erellenőrzést, többek között az e rendelet és a vonatkozó uniós harmonizációs jogszabályok betartásának biztosítását szolgáló eljárásokra kiterjedő ellenőrzést folytasson le;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hatáskört arra, hogy hozzáférjen a meg nem feleléssel kapcsolatos minden relev</w:t>
      </w:r>
      <w:r>
        <w:rPr>
          <w:noProof/>
        </w:rPr>
        <w:t>áns dokumentumhoz, adathoz vagy információhoz, legyen az bármilyen formában vagy formátumban, és függetlenül az adathordozótól és a tárolás helyétől;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hatáskört arra, hogy annak érdekében, hogy a piacfelügyeleti hatóság ki tudja vizsgálni, hogy meg nem f</w:t>
      </w:r>
      <w:r>
        <w:rPr>
          <w:noProof/>
        </w:rPr>
        <w:t>elelés fordult vagy fordul-e elő, valamint megállapítsa az adott meg nem felelésre vonatkozó részleteket, a piacfelügyeleti hatóság a tagállamán belüli bármely közigazgatási szervtől, testülettől vagy ügynökségtől, vagy bármely természetes vagy jogi személ</w:t>
      </w:r>
      <w:r>
        <w:rPr>
          <w:noProof/>
        </w:rPr>
        <w:t>ytől minden tájékoztatást, adatot és dokumentumot bekérjen, legyen az bármilyen formában és formátumban, függetlenül az adathordozótól és a tárolás helyétől, többek között különös tekintettel a pénzmozgások és adatáramlás feltárásához és nyomon követéséhez</w:t>
      </w:r>
      <w:r>
        <w:rPr>
          <w:noProof/>
        </w:rPr>
        <w:t xml:space="preserve">, a pénzmozgásokban és az adatáramlásban érintett személyek személyazonosságának és elérhetőségeinek, valamint a bankszámlák adatainak és a webhelyek tulajdonosainak megállapításához szükséges információra, adatokra vagy dokumentumokra;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hatáskört arra,</w:t>
      </w:r>
      <w:r>
        <w:rPr>
          <w:noProof/>
        </w:rPr>
        <w:t xml:space="preserve"> hogy a piacfelügyeleti hatóság által végzett vizsgálathoz vagy valamely megkereső hatóság kérésére, az alábbiakat megtegye vagy egy másik közigazgatási szervezettől az alábbiak megtételét kérje:</w:t>
      </w:r>
    </w:p>
    <w:p w:rsidR="001E667A" w:rsidRDefault="005F0856">
      <w:pPr>
        <w:pStyle w:val="Point2"/>
        <w:rPr>
          <w:noProof/>
        </w:rPr>
      </w:pPr>
      <w:r>
        <w:rPr>
          <w:noProof/>
        </w:rPr>
        <w:t>1.</w:t>
      </w:r>
      <w:r>
        <w:rPr>
          <w:noProof/>
        </w:rPr>
        <w:tab/>
        <w:t>helyszíni vizsgálatok elvégzését, beleértve a hatáskört a</w:t>
      </w:r>
      <w:r>
        <w:rPr>
          <w:noProof/>
        </w:rPr>
        <w:t>z adott gazdasági szereplő által, annak kereskedelmi, üzleti, kézműipari vagy szakmai tevékenységéhez használt helyiségbe, területre vagy szállítóeszközbe történő belépésre annak érdekében, hogy információt, adatot vagy dokumentumot megvizsgáljon, lefoglal</w:t>
      </w:r>
      <w:r>
        <w:rPr>
          <w:noProof/>
        </w:rPr>
        <w:t>jon, azokról másolatot készítsen vagy a másolatot beszerezze;</w:t>
      </w:r>
    </w:p>
    <w:p w:rsidR="001E667A" w:rsidRDefault="005F0856">
      <w:pPr>
        <w:pStyle w:val="Point2"/>
        <w:rPr>
          <w:noProof/>
        </w:rPr>
      </w:pPr>
      <w:r>
        <w:rPr>
          <w:noProof/>
        </w:rPr>
        <w:t>2.</w:t>
      </w:r>
      <w:r>
        <w:rPr>
          <w:noProof/>
        </w:rPr>
        <w:tab/>
        <w:t>vizsgálat szempontjából szükséges időtartamra és mértékben a vizsgálat során a gazdasági szereplő bármely helyiségének lezárását vagy a tőle származó információ, adat vagy dokumentum lefoglal</w:t>
      </w:r>
      <w:r>
        <w:rPr>
          <w:noProof/>
        </w:rPr>
        <w:t xml:space="preserve">ását; </w:t>
      </w:r>
    </w:p>
    <w:p w:rsidR="001E667A" w:rsidRDefault="005F0856">
      <w:pPr>
        <w:pStyle w:val="Point2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 a gazdasági szereplő bármely képviselőjétől vagy személyzete bármely tagjától magyarázat kérését a vizsgálat tárgyához kapcsolódó tényekkel, információkkal vagy dokumentumokkal kapcsolatban, és a válaszok rögzítését;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>hatáskört arra, hogy a me</w:t>
      </w:r>
      <w:r>
        <w:rPr>
          <w:noProof/>
        </w:rPr>
        <w:t xml:space="preserve">g nem felelés feltárása és bizonyítékok megszerzése érdekében a termékekből ingyenes mintát vegyen;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g)</w:t>
      </w:r>
      <w:r>
        <w:rPr>
          <w:noProof/>
        </w:rPr>
        <w:tab/>
        <w:t>hatáskört arra, hogy a meg nem felelés feltárása és bizonyítékok megszerzése érdekében, többek között álnéven történő próbavásárlásokat végezzen;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h)</w:t>
      </w:r>
      <w:r>
        <w:rPr>
          <w:noProof/>
        </w:rPr>
        <w:tab/>
      </w:r>
      <w:r>
        <w:rPr>
          <w:noProof/>
        </w:rPr>
        <w:t>hatáskört arra, hogy amennyiben valamely súlyos veszély megelőzésére más hatékony eszköz nem áll rendelkezésre, ideiglenes intézkedéseket hozzon meg, többek között különösen a tárhelyszolgáltatóknak a tartalom eltávolítására, az ahhoz való hozzáférés megsz</w:t>
      </w:r>
      <w:r>
        <w:rPr>
          <w:noProof/>
        </w:rPr>
        <w:t>üntetésére vagy korlátozására, valamely webhelyhez, szolgáltatáshoz vagy fiókhoz való hozzáférés felfüggesztésére vagy korlátozására , vagy a domén-nyilvántartóknak és doménregisztrátoroknak valamely teljes doménnév meghatározott időtartamra történő felfüg</w:t>
      </w:r>
      <w:r>
        <w:rPr>
          <w:noProof/>
        </w:rPr>
        <w:t xml:space="preserve">gesztésére való kötelezését előíró ideiglenes intézkedéseket;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i)</w:t>
      </w:r>
      <w:r>
        <w:rPr>
          <w:noProof/>
        </w:rPr>
        <w:tab/>
        <w:t>hatáskört arra, hogy az érintett tagállam területén előforduló meg nem felelés megszüntetése érdekében saját kezdeményezésre vizsgálatot vagy eljárást indítsanak, és adott esetben a vizsgála</w:t>
      </w:r>
      <w:r>
        <w:rPr>
          <w:noProof/>
        </w:rPr>
        <w:t>ttal kapcsolatos információkat a 34. cikkben nevesített rendszeren keresztül közzétegyék;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j)</w:t>
      </w:r>
      <w:r>
        <w:rPr>
          <w:noProof/>
        </w:rPr>
        <w:tab/>
        <w:t xml:space="preserve">hatáskört arra, hogy valamely gazdasági szereplő számára a meg nem felelés megszüntetésére vonatkozó kötelezettségvállalást előírja;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k)</w:t>
      </w:r>
      <w:r>
        <w:rPr>
          <w:noProof/>
        </w:rPr>
        <w:tab/>
        <w:t>hatáskört arra, hogy ha va</w:t>
      </w:r>
      <w:r>
        <w:rPr>
          <w:noProof/>
        </w:rPr>
        <w:t>lamely gazdasági szereplő a piacfelügyeleti hatóság által, valamely termékek megfelelőségének ellenőrzése érdekében kért információk átadását elmulasztja, ameddig e mulasztás fennáll, az adott termék forgalmazását megtiltsa, a termékeket a piacról visszahí</w:t>
      </w:r>
      <w:r>
        <w:rPr>
          <w:noProof/>
        </w:rPr>
        <w:t>vja vagy kivonja vagy megsemmisítse;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l)</w:t>
      </w:r>
      <w:r>
        <w:rPr>
          <w:noProof/>
        </w:rPr>
        <w:tab/>
        <w:t>hatáskört arra, hogy meg nem felelés vagy a piacfelügyeleti hatóság valamely határozatának, végzésének, időszakos intézkedésének vagy bármely más intézkedésének megsértése esetén valamely gazdasági szereplőre vonatko</w:t>
      </w:r>
      <w:r>
        <w:rPr>
          <w:noProof/>
        </w:rPr>
        <w:t>zóan szankciót állapítson meg, többek között pénzbírságot vagy időszakos kényszerítő bírságot szabjon ki;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m)</w:t>
      </w:r>
      <w:r>
        <w:rPr>
          <w:noProof/>
        </w:rPr>
        <w:tab/>
        <w:t xml:space="preserve">hatáskört arra, hogy a meg nem felelésnek köszönhetően megszerzett nyereség visszaszolgáltatását elrendelje;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n)</w:t>
      </w:r>
      <w:r>
        <w:rPr>
          <w:noProof/>
        </w:rPr>
        <w:tab/>
        <w:t>hatáskört arra, hogy az e rendelet</w:t>
      </w:r>
      <w:r>
        <w:rPr>
          <w:noProof/>
        </w:rPr>
        <w:t xml:space="preserve"> szerint hozott végleges határozatokat, végleges intézkedéseket, a gazdasági szereplő által tett kötelezettségvállalást vagy meghozott döntést, többek között a meg nem felelésért felelős gazdasági szereplő megnevezését, közzétegye.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piacfelügyeleti hatós</w:t>
      </w:r>
      <w:r>
        <w:rPr>
          <w:noProof/>
        </w:rPr>
        <w:t>ágok</w:t>
      </w:r>
      <w:r>
        <w:rPr>
          <w:b/>
          <w:noProof/>
        </w:rPr>
        <w:t xml:space="preserve"> </w:t>
      </w:r>
      <w:r>
        <w:rPr>
          <w:noProof/>
        </w:rPr>
        <w:t>a területük vonatkozásában közzéteszik a gazdasági szereplők feléjük tett kötelezettségvállalásait, a gazdasági szereplők által meghozott korrekciós intézkedések részleteit, valamint illetékes piacfelügyeleti hatóság által e rendelettel összhangban me</w:t>
      </w:r>
      <w:r>
        <w:rPr>
          <w:noProof/>
        </w:rPr>
        <w:t>gtett ideiglenes intézkedésekre vonatkozó minden információt.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piacfelügyeleti hatóságok az arányosság elvének megfelelően gyakorolják hatáskörüket.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15. cikk</w:t>
      </w:r>
    </w:p>
    <w:p w:rsidR="001E667A" w:rsidRDefault="005F0856">
      <w:pPr>
        <w:keepNext/>
        <w:spacing w:before="0"/>
        <w:jc w:val="center"/>
        <w:rPr>
          <w:b/>
          <w:noProof/>
        </w:rPr>
      </w:pPr>
      <w:r>
        <w:rPr>
          <w:b/>
          <w:noProof/>
        </w:rPr>
        <w:t>Piacfelügyeleti intézkedések</w:t>
      </w:r>
    </w:p>
    <w:p w:rsidR="001E667A" w:rsidRDefault="005F0856">
      <w:pPr>
        <w:pStyle w:val="Point0number"/>
        <w:numPr>
          <w:ilvl w:val="0"/>
          <w:numId w:val="25"/>
        </w:numPr>
        <w:rPr>
          <w:noProof/>
        </w:rPr>
      </w:pPr>
      <w:r>
        <w:rPr>
          <w:noProof/>
        </w:rPr>
        <w:t>A piacfelügyeleti hatóságok a termékeket kellő mértékű, a termékek t</w:t>
      </w:r>
      <w:r>
        <w:rPr>
          <w:noProof/>
        </w:rPr>
        <w:t xml:space="preserve">ulajdonságaira irányuló megfelelő vizsgálatnak vetik alá, a dokumentumok vizsgálatán, illetve adott esetben a reprezentatív mintán végzett fizikai és laboratóriumi ellenőrzéseken keresztül. 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t>A piacfelügyeleti hatóságok annak eldöntésekor, hogy mely ellenőr</w:t>
      </w:r>
      <w:r>
        <w:rPr>
          <w:noProof/>
        </w:rPr>
        <w:t>zéseket és milyen mértékben végeznek el, szem előtt tartják különösen a korábban már meghatározott, kockázatalapú megközelítést és a panaszokat.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t>Amennyiben a gazdasági szereplő akkreditált megfelelőségértékelő szervezet által kiadott és a termék uniós harm</w:t>
      </w:r>
      <w:r>
        <w:rPr>
          <w:noProof/>
        </w:rPr>
        <w:t>onizációs jogszabályoknak való megfelelését alátámasztó vizsgálati jegyzőkönyveket vagy tanúsítványokat mutat be, a piacfelügyeleti hatóságnak az ilyen vizsgálati jegyzőkönyveket vagy tanúsítványokat megfelelő módon figyelembe kell vennie.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piacfelügyelet</w:t>
      </w:r>
      <w:r>
        <w:rPr>
          <w:noProof/>
        </w:rPr>
        <w:t>i hatóságok haladéktalanul megfelelő intézkedéseket hoznak a területükön lévő végfelhasználók, általuk veszélyesnek ítélt termékekre történő figyelmeztetésére, a sérülések és más károk veszélyének csökkentése érdekében.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t>A hatóságok együttműködnek a gazdasá</w:t>
      </w:r>
      <w:r>
        <w:rPr>
          <w:noProof/>
        </w:rPr>
        <w:t>gi szereplőkkel azon intézkedések vonatkozásában, amelyek megakadályozhatják vagy csökkenthetik az utóbbiak által forgalmazott termékek által okozott veszélyeket.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Amennyiben egy tagállam piacfelügyeleti hatóságai egy másik tagállamban gyártott termék forga</w:t>
      </w:r>
      <w:r>
        <w:rPr>
          <w:noProof/>
        </w:rPr>
        <w:t xml:space="preserve">lomból történő kivonásáról döntenek, haladéktalanul értesítik az érintett gazdasági szereplőt. 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16. cikk</w:t>
      </w:r>
    </w:p>
    <w:p w:rsidR="001E667A" w:rsidRDefault="005F0856">
      <w:pPr>
        <w:jc w:val="center"/>
        <w:rPr>
          <w:rFonts w:eastAsia="Times New Roman"/>
          <w:b/>
          <w:bCs/>
          <w:noProof/>
        </w:rPr>
      </w:pPr>
      <w:r>
        <w:rPr>
          <w:b/>
          <w:noProof/>
        </w:rPr>
        <w:t>Információ-felhasználás, valamint szakmai és üzleti titoktartás</w:t>
      </w:r>
    </w:p>
    <w:p w:rsidR="001E667A" w:rsidRDefault="005F0856">
      <w:pPr>
        <w:rPr>
          <w:noProof/>
        </w:rPr>
      </w:pPr>
      <w:r>
        <w:rPr>
          <w:noProof/>
        </w:rPr>
        <w:t xml:space="preserve">A piacfelügyeleti hatóságok tiszteletben tartják a titoktartás elvét, amennyiben ez az </w:t>
      </w:r>
      <w:r>
        <w:rPr>
          <w:noProof/>
        </w:rPr>
        <w:t>érintett gazdasági szereplő szakmai és kereskedelmi titkainak, illetve a személyes adatok nemzeti jogszabályoknak megfelelő védelméhez szükséges, figyelemmel az Unióbeli végfelhasználók érdekeinek védelme céljából nyilvánosságra hozandó információkra.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17. </w:t>
      </w:r>
      <w:r>
        <w:rPr>
          <w:noProof/>
        </w:rPr>
        <w:t>cikk</w:t>
      </w:r>
    </w:p>
    <w:p w:rsidR="001E667A" w:rsidRDefault="005F0856">
      <w:pPr>
        <w:keepNext/>
        <w:spacing w:before="0"/>
        <w:jc w:val="center"/>
        <w:rPr>
          <w:b/>
          <w:noProof/>
        </w:rPr>
      </w:pPr>
      <w:r>
        <w:rPr>
          <w:b/>
          <w:noProof/>
        </w:rPr>
        <w:t>Korlátozó intézkedések</w:t>
      </w:r>
    </w:p>
    <w:p w:rsidR="001E667A" w:rsidRDefault="005F0856">
      <w:pPr>
        <w:pStyle w:val="Point0number"/>
        <w:numPr>
          <w:ilvl w:val="0"/>
          <w:numId w:val="26"/>
        </w:numPr>
        <w:rPr>
          <w:noProof/>
        </w:rPr>
      </w:pPr>
      <w:r>
        <w:rPr>
          <w:noProof/>
        </w:rPr>
        <w:t xml:space="preserve">A piacfelügyeleti hatóságok által, az uniós harmonizációs jogszabályok és e rendelet szerint, a termékek forgalmazásának betiltására vagy korlátozására, vagy forgalmazott termékek piacról történő kivonására, visszahívására vagy </w:t>
      </w:r>
      <w:r>
        <w:rPr>
          <w:noProof/>
        </w:rPr>
        <w:t>megsemmisítésére tett intézkedéseknek, meghozott határozatoknak és végzéseknek arányosaknak kell lenniük, és az azok alapjául szolgáló pontos indoklást kell tartalmazniuk.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Bármely ilyen intézkedésről, határozatról és végzésről késedelem nélkül tájékoztatni</w:t>
      </w:r>
      <w:r>
        <w:rPr>
          <w:noProof/>
        </w:rPr>
        <w:t xml:space="preserve"> kell az érintett gazdasági szereplőt, aki ezzel egy időben tájékoztatást kap az érintett tagállam jogszabályai szerint rendelkezésére álló jogorvoslati lehetőségről és az e jogorvoslatokra vonatkozó határidőkről.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Az (1) bekezdésben említett intézkedés, határozat vagy végzés meghozatalát megelőzően az érintett gazdasági szereplő lehetőséget kap egy megfelelő, tíz napnál nem rövidebb időszakon belüli meghallgatásra, kivéve, ha e lehetőség számára nem biztosítható a m</w:t>
      </w:r>
      <w:r>
        <w:rPr>
          <w:noProof/>
        </w:rPr>
        <w:t xml:space="preserve">eghozandó intézkedés, határozat vagy végzés egészségügyi vagy biztonsági előírásokra vagy az adott uniós jogszabályok hatálya alá tartozó egyéb közérdekre alapozott sürgőssége miatt. 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t>Ha az intézkedés, határozat vagy végzés meghozatalára anélkül kerül sor,</w:t>
      </w:r>
      <w:r>
        <w:rPr>
          <w:noProof/>
        </w:rPr>
        <w:t xml:space="preserve"> hogy a gazdasági szereplő lehetőséget kapna a meghallgatásra, azt követően a lehető leghamarabb meg kell adni e lehetőséget a számára, és az intézkedést, határozatot vagy végzést a hatóságnak azonnal felül kell vizsgálnia.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piacfelügyeleti hatóságnak azo</w:t>
      </w:r>
      <w:r>
        <w:rPr>
          <w:noProof/>
        </w:rPr>
        <w:t>nnal vissza kell vonnia vagy módosítania kell minden az (1) bekezdésben említett intézkedést, határozatot vagy végzést, amennyiben a gazdasági szereplő bizonyítani tudja, hogy eredményes korrekciós intézkedéseket hozott meg.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18. cikk</w:t>
      </w:r>
    </w:p>
    <w:p w:rsidR="001E667A" w:rsidRDefault="005F0856">
      <w:pPr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Súlyos veszélyt jelent</w:t>
      </w:r>
      <w:r>
        <w:rPr>
          <w:b/>
          <w:noProof/>
        </w:rPr>
        <w:t>ő termékek</w:t>
      </w:r>
    </w:p>
    <w:p w:rsidR="001E667A" w:rsidRDefault="005F0856">
      <w:pPr>
        <w:pStyle w:val="Point0number"/>
        <w:numPr>
          <w:ilvl w:val="0"/>
          <w:numId w:val="27"/>
        </w:numPr>
        <w:rPr>
          <w:noProof/>
        </w:rPr>
      </w:pPr>
      <w:r>
        <w:rPr>
          <w:noProof/>
        </w:rPr>
        <w:t>A piacfelügyeleti hatóságok intézkedéseket hoznak a súlyos veszélyt jelentő termékek piacról történő kivonása vagy visszahívása, vagy pedig forgalmazásuk betiltása érdekében. A 19. cikknek megfelelően ezekről az intézkedésekről haladéktalanul ér</w:t>
      </w:r>
      <w:r>
        <w:rPr>
          <w:noProof/>
        </w:rPr>
        <w:t>tesítik a Bizottságot.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Annak eldöntése, hogy egy termék súlyos veszélyt jelent-e, a veszély jellegét és előfordulásának valószínűségét figyelembe vevő megfelelő kockázatértékelésen alapul. A nagyobb biztonság elérésének lehetősége vagy más, kisebb kockázat</w:t>
      </w:r>
      <w:r>
        <w:rPr>
          <w:noProof/>
        </w:rPr>
        <w:t>ot jelentő termékek rendelkezésre állása nem képezhet alapot arra, hogy egy terméket súlyos veszélyt jelentő terméknek tekintsenek.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19. cikk</w:t>
      </w:r>
    </w:p>
    <w:p w:rsidR="001E667A" w:rsidRDefault="005F0856">
      <w:pPr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Információcsere – uniós sürgősségi riasztórendszer</w:t>
      </w:r>
      <w:r>
        <w:rPr>
          <w:noProof/>
        </w:rPr>
        <w:t xml:space="preserve"> </w:t>
      </w:r>
    </w:p>
    <w:p w:rsidR="001E667A" w:rsidRDefault="005F0856">
      <w:pPr>
        <w:pStyle w:val="Point0number"/>
        <w:numPr>
          <w:ilvl w:val="0"/>
          <w:numId w:val="28"/>
        </w:numPr>
        <w:rPr>
          <w:noProof/>
        </w:rPr>
      </w:pPr>
      <w:r>
        <w:rPr>
          <w:noProof/>
        </w:rPr>
        <w:t>Amennyiben egy piacfelügyeleti hatóság a 18. cikkel összhangban</w:t>
      </w:r>
      <w:r>
        <w:rPr>
          <w:noProof/>
        </w:rPr>
        <w:t xml:space="preserve"> intézkedést hoz vagy annak meghozatalát tervezi, és úgy ítéli meg, hogy az intézkedést szükségessé tevő indokok vagy az intézkedés hatásai túllépik a tagállama területi illetékességi körét, e cikk (4) bekezdésével összhangban azonnal értesíti a Bizottságo</w:t>
      </w:r>
      <w:r>
        <w:rPr>
          <w:noProof/>
        </w:rPr>
        <w:t>t ezen intézkedésről. Késedelem nélkül tájékoztatja továbbá a Bizottságot minden ilyen intézkedés módosításáról vagy visszavonásáról.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Amennyiben egy súlyos veszélyt jelentő termék már forgalmazásra került, a piacfelügyeleti hatóságok tájékoztatják a Bizott</w:t>
      </w:r>
      <w:r>
        <w:rPr>
          <w:noProof/>
        </w:rPr>
        <w:t>ságot a gazdasági szereplők által tett és közölt önkéntes intézkedésekről.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Az (1) és (2) bekezdéssel összhangban nyújtott tájékoztatás minden rendelkezésre álló adatot tartalmaz, különösen a termék azonosítására, eredetére és értékesítési láncára, a termék</w:t>
      </w:r>
      <w:r>
        <w:rPr>
          <w:noProof/>
        </w:rPr>
        <w:t>kel kapcsolatos veszélyre, a megtett nemzeti intézkedések jellegére és időtartamára és bármely, a gazdasági szereplők által hozott önkéntes intézkedésre vonatkozó adatot.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Az (1), (2) és (3) bekezdés alkalmazásában a 2001/95/EK irányelv 12. cikkében megálla</w:t>
      </w:r>
      <w:r>
        <w:rPr>
          <w:noProof/>
        </w:rPr>
        <w:t>pított piacfelügyeleti és információcsere-rendszer alkalmazandó. Az irányelv 12. cikkének (2), (3) és (4) bekezdése értelemszerűen alkalmazandó.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20. cikk</w:t>
      </w:r>
    </w:p>
    <w:p w:rsidR="001E667A" w:rsidRDefault="005F0856">
      <w:pPr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Uniós vizsgálóhelyek</w:t>
      </w:r>
    </w:p>
    <w:p w:rsidR="001E667A" w:rsidRDefault="005F0856">
      <w:pPr>
        <w:pStyle w:val="Point0number"/>
        <w:numPr>
          <w:ilvl w:val="0"/>
          <w:numId w:val="46"/>
        </w:numPr>
        <w:rPr>
          <w:noProof/>
        </w:rPr>
      </w:pPr>
      <w:r>
        <w:rPr>
          <w:noProof/>
        </w:rPr>
        <w:t>A Bizottság uniós vizsgálóhelyeket jelölhet ki a piacon forgalmazott meghatározot</w:t>
      </w:r>
      <w:r>
        <w:rPr>
          <w:noProof/>
        </w:rPr>
        <w:t xml:space="preserve">t termékek vagy termékek egy meghatározott kategóriája vagy csoportja vagy a termékek egy kategóriájához vagy csoportjához kapcsolódó meghatározott veszélyek tekintetében.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Az (1) bekezdésben említett vizsgálóhelyeknek az alábbi kritériumokat kell teljesít</w:t>
      </w:r>
      <w:r>
        <w:rPr>
          <w:noProof/>
        </w:rPr>
        <w:t>eniük: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megfelelően képzett, az illetékességi területükön alkalmazott analitikai módszerekkel kapcsolatban megfelelően felkészült, és a szabványok és gyakorlatok tekintetében kellő ismeretekkel bíró személyzettel kell rendelkezniük;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 (4) bekezdés sze</w:t>
      </w:r>
      <w:r>
        <w:rPr>
          <w:noProof/>
        </w:rPr>
        <w:t>rint rájuk bízott feladatok ellátásához megfelelő felszereléssel rendelkezniük;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a köz érdekében pártatlan és független módon kell eljárniuk;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adott esetben biztosítaniuk kell az ügyek, eredmények és a kommunikációs bizalmas kezelését;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a 765/2008/EK</w:t>
      </w:r>
      <w:r>
        <w:rPr>
          <w:noProof/>
        </w:rPr>
        <w:t xml:space="preserve"> rendelet II. fejezete szerinti akkreditáláson kell átmenniük.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 xml:space="preserve">Bejelentett szervezet vagy az uniós harmonizációs jogszabályok szerint kijelölt bármely más megfelelőségértékelő szervezet uniós vizsgálóhelyként nem jelölhető ki.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 xml:space="preserve">Az uniós vizsgálóhelyeknek, </w:t>
      </w:r>
      <w:r>
        <w:rPr>
          <w:noProof/>
        </w:rPr>
        <w:t>az illetékességi területükön belül minimálisan az alábbi feladatokat kell ellátniuk: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 piacfelügyeleti tevékenységhez és a vizsgálatokhoz kapcsolódó termékvizsgálatok elvégzését;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 tagállamok piacfelügyeleti hatóságai, a gazdasági szereplők és a megf</w:t>
      </w:r>
      <w:r>
        <w:rPr>
          <w:noProof/>
        </w:rPr>
        <w:t>elelőségértékelő testületek közötti viták rendezésének előmozdítását;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független műszaki és tudományos tanácsadás nyújtását a Bizottság, beleértve a 31. cikk alapján létrehozott hálózatot, és a tagállamok részére;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új elemzési technikák és módszerek </w:t>
      </w:r>
      <w:r>
        <w:rPr>
          <w:noProof/>
        </w:rPr>
        <w:t>fejlesztését;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információterjesztést és képzés nyújtását a tagállamokban lévő vizsgálóhelyek számára.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Bizottság végrehajtási jogi aktusokat fogad el az uniós vizsgálóhelyek kijelölésekor követendő eljárásokat meghatározására. Ezeket a végrehajtási jogi</w:t>
      </w:r>
      <w:r>
        <w:rPr>
          <w:noProof/>
        </w:rPr>
        <w:t xml:space="preserve"> aktusokat az 63. cikkben említett vizsgálóbizottsági eljárásnak megfelelően kell elfogadni. 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21. cikk</w:t>
      </w:r>
    </w:p>
    <w:p w:rsidR="001E667A" w:rsidRDefault="005F0856">
      <w:pPr>
        <w:jc w:val="center"/>
        <w:rPr>
          <w:b/>
          <w:noProof/>
        </w:rPr>
      </w:pPr>
      <w:r>
        <w:rPr>
          <w:b/>
          <w:noProof/>
        </w:rPr>
        <w:t>A piacfelügyeleti hatóságok finanszírozása és költségeik megtérítése</w:t>
      </w:r>
    </w:p>
    <w:p w:rsidR="001E667A" w:rsidRDefault="005F0856">
      <w:pPr>
        <w:pStyle w:val="Point0number"/>
        <w:numPr>
          <w:ilvl w:val="0"/>
          <w:numId w:val="29"/>
        </w:numPr>
        <w:rPr>
          <w:noProof/>
        </w:rPr>
      </w:pPr>
      <w:r>
        <w:rPr>
          <w:noProof/>
        </w:rPr>
        <w:t>A tagállamok biztosítják, hogy a területükön lévő piacfelügyeleti hatóságok rendelke</w:t>
      </w:r>
      <w:r>
        <w:rPr>
          <w:noProof/>
        </w:rPr>
        <w:t>zzenek a feladataik megfelelő ellátásához szükséges pénzügyi forrásokkal.</w:t>
      </w:r>
    </w:p>
    <w:p w:rsidR="001E667A" w:rsidRDefault="005F0856">
      <w:pPr>
        <w:pStyle w:val="Point0number"/>
        <w:rPr>
          <w:noProof/>
        </w:rPr>
      </w:pPr>
      <w:r>
        <w:rPr>
          <w:noProof/>
          <w:color w:val="000000" w:themeColor="text1"/>
        </w:rPr>
        <w:t>A piacfelügyeleti hatóságok annak érdekében, hogy a meg nem felelések kapcsán végzett tevékenységeikhez kapcsolódóan felmerülő költségeket meg tudják téríttetni</w:t>
      </w:r>
      <w:r>
        <w:rPr>
          <w:noProof/>
        </w:rPr>
        <w:t>, igazgatási díjakat s</w:t>
      </w:r>
      <w:r>
        <w:rPr>
          <w:noProof/>
        </w:rPr>
        <w:t>zabhatnak ki az adott meg nem felelésekért felelős gazdasági szereplőkre.</w:t>
      </w:r>
      <w:r>
        <w:rPr>
          <w:noProof/>
          <w:color w:val="000000" w:themeColor="text1"/>
        </w:rPr>
        <w:t xml:space="preserve"> </w:t>
      </w:r>
      <w:r>
        <w:rPr>
          <w:noProof/>
        </w:rPr>
        <w:t>Ezek a költségek tartalmazhatják a kockázatelemzés céljából végzett vizsgálatok költségeit, a 30. cikk (1) és (2) bekezdésének megfelelően meghozott intézkedések költségeit, valamint</w:t>
      </w:r>
      <w:r>
        <w:rPr>
          <w:noProof/>
        </w:rPr>
        <w:t xml:space="preserve"> a nem megfelelőnek bizonyult és a szabad forgalomba bocsátást megelőző korrekciós intézkedések tárgyát képező termékekkel kapcsolatban végzett tevékenységek költségeit.</w:t>
      </w:r>
    </w:p>
    <w:p w:rsidR="001E667A" w:rsidRDefault="005F0856">
      <w:pPr>
        <w:pStyle w:val="ChapterTitle"/>
        <w:rPr>
          <w:noProof/>
        </w:rPr>
      </w:pPr>
      <w:r>
        <w:rPr>
          <w:noProof/>
        </w:rPr>
        <w:t>VI. fejezet</w:t>
      </w:r>
    </w:p>
    <w:p w:rsidR="001E667A" w:rsidRDefault="005F0856">
      <w:pPr>
        <w:pStyle w:val="ChapterTitle"/>
        <w:rPr>
          <w:noProof/>
        </w:rPr>
      </w:pPr>
      <w:r>
        <w:rPr>
          <w:noProof/>
        </w:rPr>
        <w:t>Együttműködés és a kölcsönös segítségnyújtásra vonatkozó eljárás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22. cikk</w:t>
      </w:r>
    </w:p>
    <w:p w:rsidR="001E667A" w:rsidRDefault="005F0856">
      <w:pPr>
        <w:jc w:val="center"/>
        <w:rPr>
          <w:rFonts w:eastAsia="Times New Roman"/>
          <w:b/>
          <w:bCs/>
          <w:noProof/>
        </w:rPr>
      </w:pPr>
      <w:r>
        <w:rPr>
          <w:b/>
          <w:noProof/>
        </w:rPr>
        <w:t xml:space="preserve">Információkérés </w:t>
      </w:r>
    </w:p>
    <w:p w:rsidR="001E667A" w:rsidRDefault="005F0856">
      <w:pPr>
        <w:pStyle w:val="Point0number"/>
        <w:numPr>
          <w:ilvl w:val="0"/>
          <w:numId w:val="30"/>
        </w:numPr>
        <w:rPr>
          <w:noProof/>
        </w:rPr>
      </w:pPr>
      <w:r>
        <w:rPr>
          <w:noProof/>
        </w:rPr>
        <w:t>A megkereső hatóság kérésére a megkeresett hatóság megad minden információt, amely a megkereső hatóság szerint releváns annak megállapításához, hogy egy termék nem megfelelő-e és annak biztosításához, hogy a meg nem felelést meg tudja szün</w:t>
      </w:r>
      <w:r>
        <w:rPr>
          <w:noProof/>
        </w:rPr>
        <w:t xml:space="preserve">tetni.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 xml:space="preserve">A megkeresett hatóság a kért információ beszerzése érdekében elvégzi a szükséges vizsgálatokat vagy meghoz bármely egyéb arányos intézkedést. Amennyiben ez szükséges, a vizsgálatokat más piacfelügyeleti hatóságok segítségével kell elvégezni.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meg</w:t>
      </w:r>
      <w:r>
        <w:rPr>
          <w:noProof/>
        </w:rPr>
        <w:t>kereső hatóság kérelmére a megkeresett hatóság hozzájárulhat, hogy a megkereső hatóság tisztviselői elkísérjék a megkeresett hatóság megfelelő munkatársait vizsgálataik során.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megkeresett hatóság az (1) bekezdés szerinti megkeresésre az (5) bekezdésnek m</w:t>
      </w:r>
      <w:r>
        <w:rPr>
          <w:noProof/>
        </w:rPr>
        <w:t xml:space="preserve">egfelelően a Bizottság által meghatározott eljárás keretében és határidőn belül válaszol.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Bizottság végrehajtási jogi aktusokat fogad el az (1) bekezdés szerinti információkérésre irányuló megkereséskor és annak megválaszolásakor követendő eljárásra von</w:t>
      </w:r>
      <w:r>
        <w:rPr>
          <w:noProof/>
        </w:rPr>
        <w:t xml:space="preserve">atkozó határidők, az alkalmazandó formanyomtatványok és további részletek meghatározására. Ezeket a végrehajtási jogi aktusokat az 63. cikkben említett vizsgálóbizottsági eljárásnak megfelelően kell elfogadni. 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23. cikk</w:t>
      </w:r>
    </w:p>
    <w:p w:rsidR="001E667A" w:rsidRDefault="005F0856">
      <w:pPr>
        <w:jc w:val="center"/>
        <w:rPr>
          <w:rFonts w:eastAsia="Times New Roman"/>
          <w:b/>
          <w:bCs/>
          <w:noProof/>
        </w:rPr>
      </w:pPr>
      <w:r>
        <w:rPr>
          <w:b/>
          <w:noProof/>
        </w:rPr>
        <w:t xml:space="preserve">Végrehajtási intézkedések iránti </w:t>
      </w:r>
      <w:r>
        <w:rPr>
          <w:b/>
          <w:noProof/>
        </w:rPr>
        <w:t>megkeresések</w:t>
      </w:r>
    </w:p>
    <w:p w:rsidR="001E667A" w:rsidRDefault="005F0856">
      <w:pPr>
        <w:pStyle w:val="Point0number"/>
        <w:numPr>
          <w:ilvl w:val="0"/>
          <w:numId w:val="31"/>
        </w:numPr>
        <w:rPr>
          <w:noProof/>
        </w:rPr>
      </w:pPr>
      <w:r>
        <w:rPr>
          <w:noProof/>
        </w:rPr>
        <w:t xml:space="preserve">A megkereső hatóság kérésére a megkeresett hatóság az e rendelet szerint ráruházott hatáskörében eljárva haladéktalanul megteszi a meg nem felelés előfordulásának </w:t>
      </w:r>
      <w:r>
        <w:rPr>
          <w:noProof/>
          <w:sz w:val="23"/>
        </w:rPr>
        <w:t xml:space="preserve">megszüntetéséhez </w:t>
      </w:r>
      <w:r>
        <w:rPr>
          <w:noProof/>
        </w:rPr>
        <w:t>szükséges végrehajtási intézkedéseket.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megkeresett hatóság me</w:t>
      </w:r>
      <w:r>
        <w:rPr>
          <w:noProof/>
        </w:rPr>
        <w:t xml:space="preserve">ghatározza a meg nem felelés előfordulásának megszüntetéséhez szükséges megfelelő végrehajtási intézkedéseket. Amennyiben szükséges, a végrehajtási intézkedéseket más közigazgatási szervek segítségével kell meghatározni és végrehajtani.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megkeresett ható</w:t>
      </w:r>
      <w:r>
        <w:rPr>
          <w:noProof/>
        </w:rPr>
        <w:t xml:space="preserve">ság rendszeresen és indokolatlan késedelem nélkül tájékoztatja a megkereső hatóságot, és egyeztet azzal a már megtett vagy tervezett (2) bekezdés szerinti intézkedésekről. 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t>A megkeresett hatóság késedelem nélkül értesíti a megkereső hatóságot, a többi tagá</w:t>
      </w:r>
      <w:r>
        <w:rPr>
          <w:noProof/>
        </w:rPr>
        <w:t>llam piacfelügyeleti hatóságait és a Bizottságot az adott meg nem felelés vonatkozásában általa meghozott intézkedésekről és azok hatásáról. Az értesítésnek a 34. cikkben említett rendszeren keresztül kell megtörténnie, és minimálisan az alábbi információk</w:t>
      </w:r>
      <w:r>
        <w:rPr>
          <w:noProof/>
        </w:rPr>
        <w:t>at kell tartalmaznia: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hoztak-e meg ideiglenes intézkedéseket;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megszűnt-e a meg nem felelés;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megállapítottak-e szankciókat, és ha igen, melyeket;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végrehajtottak-e a megkeresett hatóság vagy a gazdasági szereplő által meghozott egyéb </w:t>
      </w:r>
      <w:r>
        <w:rPr>
          <w:noProof/>
        </w:rPr>
        <w:t>intézkedéseket.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 xml:space="preserve">A megkeresett hatóság az (1) bekezdés szerinti megkeresésre az (5) bekezdésnek megfelelően a Bizottság által meghatározott eljárás keretében és határidőn belül válaszol.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Bizottság végrehajtási jogi aktusokat fogad el az (1) bekezdés szer</w:t>
      </w:r>
      <w:r>
        <w:rPr>
          <w:noProof/>
        </w:rPr>
        <w:t>inti végrehajtási intézkedésekre irányuló megkereséskor és annak megválaszolásakor követendő eljárásra vonatkozó határidők, az alkalmazandó formanyomtatványok és további részletek meghatározására. Ezeket a végrehajtási jogi aktusokat az 63. cikkben említet</w:t>
      </w:r>
      <w:r>
        <w:rPr>
          <w:noProof/>
        </w:rPr>
        <w:t xml:space="preserve">t vizsgálóbizottsági eljárásnak megfelelően kell elfogadni. 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24. cikk</w:t>
      </w:r>
    </w:p>
    <w:p w:rsidR="001E667A" w:rsidRDefault="005F0856">
      <w:pPr>
        <w:jc w:val="center"/>
        <w:rPr>
          <w:rFonts w:eastAsia="Times New Roman"/>
          <w:b/>
          <w:noProof/>
        </w:rPr>
      </w:pPr>
      <w:r>
        <w:rPr>
          <w:b/>
          <w:noProof/>
        </w:rPr>
        <w:t>A kölcsönös jogsegély iránti megkeresésre vonatkozó eljárások</w:t>
      </w:r>
    </w:p>
    <w:p w:rsidR="001E667A" w:rsidRDefault="005F0856">
      <w:pPr>
        <w:pStyle w:val="Point0number"/>
        <w:numPr>
          <w:ilvl w:val="0"/>
          <w:numId w:val="32"/>
        </w:numPr>
        <w:rPr>
          <w:noProof/>
        </w:rPr>
      </w:pPr>
      <w:r>
        <w:rPr>
          <w:noProof/>
        </w:rPr>
        <w:t xml:space="preserve">A 22. és a 23. cikk szerinti kölcsönös segítségnyújtás iránti megkeresés esetén a megkereső hatóság elegendő információt ad </w:t>
      </w:r>
      <w:r>
        <w:rPr>
          <w:noProof/>
        </w:rPr>
        <w:t>ahhoz, beleértve a kizárólag a megkereső hatóság tagállamában megszerezhető bármely szükséges bizonyítékot, hogy a megkeresett hatóság a megkeresést teljesíteni tudja.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22. és 23. cikk szerinti kölcsönös segítségnyújtás iránti megkeresést a megkereső ható</w:t>
      </w:r>
      <w:r>
        <w:rPr>
          <w:noProof/>
        </w:rPr>
        <w:t>ság megküldi a megkeresett hatóság tagállama szerinti összekötő hivatalnak, valamint – tájékoztatás céljából – a megkereső hatóság tagállama szerinti összekötő hivatalnak is. A megkeresett hatóság tagállamának összekötő hivatala indokolatlan késedelem nélk</w:t>
      </w:r>
      <w:r>
        <w:rPr>
          <w:noProof/>
        </w:rPr>
        <w:t xml:space="preserve">ül továbbítja a megkereséseket a megfelelő hatáskörrel rendelkező hatóságnak.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22. és 23. cikk szerinti kölcsönös segítségnyújtásra irányuló megkereséseknek és az azokkal kapcsolatos minden kommunikációnak a 34. cikkben említett rendszerben elérhető elek</w:t>
      </w:r>
      <w:r>
        <w:rPr>
          <w:noProof/>
        </w:rPr>
        <w:t xml:space="preserve">tronikus formanyomtatványok használatával kell történnie.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22. és 23. cikk szerinti kölcsönös segítségnyújtás iránti megkereséseknek és az azokhoz kapcsolódó minden kommunikációnak az érintett illetékes hatóságok által egyeztetett nyelven kell történnie.</w:t>
      </w:r>
      <w:r>
        <w:rPr>
          <w:noProof/>
        </w:rPr>
        <w:t xml:space="preserve">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Ha az érintett illetékes hatóságok a nyelv tekintetében nem jutnak egyezségre, a 22. és 23. cikk szerinti kölcsönös segítségnyújtás iránti megkeresést a megkereső hatóság tagállamának hivatalos nyelvén, a megkeresésre adott választ pedig a megkeresett ha</w:t>
      </w:r>
      <w:r>
        <w:rPr>
          <w:noProof/>
        </w:rPr>
        <w:t xml:space="preserve">tóság tagállamának hivatalos nyelvén kell elküldeni. Ebben az esetben a megkereső hatóság és a megkeresett hatóság gondoskodik a megkeresések, a válaszok és az egymástól kapott egyéb dokumentumok fordításáról.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 xml:space="preserve">A megkeresett hatóság közvetlenül válaszol a </w:t>
      </w:r>
      <w:r>
        <w:rPr>
          <w:noProof/>
        </w:rPr>
        <w:t>megkereső hatóságnak és a megkereső hatóság és a megkeresett hatóság tagállamai szerinti összekötő hivataloknak is.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25. cikk</w:t>
      </w:r>
    </w:p>
    <w:p w:rsidR="001E667A" w:rsidRDefault="005F0856">
      <w:pPr>
        <w:jc w:val="center"/>
        <w:rPr>
          <w:rFonts w:eastAsia="Times New Roman"/>
          <w:b/>
          <w:bCs/>
          <w:noProof/>
        </w:rPr>
      </w:pPr>
      <w:r>
        <w:rPr>
          <w:b/>
          <w:noProof/>
        </w:rPr>
        <w:t>A bizonyítékok és a vizsgálat eredményeinek felhasználása</w:t>
      </w:r>
    </w:p>
    <w:p w:rsidR="001E667A" w:rsidRDefault="005F0856">
      <w:pPr>
        <w:pStyle w:val="Point0number"/>
        <w:numPr>
          <w:ilvl w:val="0"/>
          <w:numId w:val="33"/>
        </w:numPr>
        <w:rPr>
          <w:noProof/>
        </w:rPr>
      </w:pPr>
      <w:r>
        <w:rPr>
          <w:noProof/>
        </w:rPr>
        <w:t>A piacfelügyeleti hatóságok bármely információt, dokumentumot vagy valame</w:t>
      </w:r>
      <w:r>
        <w:rPr>
          <w:noProof/>
        </w:rPr>
        <w:t xml:space="preserve">ly dokumentum, megállapítás, nyilatkozat hitelesített másolatát, vagy bármely operatív információt, függetlenül annak formátumától és a tárolás eszközétől, a vizsgálataikhoz bizonyítékként használhatnak fel.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Egy tagállam piacfelügyeleti hatósága által fel</w:t>
      </w:r>
      <w:r>
        <w:rPr>
          <w:noProof/>
        </w:rPr>
        <w:t>használt (1) bekezdésben említett bizonyítékot valamely másik tagállam piacfelügyeleti hatóságai a termékmegfelelőség ellenőrzésére irányuló vizsgálatuk részeként minden további formális követelmény nélkül bizonyítékként felhasználhatnak.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Valamely tagállam</w:t>
      </w:r>
      <w:r>
        <w:rPr>
          <w:noProof/>
        </w:rPr>
        <w:t xml:space="preserve"> piacfelügyeleti hatóságának határozata alapján nem megfelelőnek ítélt termékekről egy másik tagállam piacfelügyeleti hatóságainak is vélelmezniük kell, hogy nem megfelelők, mindaddig, amíg a gazdasági szereplők ennek ellenkezőjéről bizonyítékot nem szolgá</w:t>
      </w:r>
      <w:r>
        <w:rPr>
          <w:noProof/>
        </w:rPr>
        <w:t>ltatnak.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 xml:space="preserve">A piacfelügyeleti hatóságok (3) bekezdésben említett határozatait a 34. cikkben említett információs és kommunikációs rendszerben kell közzétenni. </w:t>
      </w:r>
    </w:p>
    <w:p w:rsidR="001E667A" w:rsidRDefault="005F0856">
      <w:pPr>
        <w:pStyle w:val="ChapterTitle"/>
        <w:rPr>
          <w:noProof/>
        </w:rPr>
      </w:pPr>
      <w:r>
        <w:rPr>
          <w:noProof/>
        </w:rPr>
        <w:t>VII. fejezet</w:t>
      </w:r>
    </w:p>
    <w:p w:rsidR="001E667A" w:rsidRDefault="005F0856">
      <w:pPr>
        <w:pStyle w:val="ChapterTitle"/>
        <w:rPr>
          <w:noProof/>
        </w:rPr>
      </w:pPr>
      <w:r>
        <w:rPr>
          <w:noProof/>
        </w:rPr>
        <w:t>Az uniós piacra belépő termékek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26. cikk</w:t>
      </w:r>
    </w:p>
    <w:p w:rsidR="001E667A" w:rsidRDefault="005F0856">
      <w:pPr>
        <w:jc w:val="center"/>
        <w:rPr>
          <w:b/>
          <w:noProof/>
        </w:rPr>
      </w:pPr>
      <w:r>
        <w:rPr>
          <w:b/>
          <w:noProof/>
        </w:rPr>
        <w:t>Az uniós piacra belépő termékek ellenőrzése</w:t>
      </w:r>
    </w:p>
    <w:p w:rsidR="001E667A" w:rsidRDefault="005F0856">
      <w:pPr>
        <w:pStyle w:val="Point0number"/>
        <w:numPr>
          <w:ilvl w:val="0"/>
          <w:numId w:val="34"/>
        </w:numPr>
        <w:rPr>
          <w:noProof/>
        </w:rPr>
      </w:pPr>
      <w:r>
        <w:rPr>
          <w:noProof/>
        </w:rPr>
        <w:t>A</w:t>
      </w:r>
      <w:r>
        <w:rPr>
          <w:noProof/>
        </w:rPr>
        <w:t xml:space="preserve"> tagállamok a területükön vámhatóságokat, egy vagy több piacfelügyeleti hatóságot vagy bármely más hatóságot az uniós piacra belépő termékek ellenőrzéséért felelős hatóságnak jelölnek ki. 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ab/>
        <w:t>Minden egyes tagállamnak, a 34. cikkben említett rendszeren keresz</w:t>
      </w:r>
      <w:r>
        <w:rPr>
          <w:noProof/>
        </w:rPr>
        <w:t>tül, értesítenie kell a Bizottságot és a többi tagállamot az első albekezdés szerint kijelölt hatóságokról, valamint azok illetékességi területéről.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 xml:space="preserve">Az (1) bekezdés szerint kijelölt hatóságok számára biztosítani kell az ugyanazon bekezdésben meghatározott </w:t>
      </w:r>
      <w:r>
        <w:rPr>
          <w:noProof/>
        </w:rPr>
        <w:t xml:space="preserve">feladataik megfelelő ellátásához szükséges hatásköröket és erőforrásokat.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Az uniós harmonizációs jogszabályok hatálya alá tartozó és a „szabad forgalomba bocsátás” vámeljárásra szánt termékeket az (1) bekezdés szerint kijelölt hatóságok által elvégzett el</w:t>
      </w:r>
      <w:r>
        <w:rPr>
          <w:noProof/>
        </w:rPr>
        <w:t>lenőrzéseknek kell alávetni. A kijelölt hatóságok ellenőrzéseinek a 952/2013/EU rendelet 46. és 47. cikkének megfelelően kockázatelemzésen kell alapulniuk.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Az uniós piacra belépő azon termékeket, amelyek a rájuk vonatkozó uniós harmonizációs jogszabályokna</w:t>
      </w:r>
      <w:r>
        <w:rPr>
          <w:noProof/>
        </w:rPr>
        <w:t>k való megfelelés érdekében további feldolgozást igényelnek, az ezen feldolgozást lehetővé tevő megfelelő vámeljárás alá kell vonni.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kockázattal kapcsolatos információkat egymással megosztják: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952/2013/EU rendelet 47. cikke (2) bekezdésének </w:t>
      </w:r>
      <w:r>
        <w:rPr>
          <w:noProof/>
        </w:rPr>
        <w:t>megfelelően az (1) bekezdés szerint kijelölt hatóságok;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952/2013/EU rendelet 46. cikke (5) bekezdésének megfelelően a vámhatóságok. 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ab/>
        <w:t>Ha az uniós harmonizációs jogszabályok hatálya alá tartozó átmeneti megőrzésben lévő vagy a szabad forgalomba bocsátá</w:t>
      </w:r>
      <w:r>
        <w:rPr>
          <w:noProof/>
        </w:rPr>
        <w:t xml:space="preserve">stól eltérő vámeljárás alá vont termékekről az első belépési ponton a vámhatóságok okkal hiszik azt, hogy a termékek veszélyt jelentenek, minden releváns információt továbbítanak az illetékes rendeltetési vámhivatalnak.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piacfelügyeleti hatóságok az (1) bekezdés szerint kijelölt hatóságok számára információt szolgáltatnak azon termékkategóriákra vagy gazdasági szereplők személyazonosságára vonatkozóan, amelyekkel kapcsolatban a meg nem felelés jelentősebb kockázata felme</w:t>
      </w:r>
      <w:r>
        <w:rPr>
          <w:noProof/>
        </w:rPr>
        <w:t xml:space="preserve">rült.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tagállamok minden év március 31-ig benyújtják a Bizottságnak az (1) bekezdés szerint kijelölt hatóságok által a megelőző naptári évben az uniós harmonizációs jogszabályok hatálya alá tartozó termékekre irányulóan végrehajtott ellenőrzésekre vonatk</w:t>
      </w:r>
      <w:r>
        <w:rPr>
          <w:noProof/>
        </w:rPr>
        <w:t>ozó statisztikai adatokat, amelyek kiterjednek: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az ezen termékekre irányuló ellenőrzés terén végrehajtott , többek között a termékbiztonságot és a megfelelést érintő beavatkozásokra;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 piacfelügyeleti hatóságok felé közölt esetek számára;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az e ter</w:t>
      </w:r>
      <w:r>
        <w:rPr>
          <w:noProof/>
        </w:rPr>
        <w:t>mékekre irányuló ellenőrzések eredményeire;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a nem megfelelőnek talált termékek jellemzőire.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t>A Bizottság minden év június 30-ig jelentést készít a tagállamok által az előző naptári évre vonatkozóan benyújtott információk alapján. A jelentést a 34. cikkbe</w:t>
      </w:r>
      <w:r>
        <w:rPr>
          <w:noProof/>
        </w:rPr>
        <w:t xml:space="preserve">n említett rendszerben kell közzétenni.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Ha a Bizottság tudomást szerez arról, hogy egy harmadik országból behozott, az uniós harmonizációs jogszabályok hatálya alá tartozó termék valamely tagállamban súlyos veszélyt jelent, javasolja az érintett tagállamn</w:t>
      </w:r>
      <w:r>
        <w:rPr>
          <w:noProof/>
        </w:rPr>
        <w:t>ak, hogy tegye meg a megfelelő piacfelügyeleti intézkedéseket.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Bizottság végrehajtási jogi aktusok révén meghatározza a (7) bekezdés szerint a tagállamok által benyújtandó adatokra vonatkozó részleteket. Ezeket a végrehajtási jogi aktusokat az 63. cikkbe</w:t>
      </w:r>
      <w:r>
        <w:rPr>
          <w:noProof/>
        </w:rPr>
        <w:t>n említett vizsgálóbizottsági eljárásnak megfelelően kell elfogadni.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27. cikk</w:t>
      </w:r>
    </w:p>
    <w:p w:rsidR="001E667A" w:rsidRDefault="005F0856">
      <w:pPr>
        <w:jc w:val="center"/>
        <w:rPr>
          <w:b/>
          <w:noProof/>
        </w:rPr>
      </w:pPr>
      <w:r>
        <w:rPr>
          <w:b/>
          <w:noProof/>
        </w:rPr>
        <w:t>Szabad forgalomba bocsátás felfüggesztése</w:t>
      </w:r>
    </w:p>
    <w:p w:rsidR="001E667A" w:rsidRDefault="005F0856">
      <w:pPr>
        <w:pStyle w:val="Point0number"/>
        <w:numPr>
          <w:ilvl w:val="0"/>
          <w:numId w:val="35"/>
        </w:numPr>
        <w:rPr>
          <w:noProof/>
        </w:rPr>
      </w:pPr>
      <w:r>
        <w:rPr>
          <w:noProof/>
        </w:rPr>
        <w:t>A 26. cikk (1) bekezdése szerint kijelölt hatóságok felfüggesztik egy termék szabad forgalomba bocsátását, ha a 26. cikkben említett ell</w:t>
      </w:r>
      <w:r>
        <w:rPr>
          <w:noProof/>
        </w:rPr>
        <w:t xml:space="preserve">enőrzés során megállapítást nyer, hogy: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 terméket nem kíséri a rá vonatkozó uniós harmonizációs jogszabályok által előírt dokumentáció;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terméket nem látták el az adott uniós harmonizációs jogszabályoknak megfelelő jelöléssel vagy címkével;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a </w:t>
      </w:r>
      <w:r>
        <w:rPr>
          <w:noProof/>
        </w:rPr>
        <w:t>terméken valótlan vagy félrevezető módon feltüntetett CE-jelölés vagy az adott uniós harmonizációs jogszabályok által előírt egyéb jelölés szerepel;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a termék tekintetében a termékmegfelelési információkért felelős személy megnevezése és elérhetőségei ni</w:t>
      </w:r>
      <w:r>
        <w:rPr>
          <w:noProof/>
        </w:rPr>
        <w:t>ncsenek a 4. cikk (5) bekezdésének megfelelően feltüntetve vagy nem beazonosíthatók;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bármely egyéb körülmény miatt okkal hihető, hogy a termék a forgalomba hozatalakor nem fog megfelelni a rá vonatkozó uniós harmonizációs jogszabályokban meghatározott k</w:t>
      </w:r>
      <w:r>
        <w:rPr>
          <w:noProof/>
        </w:rPr>
        <w:t xml:space="preserve">övetelményeknek vagy súlyos veszélyt jelent majd.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26. cikk (1) bekezdése szerint kijelölt hatóságok haladéktalanul értesítik a piacfelügyeleti hatóságokat, ha az (1) bekezdésben említett szabad forgalomba bocsátás felfüggesztésére kerül sor.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Ha a piacfe</w:t>
      </w:r>
      <w:r>
        <w:rPr>
          <w:noProof/>
        </w:rPr>
        <w:t>lügyeleti hatóságok okkal hiszik azt, hogy valamely termék nem fog megfelelni a rá vonatkozó uniós harmonizációs jogszabályoknak vagy súlyos veszélyt fog jelenteni, a 26. cikk (1) bekezdése szerint kijelölt hatóságokat kérik a termék szabad forgalomba bocs</w:t>
      </w:r>
      <w:r>
        <w:rPr>
          <w:noProof/>
        </w:rPr>
        <w:t>átására irányuló eljárás felfüggesztésére.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Valamely termék szabad forgalomba bocsátására irányuló eljárás felfüggesztése során a 952/2013/EU rendelet 197., 198. és 199. cikkeit kell megfelelően alkalmazni.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28. cikk</w:t>
      </w:r>
    </w:p>
    <w:p w:rsidR="001E667A" w:rsidRDefault="005F0856">
      <w:pPr>
        <w:jc w:val="center"/>
        <w:rPr>
          <w:b/>
          <w:noProof/>
        </w:rPr>
      </w:pPr>
      <w:r>
        <w:rPr>
          <w:b/>
          <w:noProof/>
        </w:rPr>
        <w:t>A termékek szabad forgalomba bocsátása</w:t>
      </w:r>
    </w:p>
    <w:p w:rsidR="001E667A" w:rsidRDefault="005F0856">
      <w:pPr>
        <w:rPr>
          <w:noProof/>
        </w:rPr>
      </w:pPr>
      <w:r>
        <w:rPr>
          <w:noProof/>
        </w:rPr>
        <w:t>Ha</w:t>
      </w:r>
      <w:r>
        <w:rPr>
          <w:noProof/>
        </w:rPr>
        <w:t xml:space="preserve"> egy termék szabad forgalomba bocsátása a 27. cikknek megfelelően felfüggesztésre került, a terméket szabad forgalomba bocsátják, amennyiben a szabad forgalomba bocsátással kapcsolatos minden más előírás és alaki követelmény teljesült, és amennyiben a köve</w:t>
      </w:r>
      <w:r>
        <w:rPr>
          <w:noProof/>
        </w:rPr>
        <w:t>tkező feltételek bármelyike teljesül:</w:t>
      </w:r>
    </w:p>
    <w:p w:rsidR="001E667A" w:rsidRDefault="005F0856"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a szabad forgalomba bocsátás felfüggesztését követő öt munkanapon belül a 26. cikk (1) bekezdése szerint kijelölt hatóságokat a piacfelügyeleti hatóságok nem kérik a felfüggesztés fenntartására;</w:t>
      </w:r>
    </w:p>
    <w:p w:rsidR="001E667A" w:rsidRDefault="005F0856"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a piacfelügyeleti</w:t>
      </w:r>
      <w:r>
        <w:rPr>
          <w:noProof/>
        </w:rPr>
        <w:t xml:space="preserve"> hatóságok arról értesítik a 26. cikk (1) bekezdése szerint kijelölt hatóságokat, hogy okkal hihető, hogy a termék a forgalomba hozatalakor meg fog felelni a rá alkalmazandó uniós harmonizációs jogszabályoknak.</w:t>
      </w:r>
    </w:p>
    <w:p w:rsidR="001E667A" w:rsidRDefault="005F0856">
      <w:pPr>
        <w:rPr>
          <w:noProof/>
        </w:rPr>
      </w:pPr>
      <w:r>
        <w:rPr>
          <w:noProof/>
        </w:rPr>
        <w:t>Az a) pontnak megfelelően szabad forgalomba b</w:t>
      </w:r>
      <w:r>
        <w:rPr>
          <w:noProof/>
        </w:rPr>
        <w:t>ocsátott termékről, pusztán azzal az indokkal, hogy szabad forgalomba bocsátották, nem vélelmezhető, hogy megfelel az uniós harmonizációs jogszabályoknak.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29. cikk</w:t>
      </w:r>
    </w:p>
    <w:p w:rsidR="001E667A" w:rsidRDefault="005F0856">
      <w:pPr>
        <w:jc w:val="center"/>
        <w:rPr>
          <w:b/>
          <w:noProof/>
        </w:rPr>
      </w:pPr>
      <w:r>
        <w:rPr>
          <w:b/>
          <w:noProof/>
        </w:rPr>
        <w:t xml:space="preserve">Együttműködés engedélyezett gazdálkodókkal </w:t>
      </w:r>
    </w:p>
    <w:p w:rsidR="001E667A" w:rsidRDefault="005F0856">
      <w:pPr>
        <w:pStyle w:val="Point0number"/>
        <w:numPr>
          <w:ilvl w:val="0"/>
          <w:numId w:val="36"/>
        </w:numPr>
        <w:rPr>
          <w:noProof/>
        </w:rPr>
      </w:pPr>
      <w:r>
        <w:rPr>
          <w:noProof/>
        </w:rPr>
        <w:t>A piacfelügyeleti hatóságok prioritásként kezeli</w:t>
      </w:r>
      <w:r>
        <w:rPr>
          <w:noProof/>
        </w:rPr>
        <w:t>k a 952/2013/EU rendelet 38. cikkének (2) bekezdése szerint engedélyezett gazdálkodók által szabad forgalomba bocsátásra bejelentett azon termékeket, amelyek szabad forgalomba bocsátása e rendelet 28. cikkének (1) bekezdésének megfelelően felfüggesztésre k</w:t>
      </w:r>
      <w:r>
        <w:rPr>
          <w:noProof/>
        </w:rPr>
        <w:t>erült.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bejelentett gazdálkodó kérelmére a piacfelügyeleti hatóságok értesíthetik a vámhatóságokat annak érdekében, hogy az adott termékeket szabad forgalomba bocsássák, feltéve, hogy a szabad forgalomba bocsátásukkal kapcsolatos minden más előírás és ala</w:t>
      </w:r>
      <w:r>
        <w:rPr>
          <w:noProof/>
        </w:rPr>
        <w:t xml:space="preserve">ki követelmény teljesül. 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ab/>
        <w:t>A 952/2013/EU rendelet 47. cikkének sérelme nélkül, valamely engedélyezett gazdálkodó kérelme alapján a piacfelügyeleti hatóságok e termékek ellenőrzését a termék vám elé állítási helyétől eltérő helyen is elvégezhetik.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piacfel</w:t>
      </w:r>
      <w:r>
        <w:rPr>
          <w:noProof/>
        </w:rPr>
        <w:t xml:space="preserve">ügyeleti hatóságok és a vámhatóságok kicserélik egymással az engedélyezett gazdálkodók státusára és a termékbiztonsági előírások betartására vonatkozóan a gazdálkodóról nyilvántartott adatokat.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Ha a (2) bekezdés második albekezdésében említett ellenőrzése</w:t>
      </w:r>
      <w:r>
        <w:rPr>
          <w:noProof/>
        </w:rPr>
        <w:t>k során bármiféle meg nem felelés feltárására kerül sor, a piacfelügyeleti hatóságok felfüggesztik az (1) bekezdésben és a (2) bekezdés első albekezdésében meghatározott kedvező bánásmód alkalmazását, és a meg nem feleléssel kapcsolatos részleteket a 34. c</w:t>
      </w:r>
      <w:r>
        <w:rPr>
          <w:noProof/>
        </w:rPr>
        <w:t xml:space="preserve">ikkben említett rendszerben rögzítik.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 xml:space="preserve">A Bizottság végrehajtási jogi aktusok révén meghatározza, hogy az engedélyezett gazdálkodók státusára és a termékbiztonsági előírások betartásával kapcsolatos korábbi teljesítményükre vonatkozóan a vámhatóságoknak és </w:t>
      </w:r>
      <w:r>
        <w:rPr>
          <w:noProof/>
        </w:rPr>
        <w:t>a piacfelügyeleti hatóságoknak milyen adatokat kell egymással kicserélniük, és az információcsere során milyen eljárásokat kell követniük. Ezeket a végrehajtási jogi aktusokat a 63. cikkben említett vizsgálóbizottsági eljárásnak megfelelően kell elfogadni.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30. cikk</w:t>
      </w:r>
    </w:p>
    <w:p w:rsidR="001E667A" w:rsidRDefault="005F0856">
      <w:pPr>
        <w:jc w:val="center"/>
        <w:rPr>
          <w:b/>
          <w:noProof/>
        </w:rPr>
      </w:pPr>
      <w:r>
        <w:rPr>
          <w:b/>
          <w:noProof/>
        </w:rPr>
        <w:t>A szabad forgalomba bocsátás megtagadása</w:t>
      </w:r>
    </w:p>
    <w:p w:rsidR="001E667A" w:rsidRDefault="005F0856">
      <w:pPr>
        <w:pStyle w:val="Point0number"/>
        <w:numPr>
          <w:ilvl w:val="0"/>
          <w:numId w:val="37"/>
        </w:numPr>
        <w:rPr>
          <w:noProof/>
        </w:rPr>
      </w:pPr>
      <w:r>
        <w:rPr>
          <w:noProof/>
        </w:rPr>
        <w:t>Amennyiben a piacfelügyeleti hatóságok megállapítják, hogy a termék súlyos veszélyt jelent, intézkednek a termék forgalomba hozatalának tilalmáról, és felkérik a 26. cikk (1) bekezdése szerint kijelölt hat</w:t>
      </w:r>
      <w:r>
        <w:rPr>
          <w:noProof/>
        </w:rPr>
        <w:t>óságokat, hogy ne bocsássák azt szabad forgalomba. A hatóságokat arra is felkérik, hogy a terméket kísérő kereskedelmi számlát és bármely más vonatkozó kísérő dokumentumot a következő közleménnyel lássák el, és azt tüntessék fel egyebek mellett a vám-adatf</w:t>
      </w:r>
      <w:r>
        <w:rPr>
          <w:noProof/>
        </w:rPr>
        <w:t xml:space="preserve">eldolgozó rendszerben: 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ab/>
        <w:t>„Veszélyes termék – szabad forgalomba bocsátás nem engedélyezett – [kiegészítendő az e rendeletre történő hivatkozással] rendelet”.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ab/>
        <w:t>A piacfelügyeleti hatóságok ezt az információt haladéktalanul beviszik a 34. cikkben említett rend</w:t>
      </w:r>
      <w:r>
        <w:rPr>
          <w:noProof/>
        </w:rPr>
        <w:t>szerbe.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Amennyiben a piacfelügyeleti hatóságok megállapítják, hogy a termék – mivel nem felel meg a rá vonatkozó uniós harmonizációs jogszabályoknak – nem hozható forgalomba, intézkednek a termék forgalomba hozatalának tilalmáról, és felkérik a 26. cikk (1</w:t>
      </w:r>
      <w:r>
        <w:rPr>
          <w:noProof/>
        </w:rPr>
        <w:t>) bekezdése szerint kijelölt hatóságokat, hogy ne bocsássák azt szabad forgalomba. A hatóságokat arra is felkérik, hogy a terméket kísérő kereskedelmi számlát és bármely más vonatkozó kísérő dokumentumot a következő közleménnyel lássák el, és azt tüntessék</w:t>
      </w:r>
      <w:r>
        <w:rPr>
          <w:noProof/>
        </w:rPr>
        <w:t xml:space="preserve"> fel egyebek mellett a vám-adatfeldolgozó rendszerben: 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ab/>
        <w:t>„Nem megfelelő termék – szabad forgalomba bocsátás nem engedélyezett – [kiegészítendő az e rendeletre történő hivatkozással] rendelet”.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ab/>
        <w:t xml:space="preserve">A piacfelügyeleti hatóságok ezt az információt haladéktalanul </w:t>
      </w:r>
      <w:r>
        <w:rPr>
          <w:noProof/>
        </w:rPr>
        <w:t>beviszik a 34. cikkben említett rendszerbe.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Ha az (1) vagy a (2) bekezdésben említett terméket ezt követően a szabad forgalomba bocsátástól eltérő vámeljárásra jelentik be, és amennyiben a piacfelügyeleti hatóságok nem emelnek kifogást, az (1) vagy a (2) b</w:t>
      </w:r>
      <w:r>
        <w:rPr>
          <w:noProof/>
        </w:rPr>
        <w:t>ekezdésben előírt közleményeket az adott eljárás kapcsán felhasznált dokumentumokon is feltüntetik, azonos feltételek fennállása esetén az adott bekezdés előírásainak megfelelően.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Ha azt az adott hatóság szükségesnek és arányosnak ítéli, a 26. cikk (1) bek</w:t>
      </w:r>
      <w:r>
        <w:rPr>
          <w:noProof/>
        </w:rPr>
        <w:t>ezdése szerint kijelölt hatóságok a végfelhasználók egészségére és biztonságára veszélyt jelentő terméket megsemmisíthetik vagy egyéb módon működésképtelenné tehetik. Az ilyen intézkedések költségei a terméket szabad forgalomba bocsátásra bejelentő személy</w:t>
      </w:r>
      <w:r>
        <w:rPr>
          <w:noProof/>
        </w:rPr>
        <w:t>t terhelik.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ab/>
        <w:t>A 952/2013/EU rendelet 197., 198. és 199. cikkeit kell megfelelően alkalmazni.</w:t>
      </w:r>
    </w:p>
    <w:p w:rsidR="001E667A" w:rsidRDefault="005F0856">
      <w:pPr>
        <w:pStyle w:val="ChapterTitle"/>
        <w:rPr>
          <w:noProof/>
        </w:rPr>
      </w:pPr>
      <w:r>
        <w:rPr>
          <w:noProof/>
        </w:rPr>
        <w:t>VIII. fejezet</w:t>
      </w:r>
    </w:p>
    <w:p w:rsidR="001E667A" w:rsidRDefault="005F0856">
      <w:pPr>
        <w:pStyle w:val="ChapterTitle"/>
        <w:rPr>
          <w:noProof/>
        </w:rPr>
      </w:pPr>
      <w:r>
        <w:rPr>
          <w:noProof/>
        </w:rPr>
        <w:t>Összehangolt végrehajtás és nemzetközi együttműködés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31. cikk</w:t>
      </w:r>
    </w:p>
    <w:p w:rsidR="001E667A" w:rsidRDefault="005F0856">
      <w:pPr>
        <w:jc w:val="center"/>
        <w:rPr>
          <w:b/>
          <w:noProof/>
        </w:rPr>
      </w:pPr>
      <w:r>
        <w:rPr>
          <w:b/>
          <w:noProof/>
        </w:rPr>
        <w:t xml:space="preserve">Európai uniós termékmegfelelőségi hálózat </w:t>
      </w:r>
    </w:p>
    <w:p w:rsidR="001E667A" w:rsidRDefault="005F0856">
      <w:pPr>
        <w:pStyle w:val="Nromal"/>
        <w:rPr>
          <w:noProof/>
        </w:rPr>
      </w:pPr>
      <w:r>
        <w:rPr>
          <w:noProof/>
        </w:rPr>
        <w:t xml:space="preserve">Az európai uniós termékmegfelelőségi hálózat </w:t>
      </w:r>
      <w:r>
        <w:rPr>
          <w:noProof/>
        </w:rPr>
        <w:t>(a továbbiakban: hálózat) létrejön.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32. cikk</w:t>
      </w:r>
    </w:p>
    <w:p w:rsidR="001E667A" w:rsidRDefault="005F0856">
      <w:pPr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Az európai uniós termékmegfelelőségi hálózat felépítése</w:t>
      </w:r>
    </w:p>
    <w:p w:rsidR="001E667A" w:rsidRDefault="005F0856">
      <w:pPr>
        <w:pStyle w:val="Point0number"/>
        <w:numPr>
          <w:ilvl w:val="0"/>
          <w:numId w:val="38"/>
        </w:numPr>
        <w:rPr>
          <w:noProof/>
        </w:rPr>
      </w:pPr>
      <w:r>
        <w:rPr>
          <w:noProof/>
        </w:rPr>
        <w:t>A hálózat az európai uniós termékmegfelelőségi testületből (továbbiakban: EUPC testület), igazgatási koordinációs csoportokból és titkárságból áll.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Az EUPC</w:t>
      </w:r>
      <w:r>
        <w:rPr>
          <w:noProof/>
        </w:rPr>
        <w:t xml:space="preserve"> testület a 11. cikkben említett összekötő hivatalok mindegyikének egy-egy képviselőjéből és a Bizottság két képviselőjéből, valamint a póttagokból áll.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Bizottság az e rendelet mellékletében felsorolt minden uniós harmonizációs jogi eszközhöz kapcsolódóa</w:t>
      </w:r>
      <w:r>
        <w:rPr>
          <w:noProof/>
        </w:rPr>
        <w:t>n külön vagy közös igazgatási koordinációs csoportokat hoz létre. Minden egyes igazgatási koordinációs csoport az illetékes nemzeti piacfelügyeleti hatóságok és, adott esetben az összekötő hivatalok, valamint a releváns vállalkozói szövetségek és a fogyasz</w:t>
      </w:r>
      <w:r>
        <w:rPr>
          <w:noProof/>
        </w:rPr>
        <w:t>tói szervezetek képviselőiből áll.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titkárságot a Bizottság személyzete adja.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 xml:space="preserve">A Bizottság részt vehet az igazgatási koordinációs csoportok ülésein. 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33. cikk</w:t>
      </w:r>
    </w:p>
    <w:p w:rsidR="001E667A" w:rsidRDefault="005F0856">
      <w:pPr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Összehangolt végrehajtási feladatok</w:t>
      </w:r>
    </w:p>
    <w:p w:rsidR="001E667A" w:rsidRDefault="005F0856">
      <w:pPr>
        <w:pStyle w:val="Point0number"/>
        <w:numPr>
          <w:ilvl w:val="0"/>
          <w:numId w:val="39"/>
        </w:numPr>
        <w:rPr>
          <w:noProof/>
        </w:rPr>
      </w:pPr>
      <w:r>
        <w:rPr>
          <w:noProof/>
        </w:rPr>
        <w:t>A Bizottság az alábbi feladatokat látja el: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 titkárság ja</w:t>
      </w:r>
      <w:r>
        <w:rPr>
          <w:noProof/>
        </w:rPr>
        <w:t>vaslata alapján elfogadja a hálózat</w:t>
      </w:r>
      <w:r>
        <w:rPr>
          <w:noProof/>
          <w:color w:val="FF0000"/>
        </w:rPr>
        <w:t xml:space="preserve"> </w:t>
      </w:r>
      <w:r>
        <w:rPr>
          <w:noProof/>
        </w:rPr>
        <w:t>munkaprogramját és felügyeli annak megvalósítását;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segíti a 6. cikkben említett termékügyi kapcsolattartó pontok működését;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összehangolja a 11. cikkben említett összekötő hivatalok tevékenységét;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segíti a 20. ci</w:t>
      </w:r>
      <w:r>
        <w:rPr>
          <w:noProof/>
        </w:rPr>
        <w:t>kkben említett uniós vizsgálóhelyek kialakítását és működését;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alkalmazza a 35. cikkben említett nemzetközi együttműködést szolgáló eszközöket;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>megszervezi a piacfelügyeleti hatóságok között az együttműködést, valamint az információk és bevált gyakor</w:t>
      </w:r>
      <w:r>
        <w:rPr>
          <w:noProof/>
        </w:rPr>
        <w:t xml:space="preserve">latok hatékony megosztását;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g)</w:t>
      </w:r>
      <w:r>
        <w:rPr>
          <w:noProof/>
        </w:rPr>
        <w:tab/>
        <w:t xml:space="preserve">kialakítja és fenntartja a 34. cikkben említett rendszert, beleértve az adott cikk (4) bekezdésében szereplő egyablakos uniós felületet, és e rendszeren keresztül tájékoztatja a közvéleményt;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h)</w:t>
      </w:r>
      <w:r>
        <w:rPr>
          <w:noProof/>
        </w:rPr>
        <w:tab/>
        <w:t>megszervezi az EUPC testület</w:t>
      </w:r>
      <w:r>
        <w:rPr>
          <w:noProof/>
        </w:rPr>
        <w:t xml:space="preserve"> és a 32. cikkben említett igazgatási koordinációs csoportok üléseit;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i)</w:t>
      </w:r>
      <w:r>
        <w:rPr>
          <w:noProof/>
        </w:rPr>
        <w:tab/>
        <w:t>segíti a hálózatot az uniós harmonizációs jogszabályok alkalmazásához kapcsolódóan megvalósított piacfelügyeleti fellépésekhez kapcsolódó előzetes vagy kiegészítő munka: úgymint tanul</w:t>
      </w:r>
      <w:r>
        <w:rPr>
          <w:noProof/>
        </w:rPr>
        <w:t>mányok, programok, értékelések, útmutatók, összehasonlító elemzések, kölcsönös közös látogatások, kutatómunka, adatbázisok fejlesztése és karbantartása, képzési tevékenységek, laboratóriumi munka, a szakmai jártasság vizsgálata, laboratóriumok közötti vizs</w:t>
      </w:r>
      <w:r>
        <w:rPr>
          <w:noProof/>
        </w:rPr>
        <w:t>gálatok és megfelelőségértékelési munka, továbbá uniós piacfelügyeleti kampányok és hasonló tevékenységek elvégzésében.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j)</w:t>
      </w:r>
      <w:r>
        <w:rPr>
          <w:noProof/>
        </w:rPr>
        <w:tab/>
        <w:t>szakértői vizsgálatokat, közös képzési programokat szervez, valamint megkönnyíti a piacfelügyeleti hatóságok közötti, és adott esetbe</w:t>
      </w:r>
      <w:r>
        <w:rPr>
          <w:noProof/>
        </w:rPr>
        <w:t>n harmadik országok piacfelügyeleti hatóságaival vagy nemzetközi szervezetekkel történő személyzetcseréket;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k)</w:t>
      </w:r>
      <w:r>
        <w:rPr>
          <w:noProof/>
        </w:rPr>
        <w:tab/>
        <w:t xml:space="preserve">technikai segítségnyújtási programok keretében végez különböző tevékenységeket, együttműködik harmadik országokkal, valamint uniós és nemzetközi </w:t>
      </w:r>
      <w:r>
        <w:rPr>
          <w:noProof/>
        </w:rPr>
        <w:t>szinten népszerűsíti és kiterjeszti az uniós piacfelügyeleti politikákat és rendszereket az érdekeltek között;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l)</w:t>
      </w:r>
      <w:r>
        <w:rPr>
          <w:noProof/>
        </w:rPr>
        <w:tab/>
        <w:t>elősegíti a piacfelügyelet területén létrejövő igazgatási együttműködést szolgáló műszaki és tudományos szakértelem megszerzését;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m)</w:t>
      </w:r>
      <w:r>
        <w:rPr>
          <w:noProof/>
        </w:rPr>
        <w:tab/>
        <w:t>saját kez</w:t>
      </w:r>
      <w:r>
        <w:rPr>
          <w:noProof/>
        </w:rPr>
        <w:t>deményezésére vagy az EUPC testület felkérésére megvizsgál bármely, az e rendelet alkalmazásának vonatkozásában felmerülő kérdést, valamint a rendelet következetes alkalmazásának előmozdítása érdekében iránymutatásokat, ajánlásokat és bevált gyakorlatokkal</w:t>
      </w:r>
      <w:r>
        <w:rPr>
          <w:noProof/>
        </w:rPr>
        <w:t xml:space="preserve"> kapcsolatos tájékoztatókat ad ki, egyebek mellett meghatározza a minimális szankciókra vonatkozó előírásokat.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Az EUPC testület az alábbi feladatokat látja el: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meghatározza a közös piacfelügyeleti fellépések prioritásait;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gondoskodik az igazgatási ko</w:t>
      </w:r>
      <w:r>
        <w:rPr>
          <w:noProof/>
        </w:rPr>
        <w:t>ordinációs csoportok és az azok által végzett tevékenységek összehangolásáról és nyomon követéséről;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segítséget nyújt a 8. cikkben említett egyetértési megállapodások kidolgozásához és megvalósításához;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</w:r>
      <w:r>
        <w:rPr>
          <w:noProof/>
        </w:rPr>
        <w:t xml:space="preserve">elfogadja a saját magára és az igazgatási koordinációs csoportok működésére vonatkozó eljárási szabályokat.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Az igazgatási koordinációs csoportok az alábbi feladatokat látják el: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az illetékességi területükön belül összehangolják az uniós harmonizációs j</w:t>
      </w:r>
      <w:r>
        <w:rPr>
          <w:noProof/>
        </w:rPr>
        <w:t>ogszabályok végrehajtását;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biztosítják, hogy a nemzeti piacfelügyeleti hatóságok által meghozott végrehajtási intézkedéseket az egész Unióban nyomon kövessék;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növelik a piacfelügyelet egész egységes piacon belüli hatékonyságát, szem előtt tartva a ta</w:t>
      </w:r>
      <w:r>
        <w:rPr>
          <w:noProof/>
        </w:rPr>
        <w:t>gállami piacfelügyeleti rendszerek különbözőségét;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kialakítják a nemzeti piacfelügyeleti hatóságok és a hálózat közötti megfelelő kommunikációs csatornákat;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kialakítják és összehangolják a közös beavatkozásokat, mint amilyenek a határon átnyúló piacf</w:t>
      </w:r>
      <w:r>
        <w:rPr>
          <w:noProof/>
        </w:rPr>
        <w:t xml:space="preserve">elügyeleti tevékenységek;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 xml:space="preserve">a hatékony piacfelügyeletet szolgáló közös gyakorlatokat és módszereket fejlesztenek ki;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g)</w:t>
      </w:r>
      <w:r>
        <w:rPr>
          <w:noProof/>
        </w:rPr>
        <w:tab/>
      </w:r>
      <w:r>
        <w:rPr>
          <w:noProof/>
        </w:rPr>
        <w:t xml:space="preserve">tájékoztatják egymást a nemzeti piacfelügyeleti módszerekről és tevékenységekről, valamint bevált gyakorlatokat fejlesztenek és támogatnak;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h)</w:t>
      </w:r>
      <w:r>
        <w:rPr>
          <w:noProof/>
        </w:rPr>
        <w:tab/>
        <w:t>a piacfelügyelettel kapcsolatos közös érdeket érintő kérdéseket tárnak fel, és az elfogadandó közös megközelítés</w:t>
      </w:r>
      <w:r>
        <w:rPr>
          <w:noProof/>
        </w:rPr>
        <w:t>ekre tesznek javaslatot.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34. cikk</w:t>
      </w:r>
    </w:p>
    <w:p w:rsidR="001E667A" w:rsidRDefault="005F0856">
      <w:pPr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Információs és kommunikációs rendszer</w:t>
      </w:r>
    </w:p>
    <w:p w:rsidR="001E667A" w:rsidRDefault="005F0856">
      <w:pPr>
        <w:pStyle w:val="Point0number"/>
        <w:numPr>
          <w:ilvl w:val="0"/>
          <w:numId w:val="40"/>
        </w:numPr>
        <w:rPr>
          <w:noProof/>
        </w:rPr>
      </w:pPr>
      <w:r>
        <w:rPr>
          <w:noProof/>
        </w:rPr>
        <w:t>A Bizottság az uniós harmonizációs jogszabályok végrehajtásával kapcsolatos ügyekre vonatkozó információk, rendszerezett formában történő összegyűjtésére és tárolására szolgáló informá</w:t>
      </w:r>
      <w:r>
        <w:rPr>
          <w:noProof/>
        </w:rPr>
        <w:t>ciós és kommunikációs rendszert fejleszt ki és tart fenn. A rendszerhez a Bizottság, az összekötő hivatalok és a 26. cikk (1) bekezdésének megfelelően kijelölt hatóságok férnek hozzá.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Az összekötő hivatalok az alábbi információkat viszik be a rendszerbe: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</w:t>
      </w:r>
      <w:r>
        <w:rPr>
          <w:noProof/>
        </w:rPr>
        <w:t>)</w:t>
      </w:r>
      <w:r>
        <w:rPr>
          <w:noProof/>
        </w:rPr>
        <w:tab/>
        <w:t>a tagállami piacfelügyeleti hatóságok megnevezését és a piacfelügyeleti hatóságok 11. cikk (1) bekezdése értelmében meghatározott illetékességi területeit;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 tagállamok által, a termékekre vonatkozóan, az Unió külső határain elvégzendő ellenőrzésekért</w:t>
      </w:r>
      <w:r>
        <w:rPr>
          <w:noProof/>
        </w:rPr>
        <w:t xml:space="preserve"> felelős hatóságnak kijelölt hatóságok megnevezése.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piacfelügyeleti hatóságok az alábbi információkat viszik be a rendszerbe: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 tagállam által a 13. cikknek megfelelően kidolgozott nemzeti piacfelügyeleti stratégiával kapcsolatos információkat;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az </w:t>
      </w:r>
      <w:r>
        <w:rPr>
          <w:noProof/>
        </w:rPr>
        <w:t>általuk a 7. cikknek megfelelően megkötött partnerségi megállapodásokat;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a tagállam által elkészített piacfelügyeleti stratégia nyomon követésének, felülvizsgálatának és értékelésének eredményeit;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a nem megfelelő termékekkel kapcsolatos problémákról </w:t>
      </w:r>
      <w:r>
        <w:rPr>
          <w:noProof/>
        </w:rPr>
        <w:t xml:space="preserve">hozzájuk beérkezett minden panaszt, valamint az ezekről általuk készített jelentéseket;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 xml:space="preserve">a 2001/95/EK irányelv 12. cikkének és e rendelet 19. cikkének sérelme nélkül a területükön forgalmazott termékek tekintetében az alábbi információkat: </w:t>
      </w:r>
    </w:p>
    <w:p w:rsidR="001E667A" w:rsidRDefault="005F0856">
      <w:pPr>
        <w:pStyle w:val="Text2"/>
        <w:tabs>
          <w:tab w:val="left" w:pos="1985"/>
        </w:tabs>
        <w:rPr>
          <w:noProof/>
        </w:rPr>
      </w:pPr>
      <w:r>
        <w:rPr>
          <w:noProof/>
        </w:rPr>
        <w:t>i.</w:t>
      </w:r>
      <w:r>
        <w:rPr>
          <w:noProof/>
        </w:rPr>
        <w:tab/>
        <w:t>bármely m</w:t>
      </w:r>
      <w:r>
        <w:rPr>
          <w:noProof/>
        </w:rPr>
        <w:t xml:space="preserve">eg nem felelést; </w:t>
      </w:r>
    </w:p>
    <w:p w:rsidR="001E667A" w:rsidRDefault="005F0856">
      <w:pPr>
        <w:pStyle w:val="Text2"/>
        <w:ind w:left="1985" w:hanging="568"/>
        <w:rPr>
          <w:noProof/>
        </w:rPr>
      </w:pPr>
      <w:r>
        <w:rPr>
          <w:noProof/>
        </w:rPr>
        <w:t>ii.</w:t>
      </w:r>
      <w:r>
        <w:rPr>
          <w:noProof/>
        </w:rPr>
        <w:tab/>
        <w:t xml:space="preserve">a veszély meghatározását és az érintett gazdasági szereplő megnevezését; </w:t>
      </w:r>
    </w:p>
    <w:p w:rsidR="001E667A" w:rsidRDefault="005F0856">
      <w:pPr>
        <w:pStyle w:val="Text2"/>
        <w:ind w:left="1984" w:hanging="567"/>
        <w:rPr>
          <w:noProof/>
        </w:rPr>
      </w:pPr>
      <w:r>
        <w:rPr>
          <w:noProof/>
        </w:rPr>
        <w:t>iii.</w:t>
      </w:r>
      <w:r>
        <w:rPr>
          <w:noProof/>
        </w:rPr>
        <w:tab/>
        <w:t>bármely olyan esetleges veszélyt, amely nem korlátozódik a területükre;</w:t>
      </w:r>
    </w:p>
    <w:p w:rsidR="001E667A" w:rsidRDefault="005F0856">
      <w:pPr>
        <w:pStyle w:val="Text2"/>
        <w:ind w:left="1984" w:hanging="567"/>
        <w:rPr>
          <w:noProof/>
        </w:rPr>
      </w:pPr>
      <w:r>
        <w:rPr>
          <w:noProof/>
        </w:rPr>
        <w:t>iv.</w:t>
      </w:r>
      <w:r>
        <w:rPr>
          <w:noProof/>
        </w:rPr>
        <w:tab/>
        <w:t xml:space="preserve">az általuk vagy az érintett gazdasági szereplő által elvégzett vizsgálatok </w:t>
      </w:r>
      <w:r>
        <w:rPr>
          <w:noProof/>
        </w:rPr>
        <w:t>eredményeit;</w:t>
      </w:r>
    </w:p>
    <w:p w:rsidR="001E667A" w:rsidRDefault="005F0856">
      <w:pPr>
        <w:pStyle w:val="Text2"/>
        <w:ind w:left="1984" w:hanging="567"/>
        <w:rPr>
          <w:noProof/>
        </w:rPr>
      </w:pPr>
      <w:r>
        <w:rPr>
          <w:noProof/>
        </w:rPr>
        <w:t>v.</w:t>
      </w:r>
      <w:r>
        <w:rPr>
          <w:noProof/>
        </w:rPr>
        <w:tab/>
        <w:t>a gazdasági szereplők által megtett önkéntes intézkedésekkel kapcsolatos információkat;</w:t>
      </w:r>
    </w:p>
    <w:p w:rsidR="001E667A" w:rsidRDefault="005F0856">
      <w:pPr>
        <w:pStyle w:val="Text2"/>
        <w:ind w:left="1984" w:hanging="567"/>
        <w:rPr>
          <w:noProof/>
        </w:rPr>
      </w:pPr>
      <w:r>
        <w:rPr>
          <w:noProof/>
        </w:rPr>
        <w:t>vi.</w:t>
      </w:r>
      <w:r>
        <w:rPr>
          <w:noProof/>
        </w:rPr>
        <w:tab/>
        <w:t>az adott piacfelügyeleti hatóságok által hozott korlátozó intézkedésekkel, és adott esetben a megállapított szankciókkal kapcsolatos információkat;</w:t>
      </w:r>
    </w:p>
    <w:p w:rsidR="001E667A" w:rsidRDefault="005F0856">
      <w:pPr>
        <w:pStyle w:val="Text2"/>
        <w:ind w:left="1984" w:hanging="567"/>
        <w:rPr>
          <w:noProof/>
        </w:rPr>
      </w:pPr>
      <w:r>
        <w:rPr>
          <w:noProof/>
        </w:rPr>
        <w:t>vii.</w:t>
      </w:r>
      <w:r>
        <w:rPr>
          <w:noProof/>
        </w:rPr>
        <w:tab/>
        <w:t>valamely gazdasági szereplővel való kapcsolatfelvétel eredményeit, és a gazdasági szereplő ennek nyomán tett intézkedéseit;</w:t>
      </w:r>
    </w:p>
    <w:p w:rsidR="001E667A" w:rsidRDefault="005F0856">
      <w:pPr>
        <w:pStyle w:val="Text2"/>
        <w:ind w:left="1984" w:hanging="567"/>
        <w:rPr>
          <w:noProof/>
        </w:rPr>
      </w:pPr>
      <w:r>
        <w:rPr>
          <w:noProof/>
        </w:rPr>
        <w:t>viii.</w:t>
      </w:r>
      <w:r>
        <w:rPr>
          <w:noProof/>
        </w:rPr>
        <w:tab/>
        <w:t>a termékmegfelelési információkért felelős személy által a 4. cikk (3) bekezdése előírásainak teljesítése terén elkövetet</w:t>
      </w:r>
      <w:r>
        <w:rPr>
          <w:noProof/>
        </w:rPr>
        <w:t>t mulasztásokat;</w:t>
      </w:r>
    </w:p>
    <w:p w:rsidR="001E667A" w:rsidRDefault="005F0856">
      <w:pPr>
        <w:pStyle w:val="Text2"/>
        <w:ind w:left="1984" w:hanging="567"/>
        <w:rPr>
          <w:noProof/>
        </w:rPr>
      </w:pPr>
      <w:r>
        <w:rPr>
          <w:noProof/>
        </w:rPr>
        <w:t xml:space="preserve">ix. </w:t>
      </w:r>
      <w:r>
        <w:rPr>
          <w:noProof/>
        </w:rPr>
        <w:tab/>
        <w:t xml:space="preserve">a gyártók által 4. cikk (4) bekezdésében előírtak teljesítése terén elkövetett mulasztásokat;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>az uniós piacra belépő azon termékekre vonatkozóan, amelyek esetében a szabad forgalomba bocsátásra irányuló eljárás a 27. cikknek megfe</w:t>
      </w:r>
      <w:r>
        <w:rPr>
          <w:noProof/>
        </w:rPr>
        <w:t>lelően a területükön felfüggesztésre került, az alábbi információkat:</w:t>
      </w:r>
    </w:p>
    <w:p w:rsidR="001E667A" w:rsidRDefault="005F0856">
      <w:pPr>
        <w:pStyle w:val="Text2"/>
        <w:ind w:left="1984" w:hanging="567"/>
        <w:rPr>
          <w:noProof/>
        </w:rPr>
      </w:pPr>
      <w:r>
        <w:rPr>
          <w:noProof/>
        </w:rPr>
        <w:t>i.</w:t>
      </w:r>
      <w:r>
        <w:rPr>
          <w:noProof/>
        </w:rPr>
        <w:tab/>
        <w:t>bármely meg nem felelést;</w:t>
      </w:r>
    </w:p>
    <w:p w:rsidR="001E667A" w:rsidRDefault="005F0856">
      <w:pPr>
        <w:pStyle w:val="Text2"/>
        <w:ind w:left="1984" w:hanging="567"/>
        <w:rPr>
          <w:noProof/>
        </w:rPr>
      </w:pPr>
      <w:r>
        <w:rPr>
          <w:noProof/>
        </w:rPr>
        <w:t>ii.</w:t>
      </w:r>
      <w:r>
        <w:rPr>
          <w:noProof/>
        </w:rPr>
        <w:tab/>
        <w:t>a veszély meghatározását és az érintett gazdasági szereplő megnevezését;</w:t>
      </w:r>
    </w:p>
    <w:p w:rsidR="001E667A" w:rsidRDefault="005F0856">
      <w:pPr>
        <w:pStyle w:val="Text2"/>
        <w:ind w:left="1984" w:hanging="567"/>
        <w:rPr>
          <w:noProof/>
        </w:rPr>
      </w:pPr>
      <w:r>
        <w:rPr>
          <w:noProof/>
        </w:rPr>
        <w:t>iii.</w:t>
      </w:r>
      <w:r>
        <w:rPr>
          <w:noProof/>
        </w:rPr>
        <w:tab/>
        <w:t xml:space="preserve">az általuk vagy az érintett gazdasági szereplő által elvégzett vizsgálatok </w:t>
      </w:r>
      <w:r>
        <w:rPr>
          <w:noProof/>
        </w:rPr>
        <w:t>eredményeit;</w:t>
      </w:r>
    </w:p>
    <w:p w:rsidR="001E667A" w:rsidRDefault="005F0856">
      <w:pPr>
        <w:pStyle w:val="Text2"/>
        <w:ind w:left="1984" w:hanging="567"/>
        <w:rPr>
          <w:noProof/>
        </w:rPr>
      </w:pPr>
      <w:r>
        <w:rPr>
          <w:noProof/>
        </w:rPr>
        <w:t>iv.</w:t>
      </w:r>
      <w:r>
        <w:rPr>
          <w:noProof/>
        </w:rPr>
        <w:tab/>
        <w:t>az adott piacfelügyeleti hatóságok által hozott korlátozó intézkedésekkel, és adott esetben a megállapított szankciókkal kapcsolatos információkat;</w:t>
      </w:r>
    </w:p>
    <w:p w:rsidR="001E667A" w:rsidRDefault="005F0856">
      <w:pPr>
        <w:pStyle w:val="Text2"/>
        <w:ind w:left="1984" w:hanging="567"/>
        <w:rPr>
          <w:noProof/>
        </w:rPr>
      </w:pPr>
      <w:r>
        <w:rPr>
          <w:noProof/>
        </w:rPr>
        <w:t>v.</w:t>
      </w:r>
      <w:r>
        <w:rPr>
          <w:noProof/>
        </w:rPr>
        <w:tab/>
        <w:t>valamely gazdasági szereplővel való kapcsolatfelvétel eredményeit, és a gazdasági szerep</w:t>
      </w:r>
      <w:r>
        <w:rPr>
          <w:noProof/>
        </w:rPr>
        <w:t>lő ennek nyomán tett intézkedéseit;</w:t>
      </w:r>
    </w:p>
    <w:p w:rsidR="001E667A" w:rsidRDefault="005F0856">
      <w:pPr>
        <w:pStyle w:val="Text2"/>
        <w:ind w:left="1984" w:hanging="567"/>
        <w:rPr>
          <w:noProof/>
        </w:rPr>
      </w:pPr>
      <w:r>
        <w:rPr>
          <w:noProof/>
        </w:rPr>
        <w:t>vi.</w:t>
      </w:r>
      <w:r>
        <w:rPr>
          <w:noProof/>
        </w:rPr>
        <w:tab/>
        <w:t>a piacfelügyeleti hatóság által vagy annak felkérésére készített minden egyéb ellenőrzési vagy vizsgálati jelentést;</w:t>
      </w:r>
    </w:p>
    <w:p w:rsidR="001E667A" w:rsidRDefault="005F0856">
      <w:pPr>
        <w:pStyle w:val="Text2"/>
        <w:ind w:left="1984" w:hanging="567"/>
        <w:rPr>
          <w:noProof/>
        </w:rPr>
      </w:pPr>
      <w:r>
        <w:rPr>
          <w:noProof/>
        </w:rPr>
        <w:t>vii.</w:t>
      </w:r>
      <w:r>
        <w:rPr>
          <w:noProof/>
        </w:rPr>
        <w:tab/>
        <w:t>a tagállamok által a termékre vonatkozó uniós harmonizációs jogszabályok keretében alkalmazand</w:t>
      </w:r>
      <w:r>
        <w:rPr>
          <w:noProof/>
        </w:rPr>
        <w:t>ó védzáradéki eljárásnak megfelelően emelt bármely kifogást, és az ennek nyomán tett intézkedéseket;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Amikor azok az uniós harmonizációs jogszabályok végrehajtása vagy a kockázat minimalizálása és a csalás elleni küzdelem szempontjából relevánsak, a vámható</w:t>
      </w:r>
      <w:r>
        <w:rPr>
          <w:noProof/>
        </w:rPr>
        <w:t xml:space="preserve">ságok a termékek szabad forgalomba bocsátás típusú vámeljárás alá vonására és a termékbiztonsághoz kapcsolódó ellenőrzések eredményeire vonatkozó adatokat kinyerik a nemzeti vámrendszerekből, és továbbítják az információs és kommunikációs rendszerbe. 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t>A Bi</w:t>
      </w:r>
      <w:r>
        <w:rPr>
          <w:noProof/>
        </w:rPr>
        <w:t xml:space="preserve">zottság, az egyablakos uniós vámkörnyezet kialakítása keretében, az ezen adatok továbbítását lehetővé tevő elektronikus felületet fejleszt ki. Az felületnek a végrehajtási jogi aktusok elfogadásától számított [négy év] múlva kell rendelkezésre állnia.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p</w:t>
      </w:r>
      <w:r>
        <w:rPr>
          <w:noProof/>
        </w:rPr>
        <w:t>iacfelügyeleti hatóságok a más tagállamok megfelelő hatóságai által készített, és az információs és kommunikációs rendszerbe bevitt vizsgálati jelentések érvényességét elismerik és azokat felhasználják.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Bizottság végrehajtási jogi aktusok elfogadása révé</w:t>
      </w:r>
      <w:r>
        <w:rPr>
          <w:noProof/>
        </w:rPr>
        <w:t xml:space="preserve">n meghatározza az (1)–(4) bekezdés végrehajtási rendelkezéseit, valamint a (4) bekezdésnek megfelelően továbbítandó adatok körét. Ezeket a végrehajtási jogi aktusokat a 63. cikkben említett vizsgálóbizottsági eljárásnak megfelelően kell elfogadni. 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35. cik</w:t>
      </w:r>
      <w:r>
        <w:rPr>
          <w:noProof/>
        </w:rPr>
        <w:t>k</w:t>
      </w:r>
    </w:p>
    <w:p w:rsidR="001E667A" w:rsidRDefault="005F0856">
      <w:pPr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Nemzetközi együttműködés</w:t>
      </w:r>
    </w:p>
    <w:p w:rsidR="001E667A" w:rsidRDefault="005F0856">
      <w:pPr>
        <w:pStyle w:val="Point0number"/>
        <w:numPr>
          <w:ilvl w:val="0"/>
          <w:numId w:val="41"/>
        </w:numPr>
        <w:rPr>
          <w:noProof/>
        </w:rPr>
      </w:pPr>
      <w:r>
        <w:rPr>
          <w:noProof/>
        </w:rPr>
        <w:t xml:space="preserve">A Bizottság kicserélhet a piacfelügyelettel kapcsolatos bizalmas információkat harmadik országok szabályozó hatóságaival vagy nemzetközi szervezetekkel, amennyiben azokkal a hatóságokkal vagy szervezetekkel viszonosságon alapuló </w:t>
      </w:r>
      <w:r>
        <w:rPr>
          <w:noProof/>
        </w:rPr>
        <w:t>titoktartási megállapodásokat kötött.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Bizottság a csatlakozni kívánó országokkal, harmadik országokkal vagy a nemzetközi szervezetekkel létrejövő együttműködésekre és a 2001/95/EK irányelv 12. cikke által előírt információmegosztó rendszerben lévő bizony</w:t>
      </w:r>
      <w:r>
        <w:rPr>
          <w:noProof/>
        </w:rPr>
        <w:t>os információk azokkal történő kicserélésre vonatkozó keretet hozhat létre. Az együttműködés és az információcsere többek között az alábbiakra vonatkozhat: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az alkalmazott kockázatértékelési módszerekre és a termékvizsgálatok eredményeire;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összehangol</w:t>
      </w:r>
      <w:r>
        <w:rPr>
          <w:noProof/>
        </w:rPr>
        <w:t xml:space="preserve">t termékvisszahívásra vagy egyéb hasonló fellépésekre;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a piacfelügyeleti hatóságok 15. cikknek megfelelően hozott intézkedéseire.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Bizottság jóváhagyhat valamely harmadik ország által a termékekre vonatkozóan, azok Unióba történő kivitelét közvetlenül</w:t>
      </w:r>
      <w:r>
        <w:rPr>
          <w:noProof/>
        </w:rPr>
        <w:t xml:space="preserve"> megelőzően alkalmazott kivitel előtti termékhez kötődő egyedi ellenőrző rendszert, amelynek célja annak ellenőrzése, hogy az adott termékek teljesítik a rájuk vonatkozó uniós harmonizációs jogszabályok előírásait. A jóváhagyás egy vagy több termékre, egy </w:t>
      </w:r>
      <w:r>
        <w:rPr>
          <w:noProof/>
        </w:rPr>
        <w:t>vagy több termékkategóriára, vagy bizonyos gyártók által előállított termékekre vagy termékkategóriákra adható meg.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Ha ezen jóváhagyás megadására került sor, az uniós piacra belépő (3) bekezdésben említett termékek vagy termékkategóriák behozatali ellenőrz</w:t>
      </w:r>
      <w:r>
        <w:rPr>
          <w:noProof/>
        </w:rPr>
        <w:t xml:space="preserve">éseinek száma és gyakorisága csökkenthető. 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t>A vámhatóságok ugyanakkor elvégezhetik az uniós piacra belépő ezen termékek vagy termékkategóriák ellenőrzését, annak érdekében, hogy meggyőződjenek róla, hogy a harmadik ország által a kivitel előtt elvégzett el</w:t>
      </w:r>
      <w:r>
        <w:rPr>
          <w:noProof/>
        </w:rPr>
        <w:t>lenőrzések eredményesek az uniós harmonizációs jogszabályoknak való megfelelés megállapítása tekintetében.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 xml:space="preserve">A (3) bekezdés szerinti jóváhagyás csak azt követően adható meg valamely harmadik ország számára, hogy az Unióban végrehajtott ellenőrzés során </w:t>
      </w:r>
      <w:r>
        <w:rPr>
          <w:noProof/>
        </w:rPr>
        <w:t>bebizonyosodott, hogy teljesülnek az alábbi feltételek: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a harmadik országból az Unióba kivitt termékek teljesítik az uniós harmonizációs jogszabályokban meghatározott előírásokat;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 harmadik országban elvégzett ellenőrzések kellően hatékonyak és ere</w:t>
      </w:r>
      <w:r>
        <w:rPr>
          <w:noProof/>
        </w:rPr>
        <w:t>dményesek ahhoz, hogy a jogszabályokban meghatározott irat- és fizikai ellenőrzések helyébe lépjenek vagy azokat csökkentsék.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(3) bekezdés szerinti jóváhagyásnak rendelkeznie kell a harmadik ország kivitelt megelőzően elvégzendő ellenőrzések végrehajtásá</w:t>
      </w:r>
      <w:r>
        <w:rPr>
          <w:noProof/>
        </w:rPr>
        <w:t>ért felelős és az Unióval történő kapcsolattartás tekintetében mindenkor partnerként eljáró illetékes hatóságáról.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 xml:space="preserve">A (6) bekezdésben említett illetékes hatóságnak kell biztosítania a termékek Unióba történő belépését megelőző hivatalos ellenőrzését.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Amenn</w:t>
      </w:r>
      <w:r>
        <w:rPr>
          <w:noProof/>
        </w:rPr>
        <w:t xml:space="preserve">yiben az uniós piacra belépő (3) bekezdésben említett termékeken végrehajtott ellenőrzések a szabályoknak való jelentős mértékű meg nem felelést tárnak fel, a piacfelügyeleti hatóságok a 34. cikkben említett rendszeren keresztül haladéktalanul értesítik a </w:t>
      </w:r>
      <w:r>
        <w:rPr>
          <w:noProof/>
        </w:rPr>
        <w:t>Bizottságot, és megnövelik az ezen termékekre irányuló ellenőrzések számát.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Ha az uniós piacra belépő termékekkel kapcsolatban számottevő esetben bebizonyosodik, hogy nem felelnek meg az uniós harmonizációs jogszabályoknak, a Bizottság a (3) bekezdés szeri</w:t>
      </w:r>
      <w:r>
        <w:rPr>
          <w:noProof/>
        </w:rPr>
        <w:t>nt megadott jóváhagyást visszavonja.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Bizottság a (3) bekezdésben említett, kivitel előtt végrehajtandó termékhez kötődő ellenőrzések megvalósítására vonatkozó végrehajtási jog aktusok révén meghatározza a követendő megfelelőségi bizonyítványt és ellenőrz</w:t>
      </w:r>
      <w:r>
        <w:rPr>
          <w:noProof/>
        </w:rPr>
        <w:t>ési mintát. Ezeket a végrehajtási jogi aktusokat a 63. cikkben említett vizsgálóbizottsági eljárásnak megfelelően kell elfogadni.</w:t>
      </w:r>
    </w:p>
    <w:p w:rsidR="001E667A" w:rsidRDefault="005F0856">
      <w:pPr>
        <w:pStyle w:val="ChapterTitle"/>
        <w:rPr>
          <w:noProof/>
        </w:rPr>
      </w:pPr>
      <w:r>
        <w:rPr>
          <w:noProof/>
        </w:rPr>
        <w:t>IX. fejezet</w:t>
      </w:r>
    </w:p>
    <w:p w:rsidR="001E667A" w:rsidRDefault="005F0856">
      <w:pPr>
        <w:pStyle w:val="ChapterTitle"/>
        <w:rPr>
          <w:noProof/>
        </w:rPr>
      </w:pPr>
      <w:r>
        <w:rPr>
          <w:noProof/>
        </w:rPr>
        <w:t xml:space="preserve">Pénzügyi rendelkezések 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36. cikk</w:t>
      </w:r>
    </w:p>
    <w:p w:rsidR="001E667A" w:rsidRDefault="005F0856">
      <w:pPr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Finanszírozási tevékenységek</w:t>
      </w:r>
    </w:p>
    <w:p w:rsidR="001E667A" w:rsidRDefault="005F0856">
      <w:pPr>
        <w:pStyle w:val="Point0number"/>
        <w:numPr>
          <w:ilvl w:val="0"/>
          <w:numId w:val="42"/>
        </w:numPr>
        <w:rPr>
          <w:noProof/>
        </w:rPr>
      </w:pPr>
      <w:r>
        <w:rPr>
          <w:noProof/>
        </w:rPr>
        <w:t>Az Unió finanszírozást nyújt a 34. cikk szerinti hál</w:t>
      </w:r>
      <w:r>
        <w:rPr>
          <w:noProof/>
        </w:rPr>
        <w:t xml:space="preserve">ózat feladatainak elvégzéséhez.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Az Unió e rendelet alkalmazásához kapcsolódóan az alábbi tevékenységeket finanszírozhatja: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 6. cikkben említett termékügyi kapcsolattartó pontok működését;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20. cikkben említett uniós vizsgálóhelyek kialakítását és </w:t>
      </w:r>
      <w:r>
        <w:rPr>
          <w:noProof/>
        </w:rPr>
        <w:t>működését;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a 35. cikkben említett nemzetközi együttműködést szolgáló eszközök kialakítását;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piacfelügyeleti iránymutatásokhoz való hozzájárulások kidolgozását és frissítését;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műszaki és tudományos szakértelem biztosítását a Bizottság számára, ezze</w:t>
      </w:r>
      <w:r>
        <w:rPr>
          <w:noProof/>
        </w:rPr>
        <w:t xml:space="preserve">l segítve a Bizottságot a piacfelügyeleti igazgatási együttműködés megvalósításában; 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>a 13. cikkben említett nemzeti piacfelügyeleti stratégiák, valamint a tagállamok és uniós piacfelügyeleti kampányok megvalósítását;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g)</w:t>
      </w:r>
      <w:r>
        <w:rPr>
          <w:noProof/>
        </w:rPr>
        <w:tab/>
        <w:t>technikai segítségnyújtási progr</w:t>
      </w:r>
      <w:r>
        <w:rPr>
          <w:noProof/>
        </w:rPr>
        <w:t>amok keretében végzett tevékenységek, együttműködést harmadik országokkal, valamint az uniós piacfelügyeleti politikák és rendszerek népszerűsítését és kiterjesztését uniós és nemzetközi szinten az érdekeltek között.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34. cikk (4) bekezdésében említett el</w:t>
      </w:r>
      <w:r>
        <w:rPr>
          <w:noProof/>
        </w:rPr>
        <w:t>ektronikus felületet az Unió és a tagállamok közösen finanszírozzák. Az Unió felel a központi modul és a hálózathoz való kapcsolódás finanszírozásáért. A tagállamok felelnek a nemzeti rendszereik átalakításának finanszírozásáért.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Az e rendelet tevékenysége</w:t>
      </w:r>
      <w:r>
        <w:rPr>
          <w:noProof/>
        </w:rPr>
        <w:t>ihez nyújtott uniós támogatást a 966/2012/EU, Euratom európai parlamenti és tanácsi rendelet</w:t>
      </w:r>
      <w:r>
        <w:rPr>
          <w:rStyle w:val="FootnoteReference"/>
          <w:noProof/>
        </w:rPr>
        <w:footnoteReference w:id="61"/>
      </w:r>
      <w:r>
        <w:rPr>
          <w:noProof/>
        </w:rPr>
        <w:t xml:space="preserve"> szerint kell végrehajtani, akár közvetlenül vagy a költségvetés végrehajtásával kapcsolatos feladatoknak a rendelet 58. cikke (1) bekezdésének c) pontjában felsor</w:t>
      </w:r>
      <w:r>
        <w:rPr>
          <w:noProof/>
        </w:rPr>
        <w:t>olt entitásokra történő átruházásával.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Az e rendeletben említett tevékenységeknek juttatott összeget minden évben a költségvetési hatóság állapítja meg a hatályos pénzügyi keret alapján.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 xml:space="preserve">A költségvetési hatóság által a piacfelügyeleti tevékenységek </w:t>
      </w:r>
      <w:r>
        <w:rPr>
          <w:noProof/>
        </w:rPr>
        <w:t>finanszírozására meghatározott előirányzat terhére az e rendeletben meghatározott tevékenységek irányításához és a céljaik eléréséhez szükséges előkészítő munkával, nyomon követéssel, ellenőrzéssel, audittal és értékelési tevékenységgel kapcsolatos költség</w:t>
      </w:r>
      <w:r>
        <w:rPr>
          <w:noProof/>
        </w:rPr>
        <w:t>ek is fedezhetők. Ezen költségek tartalmazzák a tanulmánykészítéshez, szakértői találkozók megszervezéséhez, a tájékoztatást és a kommunikációt szolgáló tevékenységekhez kapcsolódó költségeket, beleértve az Unió politikai prioritásainak intézményi kommunik</w:t>
      </w:r>
      <w:r>
        <w:rPr>
          <w:noProof/>
        </w:rPr>
        <w:t>ációját is, amennyiben az a piacfelügyeleti tevékenységek általános céljaihoz kapcsolódik, valamint az elsődlegesen az információfeldolgozást és -cserét szolgáló informatikai hálózatokkal, valamint minden egyéb, a műszaki és igazgatási segítségnyújtással k</w:t>
      </w:r>
      <w:r>
        <w:rPr>
          <w:noProof/>
        </w:rPr>
        <w:t>apcsolatos, a Bizottságnál felmerülő kiadást.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37. cikk</w:t>
      </w:r>
    </w:p>
    <w:p w:rsidR="001E667A" w:rsidRDefault="005F0856">
      <w:pPr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Az Unió pénzügyi érdekeinek védelme</w:t>
      </w:r>
    </w:p>
    <w:p w:rsidR="001E667A" w:rsidRDefault="005F0856">
      <w:pPr>
        <w:pStyle w:val="Point0number"/>
        <w:numPr>
          <w:ilvl w:val="0"/>
          <w:numId w:val="43"/>
        </w:numPr>
        <w:rPr>
          <w:noProof/>
        </w:rPr>
      </w:pPr>
      <w:r>
        <w:rPr>
          <w:noProof/>
        </w:rPr>
        <w:t>A Bizottság – csalás, korrupció és más jogellenes tevékenységek elleni megelőző intézkedések alkalmazásával, hatékony ellenőrzésekkel, szabálytalanság észlelése eset</w:t>
      </w:r>
      <w:r>
        <w:rPr>
          <w:noProof/>
        </w:rPr>
        <w:t>én a jogalap nélkül kifizetett összegek visszafizettetésével, valamint adott esetben hatékony, arányos és visszatartó erejű közigazgatási és pénzügyi szankciókkal – megfelelő intézkedéseket tesz annak biztosítása érdekében, hogy az e rendelet alapján finan</w:t>
      </w:r>
      <w:r>
        <w:rPr>
          <w:noProof/>
        </w:rPr>
        <w:t xml:space="preserve">szírozott tevékenységek végrehajtása során az Unió pénzügyi érdekei védelemben részesüljenek.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Bizottság és képviselői, valamint a Számvevőszék jogosultak dokumentumalapú és helyszíni vizsgálaton alapuló ellenőrzést végezni az e rendelet alapján uniós fo</w:t>
      </w:r>
      <w:r>
        <w:rPr>
          <w:noProof/>
        </w:rPr>
        <w:t>rrásból származó támogatások kedvezményezettjeinél, valamint az e rendelet alapján uniós forrásokban részesülő vállalkozóknál és alvállalkozóknál.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Az Európai Csalás Elleni Hivatal (OLAF) a 883/2013/EU, Euratom európai parlamenti és tanácsi rendeletben</w:t>
      </w:r>
      <w:r>
        <w:rPr>
          <w:rStyle w:val="FootnoteReference"/>
          <w:noProof/>
        </w:rPr>
        <w:footnoteReference w:id="62"/>
      </w:r>
      <w:r>
        <w:rPr>
          <w:noProof/>
        </w:rPr>
        <w:t xml:space="preserve"> és </w:t>
      </w:r>
      <w:r>
        <w:rPr>
          <w:noProof/>
        </w:rPr>
        <w:t>a 2185/96/Euratom, EK tanácsi rendeletben</w:t>
      </w:r>
      <w:r>
        <w:rPr>
          <w:rStyle w:val="FootnoteReference"/>
          <w:noProof/>
        </w:rPr>
        <w:footnoteReference w:id="63"/>
      </w:r>
      <w:r>
        <w:rPr>
          <w:noProof/>
        </w:rPr>
        <w:t xml:space="preserve"> megállapított eljárások szerint vizsgálatokat, többek között helyszíni ellenőrzéseket és vizsgálatokat folytathat le az e rendelet alapján nyújtott finanszírozásra vonatkozó támogatási megállapodással, határozatta</w:t>
      </w:r>
      <w:r>
        <w:rPr>
          <w:noProof/>
        </w:rPr>
        <w:t>l vagy szerződéssel összefüggő csalás, korrupció vagy az Unió pénzügyi érdekeit sértő bármely más jogellenes tevékenység fennállásának megállapítása érdekében.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Az (1), a (2) és a (3) bekezdés sérelme nélkül az e rendelet végrehajtása keretében harmadik ors</w:t>
      </w:r>
      <w:r>
        <w:rPr>
          <w:noProof/>
        </w:rPr>
        <w:t>zágokkal és nemzetközi szervezetekkel kötött együttműködési megállapodásoknak, továbbá a rendelet végrehajtása keretében létrejött szerződéseknek, támogatási megállapodásoknak és támogatási határozatoknak rendelkezéseket kell tartalmazniuk, amelyek kifejez</w:t>
      </w:r>
      <w:r>
        <w:rPr>
          <w:noProof/>
        </w:rPr>
        <w:t>etten felhatalmazzák a Bizottságot, a Számvevőszéket és az OLAF-ot arra, hogy saját hatáskörüknek megfelelően lefolytassák az említett ellenőrzéseket és vizsgálatokat.</w:t>
      </w:r>
    </w:p>
    <w:p w:rsidR="001E667A" w:rsidRDefault="005F0856">
      <w:pPr>
        <w:pStyle w:val="ChapterTitle"/>
        <w:rPr>
          <w:noProof/>
        </w:rPr>
      </w:pPr>
      <w:r>
        <w:rPr>
          <w:noProof/>
        </w:rPr>
        <w:t>X. fejezet</w:t>
      </w:r>
    </w:p>
    <w:p w:rsidR="001E667A" w:rsidRDefault="005F0856">
      <w:pPr>
        <w:pStyle w:val="ChapterTitle"/>
        <w:rPr>
          <w:noProof/>
        </w:rPr>
      </w:pPr>
      <w:r>
        <w:rPr>
          <w:noProof/>
        </w:rPr>
        <w:t>Záró rendelkezések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38. cikk</w:t>
      </w:r>
    </w:p>
    <w:p w:rsidR="001E667A" w:rsidRDefault="005F0856">
      <w:pPr>
        <w:jc w:val="center"/>
        <w:rPr>
          <w:rFonts w:eastAsia="Times New Roman"/>
          <w:b/>
          <w:noProof/>
          <w:sz w:val="32"/>
          <w:szCs w:val="32"/>
        </w:rPr>
      </w:pPr>
      <w:r>
        <w:rPr>
          <w:b/>
          <w:noProof/>
        </w:rPr>
        <w:t>A 765/2008/EK rendelet alkalmazhatósága és az uni</w:t>
      </w:r>
      <w:r>
        <w:rPr>
          <w:b/>
          <w:noProof/>
        </w:rPr>
        <w:t>ós harmonizációs jogszabályok módosításai</w:t>
      </w:r>
    </w:p>
    <w:p w:rsidR="001E667A" w:rsidRDefault="005F0856">
      <w:pPr>
        <w:rPr>
          <w:noProof/>
        </w:rPr>
      </w:pPr>
      <w:r>
        <w:rPr>
          <w:noProof/>
        </w:rPr>
        <w:t>765/2008/EK rendelet (15)–(29) cikke nem vonatkozik a mellékletben meghatározott uniós harmonizációs jogszabályokra.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39. cikk</w:t>
      </w:r>
    </w:p>
    <w:p w:rsidR="001E667A" w:rsidRDefault="005F0856">
      <w:pPr>
        <w:jc w:val="center"/>
        <w:rPr>
          <w:b/>
          <w:noProof/>
        </w:rPr>
      </w:pPr>
      <w:r>
        <w:rPr>
          <w:b/>
          <w:noProof/>
        </w:rPr>
        <w:t>A 2004/42/EK irányelv módosításai</w:t>
      </w:r>
    </w:p>
    <w:p w:rsidR="001E667A" w:rsidRDefault="005F0856">
      <w:pPr>
        <w:rPr>
          <w:noProof/>
        </w:rPr>
      </w:pPr>
      <w:r>
        <w:rPr>
          <w:noProof/>
        </w:rPr>
        <w:t>A 2004/42/EK irányelv 6. és 7. cikkét el kell hagyni.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40. cikk</w:t>
      </w:r>
    </w:p>
    <w:p w:rsidR="001E667A" w:rsidRDefault="005F0856">
      <w:pPr>
        <w:rPr>
          <w:noProof/>
        </w:rPr>
      </w:pPr>
      <w:r>
        <w:rPr>
          <w:noProof/>
        </w:rPr>
        <w:t>A 2009/48/EK irányelv a következőképpen módosul: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a 40. cikket el kell hagyni;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a 42. cikk (1) bekezdését el kell hagyni;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a 44. cikket el kell hagyni.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41. cikk</w:t>
      </w:r>
    </w:p>
    <w:p w:rsidR="001E667A" w:rsidRDefault="005F0856">
      <w:pPr>
        <w:keepNext/>
        <w:spacing w:before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 2010/35/EU irányelv módosítása</w:t>
      </w:r>
    </w:p>
    <w:p w:rsidR="001E667A" w:rsidRDefault="005F0856">
      <w:pPr>
        <w:keepNext/>
        <w:spacing w:before="0"/>
        <w:rPr>
          <w:rFonts w:eastAsia="Times New Roman"/>
          <w:noProof/>
          <w:szCs w:val="24"/>
        </w:rPr>
      </w:pPr>
      <w:r>
        <w:rPr>
          <w:noProof/>
        </w:rPr>
        <w:t>A 2010/35/EU irányelv a következőképpen módosul</w:t>
      </w:r>
      <w:r>
        <w:rPr>
          <w:noProof/>
        </w:rPr>
        <w:t>: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a 16. cikket el kell hagyni; 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a 30. cikk (1) bekezdését el kell hagyni.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42. cikk</w:t>
      </w:r>
    </w:p>
    <w:p w:rsidR="001E667A" w:rsidRDefault="005F0856">
      <w:pPr>
        <w:keepNext/>
        <w:spacing w:before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 305/2011/EU rendelet módosításai</w:t>
      </w:r>
    </w:p>
    <w:p w:rsidR="001E667A" w:rsidRDefault="005F0856">
      <w:pPr>
        <w:rPr>
          <w:noProof/>
        </w:rPr>
      </w:pPr>
      <w:r>
        <w:rPr>
          <w:noProof/>
        </w:rPr>
        <w:t>A 305/2011/EU rendelet 56. cikkének (1) bekezdését el kell hagyni.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43. cikk</w:t>
      </w:r>
    </w:p>
    <w:p w:rsidR="001E667A" w:rsidRDefault="005F0856">
      <w:pPr>
        <w:keepNext/>
        <w:spacing w:before="0"/>
        <w:jc w:val="center"/>
        <w:rPr>
          <w:rFonts w:eastAsia="Times New Roman"/>
          <w:b/>
          <w:noProof/>
          <w:szCs w:val="24"/>
        </w:rPr>
      </w:pPr>
      <w:r>
        <w:rPr>
          <w:rFonts w:eastAsia="Times New Roman"/>
          <w:b/>
          <w:noProof/>
          <w:szCs w:val="24"/>
        </w:rPr>
        <w:t>Az 528/2012/EU rendelet módosításai</w:t>
      </w:r>
    </w:p>
    <w:p w:rsidR="001E667A" w:rsidRDefault="005F0856">
      <w:pPr>
        <w:rPr>
          <w:rFonts w:eastAsia="Times New Roman"/>
          <w:noProof/>
          <w:szCs w:val="24"/>
        </w:rPr>
      </w:pPr>
      <w:r>
        <w:rPr>
          <w:rFonts w:eastAsia="Times New Roman"/>
          <w:noProof/>
          <w:szCs w:val="24"/>
        </w:rPr>
        <w:t xml:space="preserve">Az 528/2012/EU </w:t>
      </w:r>
      <w:r>
        <w:rPr>
          <w:rFonts w:eastAsia="Times New Roman"/>
          <w:noProof/>
          <w:szCs w:val="24"/>
        </w:rPr>
        <w:t>európai parlamenti és tanácsi rendelet 65. cikkében az (1) bekezdés második mondata helyébe a következő szöveg lép:</w:t>
      </w:r>
    </w:p>
    <w:p w:rsidR="001E667A" w:rsidRDefault="005F0856">
      <w:pPr>
        <w:pStyle w:val="CM1"/>
        <w:spacing w:before="200" w:after="200"/>
        <w:ind w:left="720"/>
        <w:jc w:val="both"/>
        <w:rPr>
          <w:rFonts w:eastAsia="Times New Roman"/>
          <w:noProof/>
          <w:lang w:val="hu-HU"/>
        </w:rPr>
      </w:pPr>
      <w:r>
        <w:rPr>
          <w:rFonts w:ascii="Times New Roman" w:hAnsi="Times New Roman" w:cs="Times New Roman"/>
          <w:noProof/>
          <w:szCs w:val="22"/>
          <w:lang w:val="hu-HU" w:eastAsia="en-GB"/>
        </w:rPr>
        <w:t>„Az (EU) 2018/[XX Please insert number of this Regulation] európai parlamenti és tanácsi rendelet értelemszerűen alkalmazandó.”</w:t>
      </w:r>
    </w:p>
    <w:p w:rsidR="001E667A" w:rsidRDefault="005F0856">
      <w:pPr>
        <w:pStyle w:val="CM1"/>
        <w:spacing w:before="200" w:after="200"/>
        <w:ind w:left="720"/>
        <w:jc w:val="both"/>
        <w:rPr>
          <w:noProof/>
          <w:lang w:val="hu-HU"/>
        </w:rPr>
      </w:pPr>
      <w:r>
        <w:rPr>
          <w:rFonts w:ascii="Times New Roman" w:hAnsi="Times New Roman" w:cs="Times New Roman"/>
          <w:noProof/>
          <w:szCs w:val="22"/>
          <w:lang w:val="hu-HU" w:eastAsia="en-GB"/>
        </w:rPr>
        <w:t>* Az Európai</w:t>
      </w:r>
      <w:r>
        <w:rPr>
          <w:rFonts w:ascii="Times New Roman" w:hAnsi="Times New Roman" w:cs="Times New Roman"/>
          <w:noProof/>
          <w:szCs w:val="22"/>
          <w:lang w:val="hu-HU" w:eastAsia="en-GB"/>
        </w:rPr>
        <w:t xml:space="preserve"> Parlament és a Tanács (EU) 2018/[</w:t>
      </w:r>
      <w:r>
        <w:rPr>
          <w:rFonts w:ascii="Times New Roman" w:hAnsi="Times New Roman" w:cs="Times New Roman"/>
          <w:i/>
          <w:noProof/>
          <w:szCs w:val="22"/>
          <w:lang w:val="hu-HU" w:eastAsia="en-GB"/>
        </w:rPr>
        <w:t>XX Please insert number of this Regulation</w:t>
      </w:r>
      <w:r>
        <w:rPr>
          <w:rFonts w:ascii="Times New Roman" w:hAnsi="Times New Roman" w:cs="Times New Roman"/>
          <w:noProof/>
          <w:szCs w:val="22"/>
          <w:lang w:val="hu-HU" w:eastAsia="en-GB"/>
        </w:rPr>
        <w:t xml:space="preserve">] rendelete </w:t>
      </w:r>
      <w:r>
        <w:rPr>
          <w:rFonts w:ascii="Times New Roman" w:hAnsi="Times New Roman" w:cs="Times New Roman"/>
          <w:i/>
          <w:noProof/>
          <w:szCs w:val="22"/>
          <w:lang w:val="hu-HU" w:eastAsia="en-GB"/>
        </w:rPr>
        <w:t>[Please insert date and full title of this Regulation and the OJ reference in brackets]</w:t>
      </w:r>
      <w:r>
        <w:rPr>
          <w:rFonts w:ascii="Times New Roman" w:hAnsi="Times New Roman" w:cs="Times New Roman"/>
          <w:noProof/>
          <w:szCs w:val="22"/>
          <w:lang w:val="hu-HU" w:eastAsia="en-GB"/>
        </w:rPr>
        <w:t>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44. cikk</w:t>
      </w:r>
    </w:p>
    <w:p w:rsidR="001E667A" w:rsidRDefault="005F0856">
      <w:pPr>
        <w:keepNext/>
        <w:spacing w:before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 2013/29/EU irányelv módosítása</w:t>
      </w:r>
    </w:p>
    <w:p w:rsidR="001E667A" w:rsidRDefault="005F0856">
      <w:pPr>
        <w:keepNext/>
        <w:spacing w:before="0"/>
        <w:rPr>
          <w:rFonts w:eastAsia="Times New Roman"/>
          <w:b/>
          <w:noProof/>
          <w:szCs w:val="24"/>
        </w:rPr>
      </w:pPr>
      <w:r>
        <w:rPr>
          <w:noProof/>
        </w:rPr>
        <w:t>A 2013/29/EU irányelv</w:t>
      </w:r>
      <w:r>
        <w:rPr>
          <w:b/>
          <w:noProof/>
        </w:rPr>
        <w:t xml:space="preserve"> </w:t>
      </w:r>
      <w:r>
        <w:rPr>
          <w:noProof/>
        </w:rPr>
        <w:t>a következőképp</w:t>
      </w:r>
      <w:r>
        <w:rPr>
          <w:noProof/>
        </w:rPr>
        <w:t>en módosul: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a 38. cikk (2) bekezdését el kell hagyni;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a 39. cikk (1) bekezdésének negyedik albekezdését el kell hagyni.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45. cikk</w:t>
      </w:r>
    </w:p>
    <w:p w:rsidR="001E667A" w:rsidRDefault="005F0856">
      <w:pPr>
        <w:keepNext/>
        <w:spacing w:before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 2013/53/EU irányelv módosítása</w:t>
      </w:r>
    </w:p>
    <w:p w:rsidR="001E667A" w:rsidRDefault="005F0856">
      <w:pPr>
        <w:keepNext/>
        <w:spacing w:before="0"/>
        <w:rPr>
          <w:rFonts w:eastAsia="Times New Roman"/>
          <w:b/>
          <w:noProof/>
          <w:szCs w:val="24"/>
        </w:rPr>
      </w:pPr>
      <w:r>
        <w:rPr>
          <w:noProof/>
        </w:rPr>
        <w:t>A 2013/53/EU irányelv</w:t>
      </w:r>
      <w:r>
        <w:rPr>
          <w:b/>
          <w:noProof/>
        </w:rPr>
        <w:t xml:space="preserve"> </w:t>
      </w:r>
      <w:r>
        <w:rPr>
          <w:noProof/>
        </w:rPr>
        <w:t>a következőképpen módosul: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a 43. cikket el kell hagyni; 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a </w:t>
      </w:r>
      <w:r>
        <w:rPr>
          <w:noProof/>
        </w:rPr>
        <w:t>44. cikk (1) bekezdésének ötödik albekezdését el kell hagyni.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46. cikk</w:t>
      </w:r>
    </w:p>
    <w:p w:rsidR="001E667A" w:rsidRDefault="005F0856">
      <w:pPr>
        <w:keepNext/>
        <w:spacing w:before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 2014/28/EU irányelv módosítása</w:t>
      </w:r>
    </w:p>
    <w:p w:rsidR="001E667A" w:rsidRDefault="005F0856">
      <w:pPr>
        <w:keepNext/>
        <w:spacing w:before="0"/>
        <w:rPr>
          <w:rFonts w:eastAsia="Times New Roman"/>
          <w:b/>
          <w:noProof/>
          <w:szCs w:val="24"/>
        </w:rPr>
      </w:pPr>
      <w:r>
        <w:rPr>
          <w:noProof/>
        </w:rPr>
        <w:t>A 2014/28/EU irányelv</w:t>
      </w:r>
      <w:r>
        <w:rPr>
          <w:b/>
          <w:noProof/>
        </w:rPr>
        <w:t xml:space="preserve"> </w:t>
      </w:r>
      <w:r>
        <w:rPr>
          <w:noProof/>
        </w:rPr>
        <w:t>a következőképpen módosul: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a 41. cikk első bekezdését el kell hagyni; 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a 42. cikk (1) bekezdésének negyedik albekezdését el </w:t>
      </w:r>
      <w:r>
        <w:rPr>
          <w:noProof/>
        </w:rPr>
        <w:t>kell hagyni.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47. cikk</w:t>
      </w:r>
    </w:p>
    <w:p w:rsidR="001E667A" w:rsidRDefault="005F0856">
      <w:pPr>
        <w:keepNext/>
        <w:spacing w:before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 2014/29/EU irányelv módosítása</w:t>
      </w:r>
    </w:p>
    <w:p w:rsidR="001E667A" w:rsidRDefault="005F0856">
      <w:pPr>
        <w:keepNext/>
        <w:spacing w:before="0"/>
        <w:rPr>
          <w:rFonts w:eastAsia="Times New Roman"/>
          <w:b/>
          <w:noProof/>
          <w:szCs w:val="24"/>
        </w:rPr>
      </w:pPr>
      <w:r>
        <w:rPr>
          <w:noProof/>
        </w:rPr>
        <w:t>A 2014/29/EU irányelv a következőképpen módosul: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a 34. cikket el kell hagyni; 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a 35. cikk (1) bekezdésének negyedik albekezdését el kell hagyni.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48. cikk</w:t>
      </w:r>
    </w:p>
    <w:p w:rsidR="001E667A" w:rsidRDefault="005F0856">
      <w:pPr>
        <w:keepNext/>
        <w:spacing w:before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 2014/30/EU irányelv módosítása</w:t>
      </w:r>
    </w:p>
    <w:p w:rsidR="001E667A" w:rsidRDefault="005F0856">
      <w:pPr>
        <w:keepNext/>
        <w:spacing w:before="0"/>
        <w:rPr>
          <w:rFonts w:eastAsia="Times New Roman"/>
          <w:b/>
          <w:noProof/>
          <w:szCs w:val="24"/>
        </w:rPr>
      </w:pPr>
      <w:r>
        <w:rPr>
          <w:noProof/>
        </w:rPr>
        <w:t xml:space="preserve">A </w:t>
      </w:r>
      <w:r>
        <w:rPr>
          <w:noProof/>
        </w:rPr>
        <w:t>2014/30/EU irányelv</w:t>
      </w:r>
      <w:r>
        <w:rPr>
          <w:b/>
          <w:noProof/>
        </w:rPr>
        <w:t xml:space="preserve"> </w:t>
      </w:r>
      <w:r>
        <w:rPr>
          <w:noProof/>
        </w:rPr>
        <w:t>a következőképpen módosul: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a 37. cikket el kell hagyni.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a 38. cikk (1) bekezdésének negyedik albekezdését el kell hagyni.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49. cikk</w:t>
      </w:r>
    </w:p>
    <w:p w:rsidR="001E667A" w:rsidRDefault="005F0856">
      <w:pPr>
        <w:keepNext/>
        <w:spacing w:before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 2014/31/EU irányelv módosítása</w:t>
      </w:r>
    </w:p>
    <w:p w:rsidR="001E667A" w:rsidRDefault="005F0856">
      <w:pPr>
        <w:keepNext/>
        <w:spacing w:before="0"/>
        <w:rPr>
          <w:rFonts w:eastAsia="Times New Roman"/>
          <w:b/>
          <w:noProof/>
          <w:szCs w:val="24"/>
        </w:rPr>
      </w:pPr>
      <w:r>
        <w:rPr>
          <w:noProof/>
        </w:rPr>
        <w:t>A 2014/31/EU irányelv a következőképpen módosul: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a 36. cikket e</w:t>
      </w:r>
      <w:r>
        <w:rPr>
          <w:noProof/>
        </w:rPr>
        <w:t>l kell hagyni.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a 37. cikk (1) bekezdésének negyedik albekezdését el kell hagyni.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50. cikk</w:t>
      </w:r>
    </w:p>
    <w:p w:rsidR="001E667A" w:rsidRDefault="005F0856">
      <w:pPr>
        <w:keepNext/>
        <w:spacing w:before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 2014/32/EU irányelv módosítása</w:t>
      </w:r>
    </w:p>
    <w:p w:rsidR="001E667A" w:rsidRDefault="005F0856">
      <w:pPr>
        <w:keepNext/>
        <w:spacing w:before="0"/>
        <w:rPr>
          <w:rFonts w:eastAsia="Times New Roman"/>
          <w:b/>
          <w:noProof/>
          <w:szCs w:val="24"/>
        </w:rPr>
      </w:pPr>
      <w:r>
        <w:rPr>
          <w:noProof/>
        </w:rPr>
        <w:t>A 2014/32/EU irányelv a következőképpen módosul: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a 41. cikket el kell hagyni;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a 42. cikk (1) bekezdésének negyedik albekezdé</w:t>
      </w:r>
      <w:r>
        <w:rPr>
          <w:noProof/>
        </w:rPr>
        <w:t>sét el kell hagyni.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51. cikk</w:t>
      </w:r>
    </w:p>
    <w:p w:rsidR="001E667A" w:rsidRDefault="005F0856">
      <w:pPr>
        <w:keepNext/>
        <w:spacing w:before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 2014/33/EU irányelv módosítása</w:t>
      </w:r>
    </w:p>
    <w:p w:rsidR="001E667A" w:rsidRDefault="005F0856">
      <w:pPr>
        <w:keepNext/>
        <w:spacing w:before="0"/>
        <w:rPr>
          <w:rFonts w:eastAsia="Times New Roman"/>
          <w:b/>
          <w:noProof/>
          <w:szCs w:val="24"/>
        </w:rPr>
      </w:pPr>
      <w:r>
        <w:rPr>
          <w:noProof/>
        </w:rPr>
        <w:t>A 2014/33/EU irányelv a következőképpen módosul: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a 37. cikket el kell hagyni.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a 38. cikk (1) bekezdésének ötödik albekezdését el kell hagyni.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52. cikk</w:t>
      </w:r>
    </w:p>
    <w:p w:rsidR="001E667A" w:rsidRDefault="005F0856">
      <w:pPr>
        <w:keepNext/>
        <w:spacing w:before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 2014/34/EU irányelv módosítása</w:t>
      </w:r>
    </w:p>
    <w:p w:rsidR="001E667A" w:rsidRDefault="005F0856">
      <w:pPr>
        <w:keepNext/>
        <w:spacing w:before="0"/>
        <w:rPr>
          <w:rFonts w:eastAsia="Times New Roman"/>
          <w:b/>
          <w:noProof/>
          <w:szCs w:val="24"/>
        </w:rPr>
      </w:pPr>
      <w:r>
        <w:rPr>
          <w:noProof/>
        </w:rPr>
        <w:t>A 20</w:t>
      </w:r>
      <w:r>
        <w:rPr>
          <w:noProof/>
        </w:rPr>
        <w:t>14/34/EU irányelv a következőképpen módosul: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a 34. cikket el kell hagyni;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a 35. cikk (1) bekezdésének negyedik albekezdését el kell hagyni.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53. cikk</w:t>
      </w:r>
    </w:p>
    <w:p w:rsidR="001E667A" w:rsidRDefault="005F0856">
      <w:pPr>
        <w:keepNext/>
        <w:spacing w:before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 2014/35/EU irányelv módosítása</w:t>
      </w:r>
    </w:p>
    <w:p w:rsidR="001E667A" w:rsidRDefault="005F0856">
      <w:pPr>
        <w:keepNext/>
        <w:spacing w:before="0"/>
        <w:rPr>
          <w:rFonts w:eastAsia="Times New Roman"/>
          <w:b/>
          <w:noProof/>
          <w:szCs w:val="24"/>
        </w:rPr>
      </w:pPr>
      <w:r>
        <w:rPr>
          <w:noProof/>
        </w:rPr>
        <w:t>A 2014/35/EU irányelv a következőképpen módosul: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a 18. cikket el </w:t>
      </w:r>
      <w:r>
        <w:rPr>
          <w:noProof/>
        </w:rPr>
        <w:t>kell hagyni;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a 19. cikk (1) bekezdésének harmadik albekezdését el kell hagyni.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54. cikk</w:t>
      </w:r>
    </w:p>
    <w:p w:rsidR="001E667A" w:rsidRDefault="005F0856">
      <w:pPr>
        <w:keepNext/>
        <w:spacing w:before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 2014/53/EU irányelv módosítása</w:t>
      </w:r>
    </w:p>
    <w:p w:rsidR="001E667A" w:rsidRDefault="005F0856">
      <w:pPr>
        <w:keepNext/>
        <w:spacing w:before="0"/>
        <w:rPr>
          <w:rFonts w:eastAsia="Times New Roman"/>
          <w:b/>
          <w:noProof/>
          <w:szCs w:val="24"/>
        </w:rPr>
      </w:pPr>
      <w:r>
        <w:rPr>
          <w:noProof/>
        </w:rPr>
        <w:t>A 2014/53/EU irányelv a következőképpen módosul: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a 39. cikket el kell hagyni;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a 40. cikk (1) bekezdésének negyedik albekezdésé</w:t>
      </w:r>
      <w:r>
        <w:rPr>
          <w:noProof/>
        </w:rPr>
        <w:t>t el kell hagyni.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55. cikk</w:t>
      </w:r>
    </w:p>
    <w:p w:rsidR="001E667A" w:rsidRDefault="005F0856">
      <w:pPr>
        <w:keepNext/>
        <w:spacing w:before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 2014/68/EU irányelv módosítása</w:t>
      </w:r>
    </w:p>
    <w:p w:rsidR="001E667A" w:rsidRDefault="005F0856">
      <w:pPr>
        <w:keepNext/>
        <w:spacing w:before="0"/>
        <w:rPr>
          <w:rFonts w:eastAsia="Times New Roman"/>
          <w:b/>
          <w:noProof/>
          <w:szCs w:val="24"/>
        </w:rPr>
      </w:pPr>
      <w:r>
        <w:rPr>
          <w:noProof/>
        </w:rPr>
        <w:t>A 2014/68/EU irányelv a következőképpen módosul: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a 39. cikket el kell hagyni;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a 40. cikk (1) bekezdésének harmadik albekezdését el kell hagyni.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56. cikk</w:t>
      </w:r>
    </w:p>
    <w:p w:rsidR="001E667A" w:rsidRDefault="005F0856">
      <w:pPr>
        <w:keepNext/>
        <w:spacing w:before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 2014/90/EU irányelv módosítása</w:t>
      </w:r>
    </w:p>
    <w:p w:rsidR="001E667A" w:rsidRDefault="005F0856">
      <w:pPr>
        <w:keepNext/>
        <w:spacing w:before="0"/>
        <w:rPr>
          <w:noProof/>
        </w:rPr>
      </w:pPr>
      <w:r>
        <w:rPr>
          <w:noProof/>
        </w:rPr>
        <w:t>A 20</w:t>
      </w:r>
      <w:r>
        <w:rPr>
          <w:noProof/>
        </w:rPr>
        <w:t>14/90/EU irányelv a következőképpen módosul: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a 12. cikk (10) bekezdését el kell hagyni;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a 25. cikk (1) bekezdése helyébe a következő szöveg lép:</w:t>
      </w:r>
    </w:p>
    <w:p w:rsidR="001E667A" w:rsidRDefault="005F0856">
      <w:pPr>
        <w:pStyle w:val="PlainText"/>
        <w:spacing w:after="120"/>
        <w:ind w:left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„A tengerészeti felszerelések vonatkozásában a tagállamok az [az új végrehajtási rendelet száma] rendelet</w:t>
      </w:r>
      <w:r>
        <w:rPr>
          <w:rFonts w:ascii="Times New Roman" w:hAnsi="Times New Roman"/>
          <w:noProof/>
          <w:sz w:val="24"/>
        </w:rPr>
        <w:t>ben meghatározott uniós piacfelügyeleti kerettel összhangban lévő piacfelügyeleti tevékenységet végeznek e cikk (2) és (3) bekezdése szerint.”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a 25. cikk (4) bekezdését el kell hagyni;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a 26. cikk (1) bekezdésének negyedik albekezdését el kell hagyni.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57. cikk</w:t>
      </w:r>
    </w:p>
    <w:p w:rsidR="001E667A" w:rsidRDefault="005F0856">
      <w:pPr>
        <w:keepNext/>
        <w:spacing w:before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Az (EU) 2016/424 rendelet módosításai</w:t>
      </w:r>
    </w:p>
    <w:p w:rsidR="001E667A" w:rsidRDefault="005F0856">
      <w:pPr>
        <w:keepNext/>
        <w:spacing w:before="0"/>
        <w:rPr>
          <w:rFonts w:eastAsia="Times New Roman"/>
          <w:b/>
          <w:noProof/>
          <w:szCs w:val="24"/>
        </w:rPr>
      </w:pPr>
      <w:r>
        <w:rPr>
          <w:noProof/>
        </w:rPr>
        <w:t>Az (EU) 2016/424 rendelet a következőképpen módosul: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a 39. cikket el kell hagyni;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a 40. cikk (1) bekezdésének negyedik albekezdését el kell hagyni.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58. cikk</w:t>
      </w:r>
    </w:p>
    <w:p w:rsidR="001E667A" w:rsidRDefault="005F0856">
      <w:pPr>
        <w:keepNext/>
        <w:spacing w:before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Az (EU) 2016/425 rendelet módosításai</w:t>
      </w:r>
    </w:p>
    <w:p w:rsidR="001E667A" w:rsidRDefault="005F0856">
      <w:pPr>
        <w:keepNext/>
        <w:spacing w:before="0"/>
        <w:rPr>
          <w:noProof/>
        </w:rPr>
      </w:pPr>
      <w:r>
        <w:rPr>
          <w:noProof/>
        </w:rPr>
        <w:t xml:space="preserve">Az </w:t>
      </w:r>
      <w:r>
        <w:rPr>
          <w:noProof/>
        </w:rPr>
        <w:t>(EU) 2016/425 rendelet a következőképpen módosul: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a 37. cikket el kell hagyni.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a 38. cikk (1) bekezdésének negyedik albekezdését el kell hagyni.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59. cikk</w:t>
      </w:r>
    </w:p>
    <w:p w:rsidR="001E667A" w:rsidRDefault="005F0856">
      <w:pPr>
        <w:jc w:val="center"/>
        <w:rPr>
          <w:b/>
          <w:noProof/>
        </w:rPr>
      </w:pPr>
      <w:r>
        <w:rPr>
          <w:b/>
          <w:noProof/>
        </w:rPr>
        <w:t>Az (EU) 2016/426 rendelet módosításai</w:t>
      </w:r>
    </w:p>
    <w:p w:rsidR="001E667A" w:rsidRDefault="005F0856">
      <w:pPr>
        <w:rPr>
          <w:noProof/>
        </w:rPr>
      </w:pPr>
      <w:r>
        <w:rPr>
          <w:noProof/>
        </w:rPr>
        <w:t>Az (EU) 2016/426 rendelet a következőképpen módosul: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a </w:t>
      </w:r>
      <w:r>
        <w:rPr>
          <w:noProof/>
        </w:rPr>
        <w:t>36. cikket el kell hagyni.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a 37. cikk (1) bekezdésének negyedik albekezdését el kell hagyni.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60. cikk</w:t>
      </w:r>
    </w:p>
    <w:p w:rsidR="001E667A" w:rsidRDefault="005F0856">
      <w:pPr>
        <w:jc w:val="center"/>
        <w:rPr>
          <w:b/>
          <w:noProof/>
        </w:rPr>
      </w:pPr>
      <w:r>
        <w:rPr>
          <w:b/>
          <w:noProof/>
        </w:rPr>
        <w:t>Az (EU) 2017/1369 rendelet módosításai</w:t>
      </w:r>
    </w:p>
    <w:p w:rsidR="001E667A" w:rsidRDefault="005F0856">
      <w:pPr>
        <w:rPr>
          <w:noProof/>
        </w:rPr>
      </w:pPr>
      <w:r>
        <w:rPr>
          <w:noProof/>
        </w:rPr>
        <w:t>Az (EU) 2017/1369 rendelet a következőképpen módosul: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a 8. cikk (1) és (3) bekezdését el kell hagyni;</w:t>
      </w:r>
    </w:p>
    <w:p w:rsidR="001E667A" w:rsidRDefault="005F0856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a 9.</w:t>
      </w:r>
      <w:r>
        <w:rPr>
          <w:noProof/>
        </w:rPr>
        <w:t xml:space="preserve"> cikk (2) bekezdésének második albekezdését el kell hagyni.</w:t>
      </w:r>
    </w:p>
    <w:p w:rsidR="001E667A" w:rsidRDefault="005F0856">
      <w:pPr>
        <w:pStyle w:val="ChapterTitle"/>
        <w:rPr>
          <w:noProof/>
        </w:rPr>
      </w:pPr>
      <w:r>
        <w:rPr>
          <w:noProof/>
        </w:rPr>
        <w:t>XI. fejezet</w:t>
      </w:r>
    </w:p>
    <w:p w:rsidR="001E667A" w:rsidRDefault="005F0856">
      <w:pPr>
        <w:pStyle w:val="ChapterTitle"/>
        <w:rPr>
          <w:i/>
          <w:noProof/>
        </w:rPr>
      </w:pPr>
      <w:r>
        <w:rPr>
          <w:noProof/>
        </w:rPr>
        <w:t>Szankciók, értékelés, bizottsági eljárás és hatályba lépés és alkalmazás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61. cikk</w:t>
      </w:r>
    </w:p>
    <w:p w:rsidR="001E667A" w:rsidRDefault="005F0856">
      <w:pPr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Szankciók</w:t>
      </w:r>
    </w:p>
    <w:p w:rsidR="001E667A" w:rsidRDefault="005F0856">
      <w:pPr>
        <w:pStyle w:val="Point0number"/>
        <w:numPr>
          <w:ilvl w:val="0"/>
          <w:numId w:val="44"/>
        </w:numPr>
        <w:rPr>
          <w:noProof/>
        </w:rPr>
      </w:pPr>
      <w:r>
        <w:rPr>
          <w:noProof/>
        </w:rPr>
        <w:t>A tagállamok meghatározzák az e rendelet gazdasági szereplőkre vonatkozó kötelezettségeket m</w:t>
      </w:r>
      <w:r>
        <w:rPr>
          <w:noProof/>
        </w:rPr>
        <w:t>egállapító rendelkezéseinek megsértése, valamint, amennyiben az adott jogszabály nem írja elő a szankciókat, az e rendelet hatálya alá tartozó, termékekre vonatkozó uniós harmonizációs jogszabályok gazdasági szereplőkre vonatkozó kötelezettségeket megállap</w:t>
      </w:r>
      <w:r>
        <w:rPr>
          <w:noProof/>
        </w:rPr>
        <w:t>ító rendelkezéseinek megsértése esetén alkalmazandó szankciókkal kapcsolatos szabályokat, és minden szükséges intézkedést megtesznek azok végrehajtásának biztosítása érdekében. Az előírt szankcióknak hatékonynak, arányosnak és visszatartó erejűnek kell len</w:t>
      </w:r>
      <w:r>
        <w:rPr>
          <w:noProof/>
        </w:rPr>
        <w:t xml:space="preserve">niük. 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t>A tagállamok [2020. március 31-ig] bejelentik a Bizottságnak e rendelkezéseket, értesítik a Bizottságot ezekről a szabályokról és intézkedésekről, és késedelem nélkül tájékoztatást küldenek az ezeket érintő esetleges későbbi módosításokról.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Szankció</w:t>
      </w:r>
      <w:r>
        <w:rPr>
          <w:noProof/>
        </w:rPr>
        <w:t xml:space="preserve"> megállapítására vonatkozó döntés meghozatalakor minden egyes egyedi esetben figyelembe kell venni az alábbiakat: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a kis- és középvállalkozások pénzügyi helyzetét;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meg nem felelés jellegét, súlyosságát és időtartamát, tekintettel a </w:t>
      </w:r>
      <w:r>
        <w:rPr>
          <w:noProof/>
        </w:rPr>
        <w:t>végfelhasználóknak okozott kárra;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a jogsértés szándékos vagy gondatlan jellegét;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a piacfelügyeleti hatóságok által elvégzett vizsgálat ideje alatt a gazdasági szereplő részéről tanúsított együttműködési készséget;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a gazdasági szereplő által korább</w:t>
      </w:r>
      <w:r>
        <w:rPr>
          <w:noProof/>
        </w:rPr>
        <w:t>an elkövetett bármely hasonló releváns jogsértést.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Ha a gazdasági szereplő már korábban elkövetett hasonló jogsértést, a szankció mértéke</w:t>
      </w:r>
      <w:r>
        <w:rPr>
          <w:rFonts w:ascii="TimesNewRoman" w:hAnsi="TimesNewRoman"/>
          <w:noProof/>
        </w:rPr>
        <w:t xml:space="preserve"> </w:t>
      </w:r>
      <w:r>
        <w:rPr>
          <w:noProof/>
        </w:rPr>
        <w:t xml:space="preserve">növelhető, és az uniós harmonizációs jogszabályok súlyos megsértése esetén büntetőjogi szankciót is tartalmazhat. 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t</w:t>
      </w:r>
      <w:r>
        <w:rPr>
          <w:noProof/>
        </w:rPr>
        <w:t>agállamok biztosítják, hogy az uniós harmonizációs jogszabályok szándékos megsértéséért kiszabott pénzbírságok legalább ellensúlyozzák a jogsértésből fakadó gazdasági előnyt.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 tagállamok különösen azt biztosítják, hogy a piacfelügyeleti ellenőrzés vagy te</w:t>
      </w:r>
      <w:r>
        <w:rPr>
          <w:noProof/>
        </w:rPr>
        <w:t>vékenység során az együttműködést elmulasztó vagy megtagadó gazdasági szereplőre szankció vethető ki.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62. cikk</w:t>
      </w:r>
    </w:p>
    <w:p w:rsidR="001E667A" w:rsidRDefault="005F0856">
      <w:pPr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Értékelés</w:t>
      </w:r>
    </w:p>
    <w:p w:rsidR="001E667A" w:rsidRDefault="005F0856">
      <w:pPr>
        <w:rPr>
          <w:rFonts w:eastAsia="Times New Roman"/>
          <w:iCs/>
          <w:noProof/>
          <w:color w:val="000000"/>
          <w:szCs w:val="24"/>
        </w:rPr>
      </w:pPr>
      <w:r>
        <w:rPr>
          <w:noProof/>
          <w:color w:val="000000"/>
        </w:rPr>
        <w:t>A Bizottság [2024. december 31-ig] és azt követően ötévente az elérni kívánt célok mentén értékeli e rendeletet</w:t>
      </w:r>
      <w:r>
        <w:rPr>
          <w:noProof/>
        </w:rPr>
        <w:t xml:space="preserve">, </w:t>
      </w:r>
      <w:r>
        <w:rPr>
          <w:noProof/>
          <w:color w:val="000000"/>
        </w:rPr>
        <w:t>és az értékelés fő meg</w:t>
      </w:r>
      <w:r>
        <w:rPr>
          <w:noProof/>
          <w:color w:val="000000"/>
        </w:rPr>
        <w:t xml:space="preserve">állapításait tartalmazó jelentést nyújt be az Európai Parlament, a Tanács és az Európai Gazdasági és Szociális Bizottság részére. </w:t>
      </w:r>
    </w:p>
    <w:p w:rsidR="001E667A" w:rsidRDefault="005F0856">
      <w:pPr>
        <w:rPr>
          <w:rFonts w:eastAsia="Times New Roman"/>
          <w:iCs/>
          <w:noProof/>
          <w:szCs w:val="24"/>
        </w:rPr>
      </w:pPr>
      <w:r>
        <w:rPr>
          <w:noProof/>
          <w:color w:val="000000"/>
        </w:rPr>
        <w:t>A jelentésnek értékelnie kell, hogy e rendelet elérte-e a megfogalmazott célokat, különös tekintettel az uniós piacon jelen l</w:t>
      </w:r>
      <w:r>
        <w:rPr>
          <w:noProof/>
          <w:color w:val="000000"/>
        </w:rPr>
        <w:t>évő nem megfelelő termékek számának csökkentésére, az uniós harmonizációs jogszabályok Unión belüli hatékony és eredményes végrehajtásának biztosítására, az illetékes hatóságok közötti együttműködés fokozására és az uniós piacra belépő termékek ellenőrzésé</w:t>
      </w:r>
      <w:r>
        <w:rPr>
          <w:noProof/>
          <w:color w:val="000000"/>
        </w:rPr>
        <w:t>nek szigorítására</w:t>
      </w:r>
      <w:r>
        <w:rPr>
          <w:noProof/>
        </w:rPr>
        <w:t>,</w:t>
      </w:r>
      <w:r>
        <w:rPr>
          <w:noProof/>
          <w:color w:val="C0504D"/>
        </w:rPr>
        <w:t xml:space="preserve"> </w:t>
      </w:r>
      <w:r>
        <w:rPr>
          <w:noProof/>
        </w:rPr>
        <w:t xml:space="preserve">figyelembe véve </w:t>
      </w:r>
      <w:r>
        <w:rPr>
          <w:noProof/>
          <w:color w:val="000000" w:themeColor="text1"/>
        </w:rPr>
        <w:t>azonban</w:t>
      </w:r>
      <w:r>
        <w:rPr>
          <w:noProof/>
        </w:rPr>
        <w:t xml:space="preserve"> a vállalkozásokra, és különösen a kis- és középvállalkozásokra gyakorolt hatást. Az értékelésnek ezenkívül az uniós finanszírozásban részesülő piacfelügyeleti tevékenységek, uniós politikák és jogszabályok követelményei tekintetében elért eredményességet </w:t>
      </w:r>
      <w:r>
        <w:rPr>
          <w:noProof/>
        </w:rPr>
        <w:t xml:space="preserve">is elemeznie kell. 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63. cikk</w:t>
      </w:r>
    </w:p>
    <w:p w:rsidR="001E667A" w:rsidRDefault="005F0856">
      <w:pPr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A bizottsági eljárás</w:t>
      </w:r>
    </w:p>
    <w:p w:rsidR="001E667A" w:rsidRDefault="005F0856">
      <w:pPr>
        <w:pStyle w:val="Point0number"/>
        <w:numPr>
          <w:ilvl w:val="0"/>
          <w:numId w:val="45"/>
        </w:numPr>
        <w:rPr>
          <w:noProof/>
        </w:rPr>
      </w:pPr>
      <w:r>
        <w:rPr>
          <w:noProof/>
        </w:rPr>
        <w:t>A Bizottságot egy bizottság segíti</w:t>
      </w:r>
      <w:r>
        <w:rPr>
          <w:i/>
          <w:noProof/>
        </w:rPr>
        <w:t>.</w:t>
      </w:r>
      <w:r>
        <w:rPr>
          <w:noProof/>
        </w:rPr>
        <w:t xml:space="preserve"> Ez a bizottság a 182/2011/EU rendelet értelmében vett bizottságnak minősül.</w:t>
      </w:r>
    </w:p>
    <w:p w:rsidR="001E667A" w:rsidRDefault="005F0856">
      <w:pPr>
        <w:pStyle w:val="Point0number"/>
        <w:rPr>
          <w:noProof/>
        </w:rPr>
      </w:pPr>
      <w:r>
        <w:rPr>
          <w:noProof/>
        </w:rPr>
        <w:t>Az e bekezdésre történő hivatkozáskor a 182/2011/EU rendelet 5. cikkét kell alkalmazni.</w:t>
      </w:r>
    </w:p>
    <w:p w:rsidR="001E667A" w:rsidRDefault="005F0856">
      <w:pPr>
        <w:pStyle w:val="Titrearticle"/>
        <w:rPr>
          <w:noProof/>
        </w:rPr>
      </w:pPr>
      <w:r>
        <w:rPr>
          <w:noProof/>
        </w:rPr>
        <w:t>64. ci</w:t>
      </w:r>
      <w:r>
        <w:rPr>
          <w:noProof/>
        </w:rPr>
        <w:t>kk</w:t>
      </w:r>
    </w:p>
    <w:p w:rsidR="001E667A" w:rsidRDefault="005F0856">
      <w:pPr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Hatálybalépés és alkalmazás</w:t>
      </w:r>
    </w:p>
    <w:p w:rsidR="001E667A" w:rsidRDefault="005F0856">
      <w:pPr>
        <w:rPr>
          <w:i/>
          <w:iCs/>
          <w:noProof/>
        </w:rPr>
      </w:pPr>
      <w:r>
        <w:rPr>
          <w:noProof/>
        </w:rPr>
        <w:t xml:space="preserve">Ez a rendelet az </w:t>
      </w:r>
      <w:r>
        <w:rPr>
          <w:i/>
          <w:noProof/>
        </w:rPr>
        <w:t>Európai Unió Hivatalos Lapjában</w:t>
      </w:r>
      <w:r>
        <w:rPr>
          <w:noProof/>
        </w:rPr>
        <w:t xml:space="preserve"> való kihirdetését követő huszadik napon lép hatályba.</w:t>
      </w:r>
      <w:r>
        <w:rPr>
          <w:i/>
          <w:noProof/>
        </w:rPr>
        <w:t xml:space="preserve"> </w:t>
      </w:r>
    </w:p>
    <w:p w:rsidR="001E667A" w:rsidRDefault="005F0856">
      <w:pPr>
        <w:rPr>
          <w:i/>
          <w:iCs/>
          <w:noProof/>
        </w:rPr>
      </w:pPr>
      <w:r>
        <w:rPr>
          <w:noProof/>
        </w:rPr>
        <w:t>Ez rendeletet [</w:t>
      </w:r>
      <w:r>
        <w:rPr>
          <w:i/>
          <w:noProof/>
        </w:rPr>
        <w:t>2020. január 1-jétől</w:t>
      </w:r>
      <w:r>
        <w:rPr>
          <w:noProof/>
        </w:rPr>
        <w:t>] hatályos</w:t>
      </w:r>
      <w:r>
        <w:rPr>
          <w:i/>
          <w:noProof/>
        </w:rPr>
        <w:t xml:space="preserve">. </w:t>
      </w:r>
    </w:p>
    <w:p w:rsidR="001E667A" w:rsidRDefault="005F0856">
      <w:pPr>
        <w:pStyle w:val="Applicationdirecte"/>
        <w:keepNext/>
        <w:keepLines/>
        <w:rPr>
          <w:noProof/>
        </w:rPr>
      </w:pPr>
      <w:r>
        <w:rPr>
          <w:noProof/>
        </w:rPr>
        <w:t>Ez a rendelet teljes egészében kötelező és közvetlenül alkalmazandó valam</w:t>
      </w:r>
      <w:r>
        <w:rPr>
          <w:noProof/>
        </w:rPr>
        <w:t>ennyi tagállamban.</w:t>
      </w:r>
    </w:p>
    <w:p w:rsidR="001E667A" w:rsidRDefault="005F0856" w:rsidP="005F0856">
      <w:pPr>
        <w:pStyle w:val="Fait"/>
        <w:rPr>
          <w:noProof/>
        </w:rPr>
      </w:pPr>
      <w:r w:rsidRPr="005F0856">
        <w:t>Kelt Brüsszelben, -án/-én.</w:t>
      </w:r>
    </w:p>
    <w:p w:rsidR="001E667A" w:rsidRDefault="005F0856">
      <w:pPr>
        <w:pStyle w:val="Institutionquisigne"/>
        <w:rPr>
          <w:noProof/>
        </w:rPr>
      </w:pPr>
      <w:r>
        <w:rPr>
          <w:noProof/>
        </w:rPr>
        <w:t>az Európai Parlament részéről</w:t>
      </w:r>
      <w:r>
        <w:rPr>
          <w:noProof/>
        </w:rPr>
        <w:tab/>
        <w:t>a Tanács részéről</w:t>
      </w:r>
    </w:p>
    <w:p w:rsidR="001E667A" w:rsidRDefault="005F0856">
      <w:pPr>
        <w:pStyle w:val="Personnequisigne"/>
        <w:rPr>
          <w:noProof/>
        </w:rPr>
      </w:pPr>
      <w:r>
        <w:rPr>
          <w:noProof/>
        </w:rPr>
        <w:t>az elnök</w:t>
      </w:r>
      <w:r>
        <w:rPr>
          <w:noProof/>
        </w:rPr>
        <w:tab/>
        <w:t>az elnök</w:t>
      </w:r>
    </w:p>
    <w:p w:rsidR="001E667A" w:rsidRDefault="001E667A">
      <w:pPr>
        <w:rPr>
          <w:noProof/>
        </w:rPr>
        <w:sectPr w:rsidR="001E667A" w:rsidSect="005F0856">
          <w:footerReference w:type="default" r:id="rId19"/>
          <w:footerReference w:type="first" r:id="rId20"/>
          <w:pgSz w:w="11907" w:h="16839"/>
          <w:pgMar w:top="1134" w:right="1417" w:bottom="1134" w:left="1417" w:header="709" w:footer="709" w:gutter="0"/>
          <w:pgNumType w:start="1"/>
          <w:cols w:space="708"/>
          <w:docGrid w:linePitch="360"/>
        </w:sectPr>
      </w:pPr>
    </w:p>
    <w:p w:rsidR="001E667A" w:rsidRDefault="005F0856">
      <w:pPr>
        <w:pStyle w:val="Fichefinanciretitre"/>
        <w:rPr>
          <w:noProof/>
        </w:rPr>
      </w:pPr>
      <w:r>
        <w:rPr>
          <w:noProof/>
        </w:rPr>
        <w:t>PÉNZÜGYI KIMUTATÁS</w:t>
      </w:r>
    </w:p>
    <w:p w:rsidR="001E667A" w:rsidRDefault="005F0856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A JAVASLAT/KEZDEMÉNYEZÉS FŐBB ADATAI </w:t>
      </w:r>
    </w:p>
    <w:p w:rsidR="001E667A" w:rsidRDefault="005F0856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A javaslat/kezdeményezés címe </w:t>
      </w:r>
    </w:p>
    <w:p w:rsidR="001E667A" w:rsidRDefault="005F0856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A tevékenységalapú irányítás / tevékenységalapú költségvetés-tervezés keretébe tartozó érintett szakpolitikai terület(ek)</w:t>
      </w:r>
    </w:p>
    <w:p w:rsidR="001E667A" w:rsidRDefault="005F0856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A javaslat/kezdeményezés típusa </w:t>
      </w:r>
    </w:p>
    <w:p w:rsidR="001E667A" w:rsidRDefault="005F0856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Célkitűzés(ek) </w:t>
      </w:r>
    </w:p>
    <w:p w:rsidR="001E667A" w:rsidRDefault="005F0856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A javaslat/kezdeményezés indoklása </w:t>
      </w:r>
    </w:p>
    <w:p w:rsidR="001E667A" w:rsidRDefault="005F0856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 xml:space="preserve">Az intézkedés és a pénzügyi hatás időtartama </w:t>
      </w:r>
    </w:p>
    <w:p w:rsidR="001E667A" w:rsidRDefault="005F0856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 xml:space="preserve">Tervezett irányítási módszer(ek) </w:t>
      </w:r>
    </w:p>
    <w:p w:rsidR="001E667A" w:rsidRDefault="005F0856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IRÁNYÍTÁSI INTÉZKEDÉSEK </w:t>
      </w:r>
    </w:p>
    <w:p w:rsidR="001E667A" w:rsidRDefault="005F0856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A nyomon követésre és a jelentéstételre vonatkozó rendelkezések </w:t>
      </w:r>
    </w:p>
    <w:p w:rsidR="001E667A" w:rsidRDefault="005F0856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>Irányítási és kontrollr</w:t>
      </w:r>
      <w:r>
        <w:rPr>
          <w:b w:val="0"/>
          <w:noProof/>
        </w:rPr>
        <w:t xml:space="preserve">endszer </w:t>
      </w:r>
    </w:p>
    <w:p w:rsidR="001E667A" w:rsidRDefault="005F0856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 xml:space="preserve">A csalások és a szabálytalanságok megelőzésére vonatkozó intézkedések </w:t>
      </w:r>
    </w:p>
    <w:p w:rsidR="001E667A" w:rsidRDefault="005F0856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A JAVASLAT/KEZDEMÉNYEZÉS BECSÜLT PÉNZÜGYI HATÁSA </w:t>
      </w:r>
    </w:p>
    <w:p w:rsidR="001E667A" w:rsidRDefault="005F0856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 xml:space="preserve">A kiadások a többéves pénzügyi keret mely fejezetét/fejezeteit és a költségvetés mely kiadási tételét/tételeit </w:t>
      </w:r>
      <w:r>
        <w:rPr>
          <w:b w:val="0"/>
          <w:noProof/>
        </w:rPr>
        <w:t xml:space="preserve">érintik? </w:t>
      </w:r>
    </w:p>
    <w:p w:rsidR="001E667A" w:rsidRDefault="005F0856"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A kiadásokra gyakorolt becsült hatás</w:t>
      </w:r>
      <w:r>
        <w:rPr>
          <w:noProof/>
        </w:rPr>
        <w:t xml:space="preserve"> </w:t>
      </w:r>
    </w:p>
    <w:p w:rsidR="001E667A" w:rsidRDefault="005F0856"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A kiadásokra gyakorolt becsült hatás összegzése </w:t>
      </w:r>
    </w:p>
    <w:p w:rsidR="001E667A" w:rsidRDefault="005F0856"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 xml:space="preserve">Az operatív előirányzatokra gyakorolt becsült hatás </w:t>
      </w:r>
    </w:p>
    <w:p w:rsidR="001E667A" w:rsidRDefault="005F0856"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Az igazgatási előirányzatokra gyakorolt becsült hatás</w:t>
      </w:r>
    </w:p>
    <w:p w:rsidR="001E667A" w:rsidRDefault="005F0856"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A jelenlegi tö</w:t>
      </w:r>
      <w:r>
        <w:rPr>
          <w:noProof/>
        </w:rPr>
        <w:t>bbéves pénzügyi kerettel való összeegyeztethetőség</w:t>
      </w:r>
    </w:p>
    <w:p w:rsidR="001E667A" w:rsidRDefault="005F0856"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 xml:space="preserve">Harmadik felek részvétele a finanszírozásban </w:t>
      </w:r>
    </w:p>
    <w:p w:rsidR="001E667A" w:rsidRDefault="005F0856">
      <w:pPr>
        <w:pStyle w:val="ManualHeading2"/>
        <w:jc w:val="left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A bevételre gyakorolt becsült hatás</w:t>
      </w:r>
    </w:p>
    <w:p w:rsidR="001E667A" w:rsidRDefault="001E667A">
      <w:pPr>
        <w:spacing w:before="0" w:after="0"/>
        <w:jc w:val="left"/>
        <w:rPr>
          <w:noProof/>
        </w:rPr>
        <w:sectPr w:rsidR="001E667A" w:rsidSect="005F0856">
          <w:pgSz w:w="11907" w:h="16840"/>
          <w:pgMar w:top="1134" w:right="1418" w:bottom="1134" w:left="1418" w:header="709" w:footer="709" w:gutter="0"/>
          <w:cols w:space="720"/>
          <w:docGrid w:linePitch="326"/>
        </w:sectPr>
      </w:pPr>
    </w:p>
    <w:p w:rsidR="001E667A" w:rsidRDefault="005F0856">
      <w:pPr>
        <w:jc w:val="center"/>
        <w:rPr>
          <w:noProof/>
        </w:rPr>
      </w:pPr>
      <w:r>
        <w:rPr>
          <w:b/>
          <w:noProof/>
          <w:u w:val="single"/>
        </w:rPr>
        <w:t>PÉNZÜGYI KIMUTATÁS</w:t>
      </w:r>
    </w:p>
    <w:p w:rsidR="001E667A" w:rsidRDefault="005F0856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A JAVASLAT/KEZDEMÉNYEZÉS FŐBB ADATAI </w:t>
      </w:r>
    </w:p>
    <w:p w:rsidR="001E667A" w:rsidRDefault="005F0856">
      <w:pPr>
        <w:pStyle w:val="ManualHeading2"/>
        <w:rPr>
          <w:noProof/>
        </w:rPr>
      </w:pPr>
      <w:r>
        <w:rPr>
          <w:noProof/>
        </w:rPr>
        <w:t>1.1.</w:t>
      </w:r>
      <w:r>
        <w:rPr>
          <w:noProof/>
        </w:rPr>
        <w:tab/>
        <w:t>A javaslat/kezdeményezés</w:t>
      </w:r>
      <w:r>
        <w:rPr>
          <w:noProof/>
        </w:rPr>
        <w:t xml:space="preserve"> címe 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Javaslat – Az Európai Parlament és a Tanács rendelete a termékekre vonatkozó uniós harmonizációs jogszabályok betartására és érvényesítésére vonatkozó szabályok és eljárások megállapításáról</w:t>
      </w:r>
    </w:p>
    <w:p w:rsidR="001E667A" w:rsidRDefault="005F0856">
      <w:pPr>
        <w:pStyle w:val="ManualHeading2"/>
        <w:rPr>
          <w:noProof/>
          <w:szCs w:val="24"/>
        </w:rPr>
      </w:pPr>
      <w:r>
        <w:rPr>
          <w:noProof/>
        </w:rPr>
        <w:t>1.2.</w:t>
      </w:r>
      <w:r>
        <w:rPr>
          <w:noProof/>
        </w:rPr>
        <w:tab/>
        <w:t xml:space="preserve">A tevékenységalapú irányítás /tevékenységalapú </w:t>
      </w:r>
      <w:r>
        <w:rPr>
          <w:noProof/>
        </w:rPr>
        <w:t>költségvetés-tervezés keretébe tartozó érintett szakpolitikai terület(ek)</w:t>
      </w:r>
      <w:r>
        <w:rPr>
          <w:rStyle w:val="FootnoteReference"/>
          <w:noProof/>
        </w:rPr>
        <w:footnoteReference w:id="64"/>
      </w:r>
      <w:r>
        <w:rPr>
          <w:i/>
          <w:noProof/>
        </w:rPr>
        <w:t xml:space="preserve"> 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</w:rPr>
      </w:pPr>
      <w:r>
        <w:rPr>
          <w:noProof/>
        </w:rPr>
        <w:t>02 03 Áruk és szolgáltatások belső piaca</w:t>
      </w:r>
    </w:p>
    <w:p w:rsidR="001E667A" w:rsidRDefault="005F0856">
      <w:pPr>
        <w:pStyle w:val="ManualHeading2"/>
        <w:rPr>
          <w:bCs/>
          <w:noProof/>
          <w:szCs w:val="24"/>
        </w:rPr>
      </w:pPr>
      <w:r>
        <w:rPr>
          <w:noProof/>
        </w:rPr>
        <w:t>1.3.</w:t>
      </w:r>
      <w:r>
        <w:rPr>
          <w:noProof/>
        </w:rPr>
        <w:tab/>
        <w:t xml:space="preserve">A javaslat/kezdeményezés típusa </w:t>
      </w:r>
    </w:p>
    <w:p w:rsidR="001E667A" w:rsidRDefault="005F0856">
      <w:pPr>
        <w:pStyle w:val="Text1"/>
        <w:rPr>
          <w:b/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b/>
          <w:i/>
          <w:noProof/>
          <w:sz w:val="22"/>
        </w:rPr>
        <w:t xml:space="preserve"> </w:t>
      </w:r>
      <w:r>
        <w:rPr>
          <w:noProof/>
        </w:rPr>
        <w:t xml:space="preserve">A javaslat/kezdeményezés </w:t>
      </w:r>
      <w:r>
        <w:rPr>
          <w:b/>
          <w:noProof/>
        </w:rPr>
        <w:t>új intézkedésre</w:t>
      </w:r>
      <w:r>
        <w:rPr>
          <w:noProof/>
        </w:rPr>
        <w:t xml:space="preserve"> irányul</w:t>
      </w:r>
      <w:r>
        <w:rPr>
          <w:b/>
          <w:noProof/>
          <w:sz w:val="22"/>
        </w:rPr>
        <w:t xml:space="preserve"> </w:t>
      </w:r>
    </w:p>
    <w:p w:rsidR="001E667A" w:rsidRDefault="005F0856"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noProof/>
          <w:sz w:val="22"/>
        </w:rPr>
        <w:t xml:space="preserve"> </w:t>
      </w:r>
      <w:r>
        <w:rPr>
          <w:noProof/>
        </w:rPr>
        <w:t xml:space="preserve">A javaslat/kezdeményezés </w:t>
      </w:r>
      <w:r>
        <w:rPr>
          <w:b/>
          <w:noProof/>
        </w:rPr>
        <w:t xml:space="preserve">kísérleti </w:t>
      </w:r>
      <w:r>
        <w:rPr>
          <w:b/>
          <w:noProof/>
        </w:rPr>
        <w:t>projektet/előkészítő intézkedést követő új intézkedésre</w:t>
      </w:r>
      <w:r>
        <w:rPr>
          <w:rStyle w:val="FootnoteReference"/>
          <w:b/>
          <w:noProof/>
        </w:rPr>
        <w:footnoteReference w:id="65"/>
      </w:r>
      <w:r>
        <w:rPr>
          <w:noProof/>
        </w:rPr>
        <w:t xml:space="preserve"> irányul</w:t>
      </w:r>
      <w:r>
        <w:rPr>
          <w:noProof/>
          <w:sz w:val="22"/>
        </w:rPr>
        <w:t xml:space="preserve"> </w:t>
      </w:r>
    </w:p>
    <w:p w:rsidR="001E667A" w:rsidRDefault="005F0856"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FD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A javaslat/kezdeményezés </w:t>
      </w:r>
      <w:r>
        <w:rPr>
          <w:b/>
          <w:noProof/>
        </w:rPr>
        <w:t>jelenlegi intézkedés meghosszabbítására</w:t>
      </w:r>
      <w:r>
        <w:rPr>
          <w:noProof/>
        </w:rPr>
        <w:t xml:space="preserve"> irányul</w:t>
      </w:r>
      <w:r>
        <w:rPr>
          <w:noProof/>
          <w:sz w:val="22"/>
        </w:rPr>
        <w:t xml:space="preserve"> </w:t>
      </w:r>
    </w:p>
    <w:p w:rsidR="001E667A" w:rsidRDefault="005F0856"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A javaslat/kezdeményezés </w:t>
      </w:r>
      <w:r>
        <w:rPr>
          <w:b/>
          <w:noProof/>
        </w:rPr>
        <w:t>új intézkedésnek megfelelően módosított intézkedésre</w:t>
      </w:r>
      <w:r>
        <w:rPr>
          <w:noProof/>
        </w:rPr>
        <w:t xml:space="preserve"> irányul </w:t>
      </w:r>
    </w:p>
    <w:p w:rsidR="001E667A" w:rsidRDefault="005F0856">
      <w:pPr>
        <w:pStyle w:val="ManualHeading2"/>
        <w:rPr>
          <w:bCs/>
          <w:noProof/>
          <w:szCs w:val="24"/>
        </w:rPr>
      </w:pPr>
      <w:r>
        <w:rPr>
          <w:noProof/>
        </w:rPr>
        <w:t>1.4.</w:t>
      </w:r>
      <w:r>
        <w:rPr>
          <w:noProof/>
        </w:rPr>
        <w:tab/>
        <w:t>Célkitűzés(ek)</w:t>
      </w:r>
    </w:p>
    <w:p w:rsidR="001E667A" w:rsidRDefault="005F0856">
      <w:pPr>
        <w:pStyle w:val="ManualHeading3"/>
        <w:rPr>
          <w:noProof/>
        </w:rPr>
      </w:pPr>
      <w:r>
        <w:rPr>
          <w:noProof/>
        </w:rPr>
        <w:t>1.4.1</w:t>
      </w:r>
      <w:r>
        <w:rPr>
          <w:noProof/>
        </w:rPr>
        <w:t>.</w:t>
      </w:r>
      <w:r>
        <w:rPr>
          <w:noProof/>
        </w:rPr>
        <w:tab/>
        <w:t xml:space="preserve">A javaslat/kezdeményezés által érintett többéves bizottsági stratégiai célkitűzés(ek) 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Bizottság „Az egységes piac továbbfejlesztése: a polgárok és vállalkozások lehetőségeinek bővítése” (COM(2015)555/2) egységes piaci stratégiában bejelentette a termé</w:t>
      </w:r>
      <w:r>
        <w:rPr>
          <w:noProof/>
        </w:rPr>
        <w:t>kekre vonatkozó piacfelügyelet megerősítését, a versenyt torzító és a fogyasztókat veszélyeztető, növekvő mennyiségben forgalmazott illegális és a jogszabályoknak nem megfelelő termékek elleni küzdelem érdekében. Ez a javaslat a termékmegfelelőség erősítés</w:t>
      </w:r>
      <w:r>
        <w:rPr>
          <w:noProof/>
        </w:rPr>
        <w:t>ére irányul, a gazdasági szereplők megfelelő eszközökkel történő ösztönzése, a megfelelés ellenőrzésének intenzívebbé tétele, a jogérvényesítő hatóságok közötti, határon átnyúló együttműködés – többek között a vámhatóságokkal való együttműködésen keresztül</w:t>
      </w:r>
      <w:r>
        <w:rPr>
          <w:noProof/>
        </w:rPr>
        <w:t xml:space="preserve"> történő – szorosabbra fűzésének előmozdítása révén.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E javaslat az „árucsomag” része és megalkotásához a Juncker elnök munkahelyteremtésre, növekedésre, méltányosságra és demokratikus változásra irányuló programja által kezelni kívánt negyedik szakpolitika</w:t>
      </w:r>
      <w:r>
        <w:rPr>
          <w:noProof/>
        </w:rPr>
        <w:t xml:space="preserve"> terület kell, hogy keretül szolgáljon, pl. megerősített iparon alapuló, mélyebb és méltányosabb belső piac.</w:t>
      </w:r>
    </w:p>
    <w:p w:rsidR="001E667A" w:rsidRDefault="005F0856">
      <w:pPr>
        <w:pStyle w:val="ManualHeading3"/>
        <w:rPr>
          <w:bCs/>
          <w:noProof/>
          <w:szCs w:val="24"/>
        </w:rPr>
      </w:pPr>
      <w:r>
        <w:rPr>
          <w:noProof/>
        </w:rPr>
        <w:t>1.4.2.</w:t>
      </w:r>
      <w:r>
        <w:rPr>
          <w:noProof/>
        </w:rPr>
        <w:tab/>
        <w:t xml:space="preserve">Konkrét célkitűzés(ek) és a tevékenységalapú irányítás/tevékenységalapú költségvetés-tervezés keretébe tartozó érintett tevékenység(ek) 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Kon</w:t>
      </w:r>
      <w:r>
        <w:rPr>
          <w:noProof/>
          <w:u w:val="single"/>
        </w:rPr>
        <w:t>krét célkitűzések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1.</w:t>
      </w:r>
      <w:r>
        <w:rPr>
          <w:noProof/>
        </w:rPr>
        <w:tab/>
        <w:t>A jogérvényesítő hatóságok között a piacfelügyelet terén létrejövő együttműködésekre vonatkozó eljárások megerősítése, a széttagoltság és hatékonyságbeli hiányosságok csökkentése;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2.</w:t>
      </w:r>
      <w:r>
        <w:rPr>
          <w:noProof/>
        </w:rPr>
        <w:tab/>
        <w:t>A működési kapacitások bővítése, a határon átnyúló e</w:t>
      </w:r>
      <w:r>
        <w:rPr>
          <w:noProof/>
        </w:rPr>
        <w:t>llenőrzésekre és végrehajtás összehangolására rendelkezésre álló források bővítése és hatékonyságuk növelése;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3.</w:t>
      </w:r>
      <w:r>
        <w:rPr>
          <w:noProof/>
        </w:rPr>
        <w:tab/>
        <w:t>A végrehajtást szolgálót eszköztár megerősítése, nagyobb visszatartó hatású, eredményesebb és jövőállóbb eszközök használatának lehetővé tétele</w:t>
      </w:r>
      <w:r>
        <w:rPr>
          <w:noProof/>
        </w:rPr>
        <w:t xml:space="preserve"> a piacfelügyeleti hatóságok számára;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A nem élelmiszer jellegű termékekre vonatkozó uniós jogszabályoknak való megfelelés erősítése, a megfeleléssel kapcsolatos információk hozzáférhetőségének javítása és segítségnyújtás a vállalkozásoknak. 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célkitűzé</w:t>
      </w:r>
      <w:r>
        <w:rPr>
          <w:noProof/>
        </w:rPr>
        <w:t>sek az Unión belüli és az Unió külső határain zajló piacfelügyeletre is vonatkoznak, és kiterjednek mind a digitális, mind a hagyományos ellátási láncokra.</w:t>
      </w:r>
    </w:p>
    <w:p w:rsidR="001E667A" w:rsidRDefault="005F0856">
      <w:pPr>
        <w:pStyle w:val="ManualHeading3"/>
        <w:rPr>
          <w:bCs/>
          <w:noProof/>
          <w:szCs w:val="24"/>
        </w:rPr>
      </w:pPr>
      <w:r>
        <w:rPr>
          <w:noProof/>
        </w:rPr>
        <w:t>1.4.3.</w:t>
      </w:r>
      <w:r>
        <w:rPr>
          <w:noProof/>
        </w:rPr>
        <w:tab/>
        <w:t>Várható eredmény(ek) és hatás(ok)</w:t>
      </w:r>
    </w:p>
    <w:p w:rsidR="001E667A" w:rsidRDefault="005F0856"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 xml:space="preserve">Tüntesse fel, milyen hatásokat gyakorolhat a </w:t>
      </w:r>
      <w:r>
        <w:rPr>
          <w:i/>
          <w:noProof/>
          <w:sz w:val="20"/>
        </w:rPr>
        <w:t>javaslat/kezdeményezés a kedvezményezettekre/célcsoportokra.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javaslat várhatóan megerősíti a piacfelügyeleti keretrendszert, s ezáltal csökkenti az egységes piacon jelen lévő nem megfelelő termékek számát.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tagállami piacfelügyeleti hatóságok gyakrabban</w:t>
      </w:r>
      <w:r>
        <w:rPr>
          <w:noProof/>
        </w:rPr>
        <w:t xml:space="preserve"> tudják majd felhasználni a más tagállamok által megszerzett bizonyítékokat és megismételni a más tagállamok által meghozott korlátozó intézkedéseket, ami költségmegtakarítást és hatékonyságnövelést tesz lehetővé. 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Az európai uniós termékmegfelelőségi háló</w:t>
      </w:r>
      <w:r>
        <w:rPr>
          <w:noProof/>
        </w:rPr>
        <w:t>zat segíti majd a piacfelügyeleti hatóságokat – az erősebben prioritásként kezelt közös beavatkozásokon és hatékonyabb operatív munkán alapuló – összehangoltabb, több országot érintő ellenőrzési kampányok megvalósításában. Ez lehetővé teszi az uniós egység</w:t>
      </w:r>
      <w:r>
        <w:rPr>
          <w:noProof/>
        </w:rPr>
        <w:t>es piac dimenziójának a nemzeti ellenőrzésekbe történő jobb beépülését, valamint a láthatóbb uniós szintű beavatkozások végrehajtását.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végrehajtás – hálózat általi – koordinációjának köszönhetően az Unióban forgalmazott és a behozott termékekre vonatkozó</w:t>
      </w:r>
      <w:r>
        <w:rPr>
          <w:noProof/>
        </w:rPr>
        <w:t xml:space="preserve"> jogszabályok érvényesítése következetesebbé válik. A határon átnyúló kereskedelemben érintett vállalkozások viszont az egyenlőbb versenyfeltételekből, jogbiztonságból és kiszámíthatóságból fakadó előnyöket élvezik majd. 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fogyasztók és a vállalkozások kö</w:t>
      </w:r>
      <w:r>
        <w:rPr>
          <w:noProof/>
        </w:rPr>
        <w:t>nnyebben hozzáférnek majd az információkhoz, a vállalkozások ezenkívül a termékekre vonatkozó uniós jogszabályok teljesítéséhez nyújtott segítséget vehetnek igénybe.</w:t>
      </w:r>
    </w:p>
    <w:p w:rsidR="001E667A" w:rsidRDefault="005F0856">
      <w:pPr>
        <w:pStyle w:val="ManualHeading3"/>
        <w:rPr>
          <w:bCs/>
          <w:noProof/>
          <w:szCs w:val="24"/>
        </w:rPr>
      </w:pPr>
      <w:r>
        <w:rPr>
          <w:noProof/>
        </w:rPr>
        <w:t>1.4.4.</w:t>
      </w:r>
      <w:r>
        <w:rPr>
          <w:noProof/>
        </w:rPr>
        <w:tab/>
        <w:t xml:space="preserve">Eredmény- és hatásmutatók </w:t>
      </w:r>
    </w:p>
    <w:p w:rsidR="001E667A" w:rsidRDefault="005F0856"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Tüntesse fel a javaslat/kezdeményezés megvalósításának n</w:t>
      </w:r>
      <w:r>
        <w:rPr>
          <w:i/>
          <w:noProof/>
          <w:sz w:val="20"/>
        </w:rPr>
        <w:t>yomon követését lehetővé tevő mutatókat.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•</w:t>
      </w:r>
      <w:r>
        <w:rPr>
          <w:noProof/>
        </w:rPr>
        <w:tab/>
        <w:t xml:space="preserve">Megfelelőségi arányok tagállamok/ágazatok szerint, valamint az e-kereskedelem és a behozatal tekintetében (a tagállami végrehajtási stratégiákban szereplő információ hozzáférhetőségének és minőségének javulása, a </w:t>
      </w:r>
      <w:r>
        <w:rPr>
          <w:noProof/>
        </w:rPr>
        <w:t xml:space="preserve">megfelelőség terén mutatkozó hiányosságok csökkentés terén történt előrelépés) 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•</w:t>
      </w:r>
      <w:r>
        <w:rPr>
          <w:noProof/>
        </w:rPr>
        <w:tab/>
        <w:t xml:space="preserve">Az összehangolt ellenőrzési kampányok száma és eredményei (feltárt jogsértések, korrekciós intézkedések) 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•</w:t>
      </w:r>
      <w:r>
        <w:rPr>
          <w:noProof/>
        </w:rPr>
        <w:tab/>
        <w:t>A kölcsönös segítségnyújtási mechanizmus piacfelügyeleti hatóságok</w:t>
      </w:r>
      <w:r>
        <w:rPr>
          <w:noProof/>
        </w:rPr>
        <w:t xml:space="preserve"> általi igénybevétele (számok, típusok, időkeretek, eredmények), valamint a bármely másik tagállam által hozott intézkedéseket „megismétlő” intézkedések száma az egyes tagállamokban 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•</w:t>
      </w:r>
      <w:r>
        <w:rPr>
          <w:noProof/>
        </w:rPr>
        <w:tab/>
        <w:t>A vállalkozók termékekre vonatkozó szabályokkal kapcsolatos ismeretei/t</w:t>
      </w:r>
      <w:r>
        <w:rPr>
          <w:noProof/>
        </w:rPr>
        <w:t>udatossága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426"/>
        <w:rPr>
          <w:noProof/>
        </w:rPr>
      </w:pPr>
      <w:r>
        <w:rPr>
          <w:noProof/>
        </w:rPr>
        <w:t>•</w:t>
      </w:r>
      <w:r>
        <w:rPr>
          <w:noProof/>
        </w:rPr>
        <w:tab/>
        <w:t>Az önkéntes intézkedések számára létrehozott közös internetes portálon regisztrált önkéntes intézkedések száma</w:t>
      </w:r>
    </w:p>
    <w:p w:rsidR="001E667A" w:rsidRDefault="005F0856">
      <w:pPr>
        <w:pStyle w:val="ManualHeading2"/>
        <w:rPr>
          <w:bCs/>
          <w:noProof/>
          <w:szCs w:val="24"/>
        </w:rPr>
      </w:pPr>
      <w:r>
        <w:rPr>
          <w:noProof/>
        </w:rPr>
        <w:t>1.5.</w:t>
      </w:r>
      <w:r>
        <w:rPr>
          <w:noProof/>
        </w:rPr>
        <w:tab/>
        <w:t xml:space="preserve">A javaslat/kezdeményezés indoklása </w:t>
      </w:r>
    </w:p>
    <w:p w:rsidR="001E667A" w:rsidRDefault="005F0856">
      <w:pPr>
        <w:pStyle w:val="ManualHeading3"/>
        <w:rPr>
          <w:noProof/>
        </w:rPr>
      </w:pPr>
      <w:r>
        <w:rPr>
          <w:noProof/>
        </w:rPr>
        <w:t>1.5.1.</w:t>
      </w:r>
      <w:r>
        <w:rPr>
          <w:noProof/>
        </w:rPr>
        <w:tab/>
        <w:t xml:space="preserve">Rövid vagy hosszú távon kielégítendő szükséglet(ek) 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piacfelügyeleti keretrendszer</w:t>
      </w:r>
      <w:r>
        <w:rPr>
          <w:noProof/>
        </w:rPr>
        <w:t xml:space="preserve"> értékelése fontos hiányosságokat tárt fel, amelyek négy fő tényezőre vezethetők vissza, nevezetesen: 1) az Unión belüli piacfelügyelet széttagolt és nem kellően összehangolt; 2) a piacfelügyeleti hatóságok számára biztosított források korlátozottak; 3) a </w:t>
      </w:r>
      <w:r>
        <w:rPr>
          <w:noProof/>
        </w:rPr>
        <w:t>jelenlegi végrehajtási eszközök visszatartó hatása alacsony, főleg a harmadik országokból származó behozatal és az e-kereskedelem tekintetében; 4) jelentősek az információhiányok (például a vállalkozások nem ismerik a szabályokat és a termékmegfelelőséggel</w:t>
      </w:r>
      <w:r>
        <w:rPr>
          <w:noProof/>
        </w:rPr>
        <w:t xml:space="preserve"> kapcsolatos átláthatóság alacsony). E problémák megoldására a javaslat az alábbiakat irányozza elő: 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– a különböző tagállamok piacfelügyeleti hatóságai közötti eredményes kölcsönös segítségnyújtás iránti megkeresésekre, valamint a végrehajtással kapcsolat</w:t>
      </w:r>
      <w:r>
        <w:rPr>
          <w:noProof/>
        </w:rPr>
        <w:t>os bizonyítékok és határozatok átadhatóságára szolgáló mechanizmust,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– a közös végrehajtási tevékenységek (európai uniós termékmegfelelőségi hálózat), a tagállami végrehajtási stratégiák, a teljesítménymutatók és szakértői vizsgálatok koordinációját és meg</w:t>
      </w:r>
      <w:r>
        <w:rPr>
          <w:noProof/>
        </w:rPr>
        <w:t>valósítását segítő igazgatási támogatási rendszert,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– a piacfelügyeleti hatóságokat megillető közös vizsgálati és végrehajtási jogköröket, valamint a gyártók arra vonatkozó kötelezettségét, hogy a termékmegfelelési információkért felelős, az Unióban letele</w:t>
      </w:r>
      <w:r>
        <w:rPr>
          <w:noProof/>
        </w:rPr>
        <w:t xml:space="preserve">pedett személyt jelöljenek ki, 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– a piacfelügyeleti hatóságok által meghozott korlátozó intézkedések rendszeresebb közzétételét, valamint a nem megfelelő termékek esetében az ellenőrzésekhez kapcsolódó költségek megtéríttetését, 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– a termékügyi </w:t>
      </w:r>
      <w:r>
        <w:rPr>
          <w:noProof/>
        </w:rPr>
        <w:t>kapcsolattartó pontok tanácsadó szerepének a vállalkozók irányába történő kiterjesztését, a veszélyes termékek kapcsán a vállalkozók által megtett önkéntes intézkedések számára létrehozandó internetes portált, valamint a gyártókra és importőrökre vonatkozó</w:t>
      </w:r>
      <w:r>
        <w:rPr>
          <w:noProof/>
        </w:rPr>
        <w:t xml:space="preserve"> megfeleléssel kapcsolatos információk digitális formában történő közzétételét.</w:t>
      </w:r>
    </w:p>
    <w:p w:rsidR="001E667A" w:rsidRDefault="005F0856">
      <w:pPr>
        <w:pStyle w:val="ManualHeading3"/>
        <w:rPr>
          <w:bCs/>
          <w:noProof/>
          <w:szCs w:val="24"/>
        </w:rPr>
      </w:pPr>
      <w:r>
        <w:rPr>
          <w:noProof/>
        </w:rPr>
        <w:t>1.5.2.</w:t>
      </w:r>
      <w:r>
        <w:rPr>
          <w:noProof/>
        </w:rPr>
        <w:tab/>
        <w:t>Az uniós részvételből adódó többletérték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Az uniós harmonizációs jogszabályok egységes piacon belüli érvényesítése jelentős kihívást jelent a közigazgatási szervek számár</w:t>
      </w:r>
      <w:r>
        <w:rPr>
          <w:noProof/>
        </w:rPr>
        <w:t>a, amelyek tevékenysége joghatóságuk határai közé szorul, miközben számos vállalkozás több tagállamban vagy uniós szinten valósítja meg üzleti modelljeit. A piacon forgalmazott termékek megfelelőségi szintjének növelése minden tagállam esetében a szomszédo</w:t>
      </w:r>
      <w:r>
        <w:rPr>
          <w:noProof/>
        </w:rPr>
        <w:t>s országok piacfelügyeleti hatóságain múlik. Következésképpen egyetlen tagállam piacfelügyeleti szervezetének hiányosságai súlyos mértékben alááshatják a többi tagállam a nem megfelelő termékek piactól történő távol tartása érdekében tett erőfeszítéseit; í</w:t>
      </w:r>
      <w:r>
        <w:rPr>
          <w:noProof/>
        </w:rPr>
        <w:t xml:space="preserve">gy az lesz a gyenge láncszem. 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Ezért az uniós harmonizációs jogszabályok Unión belüli következetes érvényesítéséhez és a meg nem felelések több tagállamot érintő elterjedésének hatékony megakadályozásához a végrehajtási tevékenységek koordinációjára van sz</w:t>
      </w:r>
      <w:r>
        <w:rPr>
          <w:noProof/>
        </w:rPr>
        <w:t>ükség. A szóban forgó kérdés tehát határon átnyúló vonatkozásokkal rendelkezik, amelyek nem kezelhetők kielégítő módon a tagállamok egyéni fellépéseivel, hiszen azok egyedül fellépve az együttműködést és a koordinációt nem tudják biztosítani, és amelyekkel</w:t>
      </w:r>
      <w:r>
        <w:rPr>
          <w:noProof/>
        </w:rPr>
        <w:t xml:space="preserve"> uniós szinten kell foglalkozni.</w:t>
      </w:r>
    </w:p>
    <w:p w:rsidR="001E667A" w:rsidRDefault="005F0856">
      <w:pPr>
        <w:pStyle w:val="ManualHeading3"/>
        <w:rPr>
          <w:bCs/>
          <w:noProof/>
          <w:szCs w:val="24"/>
        </w:rPr>
      </w:pPr>
      <w:r>
        <w:rPr>
          <w:noProof/>
        </w:rPr>
        <w:t>1.5.3.</w:t>
      </w:r>
      <w:r>
        <w:rPr>
          <w:noProof/>
        </w:rPr>
        <w:tab/>
        <w:t>Hasonló korábbi tapasztalatok tanulsága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meglévő piacfelügyeleti rendszerre és különösen a 765/2008/EK rendeletre irányuló értékelés megállapította, hogy az a belső piacon forgalmazott nem megfelelő termékek számána</w:t>
      </w:r>
      <w:r>
        <w:rPr>
          <w:noProof/>
        </w:rPr>
        <w:t xml:space="preserve">k csökkentésével elérni kívánt stratégiai célkitűzések, nevezetesen a közérdek védelmének megerősítése és a gazdasági szereplők számára történő egyenlő versenyfeltételek biztosítása, tekintetében nem érvényesül maradéktalanul. A jelenleg elérhető adatok a </w:t>
      </w:r>
      <w:r>
        <w:rPr>
          <w:noProof/>
        </w:rPr>
        <w:t>nem megfelelő termékek további jelenlétét és akár lehetséges bővülését mutatják. Következésképpen a meglévő piacfelügyeleti keretrendszer nem hozza meg a tőle elvárt módon a fogyasztók/felhasználók biztonságának és a vállalkozások egyenlő versenyfeltételei</w:t>
      </w:r>
      <w:r>
        <w:rPr>
          <w:noProof/>
        </w:rPr>
        <w:t>nek növekedését. A legfontosabb azonosított hiányosságok a piacfelügyeleti hatóságok és a tagállamok közötti nem kielégítő mértékű koordináció és együttműködés, valamint a behozott termékekre irányuló piacfelügyelet és vámellenőrzés nem kielégítően egysége</w:t>
      </w:r>
      <w:r>
        <w:rPr>
          <w:noProof/>
        </w:rPr>
        <w:t>s és szigorú szintje voltak. A piacfelügyeletre rendelkezésre álló források korlátozottak, és tagállamonként jelentősen eltérő mértékűek, ami közvetlenül kihat az elvégezhető piacfelügyeleti ellenőrzésekre. A vállalkozásokra vonatkozó piacfelügyelettel kap</w:t>
      </w:r>
      <w:r>
        <w:rPr>
          <w:noProof/>
        </w:rPr>
        <w:t>csolatos tagállami megközelítések terén a határ különböző oldalain megmutatkozó következetlenségek csökkenthetik a vállalkozások szándékát a szabályok teljesítésére, és a szabályokat betartó vállalkozásokat a szabályokat nem betartókkal szemben hátrányosan</w:t>
      </w:r>
      <w:r>
        <w:rPr>
          <w:noProof/>
        </w:rPr>
        <w:t xml:space="preserve"> megkülönböztethetik. 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A 765/2008/EK rendelet fogalommeghatározásai általánosságban egyértelműek és megfelelőek, ugyanakkor nem teljes körűek és nem naprakészek, különösen figyelembe véve az online kereskedelem szabályozásával kapcsolatos igényeket. 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Össze</w:t>
      </w:r>
      <w:r>
        <w:rPr>
          <w:noProof/>
        </w:rPr>
        <w:t>sségében az értékelés eredményei azt mutatták, hogy a piacfelügyelet harmonizációját szolgáló egyetlen európai jogszabály meglétének a több különböző nemzeti jogszabállyal szembeni előnyei széles körben elismerésre találtak. A rendeletből fakadó lehetősége</w:t>
      </w:r>
      <w:r>
        <w:rPr>
          <w:noProof/>
        </w:rPr>
        <w:t>t az uniós hozzáadott érték maradéktalan érvényesítésére továbbra is gátolja az optimális szint alatti határon átnyúló információmegosztás és kooperáció, a piacfelügyeleti keretrendszer egységes nemzeti szintű megvalósításának hiánya.</w:t>
      </w:r>
    </w:p>
    <w:p w:rsidR="001E667A" w:rsidRDefault="005F0856">
      <w:pPr>
        <w:pStyle w:val="ManualHeading3"/>
        <w:rPr>
          <w:bCs/>
          <w:noProof/>
          <w:szCs w:val="24"/>
        </w:rPr>
      </w:pPr>
      <w:r>
        <w:rPr>
          <w:noProof/>
        </w:rPr>
        <w:t>1.5.4.</w:t>
      </w:r>
      <w:r>
        <w:rPr>
          <w:noProof/>
        </w:rPr>
        <w:tab/>
        <w:t>Egyéb releváns</w:t>
      </w:r>
      <w:r>
        <w:rPr>
          <w:noProof/>
        </w:rPr>
        <w:t xml:space="preserve"> eszközökkel való összeegyeztethetőség és lehetséges szinergia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A javaslat az Európai Bizottság egységes piaci stratégiájához tartozó kezdeményezések egyike. 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javaslat nagyobb összhangot biztosít a 2013-ban hatályba lépett Uniós Vámkódex rendelkezéseivel.</w:t>
      </w:r>
      <w:r>
        <w:rPr>
          <w:noProof/>
        </w:rPr>
        <w:t xml:space="preserve"> A javaslat figyelembe veszi a Vámkódex által a koordináció és az intézményközi együttműködés, a jó teljesítményt mutató megbízható gazdálkodóknak megítélt könnyítések, valamint az ellenőrzések eredményességének és hatékonyságának növelése érdekében, többe</w:t>
      </w:r>
      <w:r>
        <w:rPr>
          <w:noProof/>
        </w:rPr>
        <w:t xml:space="preserve">k között a vámunió szintjén megerősített kockázatértékelés tekintetében megfogalmazott új koncepciókat. 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A javaslat teljes mértékben összhangban van és összeegyeztethető a meglévő uniós politikákkal és a közelmúltban más szakpolitikai területeken (mint az </w:t>
      </w:r>
      <w:r>
        <w:rPr>
          <w:noProof/>
        </w:rPr>
        <w:t>élelmiszer- és takarmány-ellenőrzések, a fogyasztóvédelem területén történő együttműködések és a verseny) megfogalmazott, a végrehajtás megerősítésére irányuló javaslatokkal.</w:t>
      </w:r>
    </w:p>
    <w:p w:rsidR="001E667A" w:rsidRDefault="005F0856"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  <w:t>1.6.</w:t>
      </w:r>
      <w:r>
        <w:rPr>
          <w:noProof/>
        </w:rPr>
        <w:tab/>
        <w:t xml:space="preserve">Az intézkedés és a pénzügyi hatás időtartama 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noProof/>
        </w:rPr>
        <w:t xml:space="preserve">A javaslat/kezdeményezés </w:t>
      </w:r>
      <w:r>
        <w:rPr>
          <w:b/>
          <w:noProof/>
        </w:rPr>
        <w:t>ha</w:t>
      </w:r>
      <w:r>
        <w:rPr>
          <w:b/>
          <w:noProof/>
        </w:rPr>
        <w:t>tározott időtartamra</w:t>
      </w:r>
      <w:r>
        <w:rPr>
          <w:noProof/>
        </w:rPr>
        <w:t xml:space="preserve"> vonatkozik</w:t>
      </w:r>
      <w:r>
        <w:rPr>
          <w:b/>
          <w:noProof/>
        </w:rPr>
        <w:t xml:space="preserve"> </w:t>
      </w:r>
    </w:p>
    <w:p w:rsidR="001E667A" w:rsidRDefault="005F0856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javaslat/kezdeményezés időtartama: ÉÉÉÉ [HH/NN]-tól/-től ÉÉÉÉ [HH/NN]-ig </w:t>
      </w:r>
    </w:p>
    <w:p w:rsidR="001E667A" w:rsidRDefault="005F0856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Pénzügyi hatás: ÉÉÉÉ-tól/-től ÉÉÉÉ-ig 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sym w:font="Wingdings" w:char="F0FD"/>
      </w:r>
      <w:r>
        <w:rPr>
          <w:b/>
          <w:i/>
          <w:noProof/>
        </w:rPr>
        <w:t xml:space="preserve"> </w:t>
      </w:r>
      <w:r>
        <w:rPr>
          <w:noProof/>
        </w:rPr>
        <w:t xml:space="preserve">A javaslat/kezdeményezés </w:t>
      </w:r>
      <w:r>
        <w:rPr>
          <w:b/>
          <w:noProof/>
        </w:rPr>
        <w:t>határozatlan időtartamra</w:t>
      </w:r>
      <w:r>
        <w:rPr>
          <w:noProof/>
        </w:rPr>
        <w:t xml:space="preserve"> vonatkozik</w:t>
      </w:r>
    </w:p>
    <w:p w:rsidR="001E667A" w:rsidRDefault="005F0856">
      <w:pPr>
        <w:pStyle w:val="ListDash1"/>
        <w:rPr>
          <w:noProof/>
        </w:rPr>
      </w:pPr>
      <w:r>
        <w:rPr>
          <w:noProof/>
        </w:rPr>
        <w:t>Beindítási időszak: 2020-tól 2022-ig, azt</w:t>
      </w:r>
      <w:r>
        <w:rPr>
          <w:noProof/>
        </w:rPr>
        <w:t xml:space="preserve"> követően: rendes ütem.</w:t>
      </w:r>
    </w:p>
    <w:p w:rsidR="001E667A" w:rsidRDefault="005F0856">
      <w:pPr>
        <w:pStyle w:val="ManualHeading2"/>
        <w:rPr>
          <w:bCs/>
          <w:noProof/>
          <w:szCs w:val="24"/>
        </w:rPr>
      </w:pPr>
      <w:r>
        <w:rPr>
          <w:noProof/>
        </w:rPr>
        <w:t>1.7.</w:t>
      </w:r>
      <w:r>
        <w:rPr>
          <w:noProof/>
        </w:rPr>
        <w:tab/>
        <w:t>Tervezett irányítási módszer(ek)</w:t>
      </w:r>
      <w:r>
        <w:rPr>
          <w:rStyle w:val="FootnoteReference"/>
          <w:noProof/>
        </w:rPr>
        <w:footnoteReference w:id="66"/>
      </w:r>
      <w:r>
        <w:rPr>
          <w:rStyle w:val="FootnoteReference"/>
          <w:noProof/>
        </w:rPr>
        <w:t xml:space="preserve"> 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sym w:font="Wingdings" w:char="F0FD"/>
      </w:r>
      <w:r>
        <w:rPr>
          <w:i/>
          <w:noProof/>
        </w:rPr>
        <w:t xml:space="preserve"> </w:t>
      </w:r>
      <w:r>
        <w:rPr>
          <w:noProof/>
        </w:rPr>
        <w:t xml:space="preserve">Bizottság általi </w:t>
      </w:r>
      <w:r>
        <w:rPr>
          <w:b/>
          <w:noProof/>
        </w:rPr>
        <w:t>közvetlen irányítás</w:t>
      </w:r>
    </w:p>
    <w:p w:rsidR="001E667A" w:rsidRDefault="005F0856"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 xml:space="preserve"> a Bizottság szervezeti egységein keresztül, ideértve az uniós küldöttségek személyzetét </w:t>
      </w:r>
    </w:p>
    <w:p w:rsidR="001E667A" w:rsidRDefault="005F0856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végrehajtó ügynökségeken keresztül 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b/>
          <w:noProof/>
        </w:rPr>
        <w:t>Megosztott irányítás</w:t>
      </w:r>
      <w:r>
        <w:rPr>
          <w:noProof/>
        </w:rPr>
        <w:t xml:space="preserve"> a</w:t>
      </w:r>
      <w:r>
        <w:rPr>
          <w:noProof/>
        </w:rPr>
        <w:t xml:space="preserve"> tagállamokkal 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Közvetett irányítás</w:t>
      </w:r>
      <w:r>
        <w:rPr>
          <w:noProof/>
        </w:rPr>
        <w:t xml:space="preserve"> a költségvetés végrehajtásával kapcsolatos feladatoknak a következőkre történő átruházásával:</w:t>
      </w:r>
    </w:p>
    <w:p w:rsidR="001E667A" w:rsidRDefault="005F0856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harmadik országok vagy az általuk kijelölt szervek</w:t>
      </w:r>
    </w:p>
    <w:p w:rsidR="001E667A" w:rsidRDefault="005F0856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nemzetközi szervezetek és ügynökségeik (nevezze meg)</w:t>
      </w:r>
    </w:p>
    <w:p w:rsidR="001E667A" w:rsidRDefault="005F0856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az EBB és az Európai Beruházási Alap</w:t>
      </w:r>
    </w:p>
    <w:p w:rsidR="001E667A" w:rsidRDefault="005F0856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költségvetési rendelet 208. és 209. cikkében említett szervek</w:t>
      </w:r>
    </w:p>
    <w:p w:rsidR="001E667A" w:rsidRDefault="005F0856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közjogi szervek</w:t>
      </w:r>
    </w:p>
    <w:p w:rsidR="001E667A" w:rsidRDefault="005F0856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magánjog alapján működő, közfeladatot ellátó szervek, olyan mértékben, amennyiben megfelelő pénzügyi garanciákat nyújtanak</w:t>
      </w:r>
    </w:p>
    <w:p w:rsidR="001E667A" w:rsidRDefault="005F0856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 valam</w:t>
      </w:r>
      <w:r>
        <w:rPr>
          <w:noProof/>
        </w:rPr>
        <w:t>ely tagállam magánjoga alapján működő, köz- és magánszféra közötti partnerség végrehajtásával megbízott és megfelelő pénzügyi garanciákat nyújtó szervek</w:t>
      </w:r>
    </w:p>
    <w:p w:rsidR="001E667A" w:rsidRDefault="005F0856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az EUSZ V. címének értelmében a KKBP terén konkrét fellépések végrehajtásával megbízott, és a vonatko</w:t>
      </w:r>
      <w:r>
        <w:rPr>
          <w:noProof/>
        </w:rPr>
        <w:t>zó alap-jogi aktusban meghatározott személyek.</w:t>
      </w:r>
    </w:p>
    <w:p w:rsidR="001E667A" w:rsidRDefault="005F0856">
      <w:pPr>
        <w:pStyle w:val="ListDash2"/>
        <w:spacing w:before="120" w:after="120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Egynél több irányítási módszer feltüntetése esetén kérjük, adjon részletes felvilágosítást a „Megjegyzések” rovatban.</w:t>
      </w:r>
    </w:p>
    <w:p w:rsidR="001E667A" w:rsidRDefault="005F0856">
      <w:pPr>
        <w:rPr>
          <w:noProof/>
        </w:rPr>
      </w:pPr>
      <w:r>
        <w:rPr>
          <w:noProof/>
        </w:rPr>
        <w:t xml:space="preserve">Megjegyzések </w:t>
      </w:r>
    </w:p>
    <w:p w:rsidR="001E667A" w:rsidRDefault="001E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FF"/>
        </w:rPr>
      </w:pPr>
    </w:p>
    <w:p w:rsidR="001E667A" w:rsidRDefault="001E667A">
      <w:pPr>
        <w:spacing w:before="0" w:after="0"/>
        <w:jc w:val="left"/>
        <w:rPr>
          <w:noProof/>
        </w:rPr>
        <w:sectPr w:rsidR="001E667A" w:rsidSect="005F0856">
          <w:pgSz w:w="11907" w:h="16840"/>
          <w:pgMar w:top="1134" w:right="1418" w:bottom="1134" w:left="1418" w:header="709" w:footer="709" w:gutter="0"/>
          <w:cols w:space="720"/>
          <w:docGrid w:linePitch="326"/>
        </w:sectPr>
      </w:pPr>
    </w:p>
    <w:p w:rsidR="001E667A" w:rsidRDefault="005F0856">
      <w:pPr>
        <w:pStyle w:val="ManualHeading1"/>
        <w:rPr>
          <w:bCs/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 xml:space="preserve">IRÁNYÍTÁSI INTÉZKEDÉSEK </w:t>
      </w:r>
    </w:p>
    <w:p w:rsidR="001E667A" w:rsidRDefault="005F0856">
      <w:pPr>
        <w:pStyle w:val="ManualHeading2"/>
        <w:rPr>
          <w:noProof/>
        </w:rPr>
      </w:pPr>
      <w:r>
        <w:rPr>
          <w:noProof/>
        </w:rPr>
        <w:t>2.1.</w:t>
      </w:r>
      <w:r>
        <w:rPr>
          <w:noProof/>
        </w:rPr>
        <w:tab/>
      </w:r>
      <w:r>
        <w:rPr>
          <w:noProof/>
        </w:rPr>
        <w:t xml:space="preserve">A nyomon követésre és a jelentéstételre vonatkozó rendelkezések </w:t>
      </w:r>
    </w:p>
    <w:p w:rsidR="001E667A" w:rsidRDefault="005F0856">
      <w:pPr>
        <w:pStyle w:val="Text1"/>
        <w:rPr>
          <w:i/>
          <w:noProof/>
          <w:sz w:val="20"/>
          <w:u w:val="single"/>
        </w:rPr>
      </w:pPr>
      <w:r>
        <w:rPr>
          <w:i/>
          <w:noProof/>
          <w:sz w:val="20"/>
        </w:rPr>
        <w:t>Gyakoriság és feltételek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 piacfelügyeleti hatóságokat és a Bizottságot összekötő informatikai eszközt a javaslat meg fogja erősíteni (34. cikk, Információs és kommunikációs rendszer). Az inf</w:t>
      </w:r>
      <w:r>
        <w:rPr>
          <w:noProof/>
        </w:rPr>
        <w:t>ormatikai rendszer használatával a nyomon követési és működési tevékenység folyamatos jelleggel hatékonyan végezhető. Az informatikai rendszeren keresztül történő nyomon követés az e rendelettel létrehozott uniós termékmegfelelőségi hálózat munkája, és a t</w:t>
      </w:r>
      <w:r>
        <w:rPr>
          <w:noProof/>
        </w:rPr>
        <w:t>agállamok által, a nemzeti végrehajtási stratégiájuk részeként előállított, a megfelelési arányokra és a végrehajtási tevékenységre vonatkozó megbízhatóbb és átfogóbb információ nyomán valósul meg. Az európai uniós termékmegfelelőségi hálózat kidolgozza és</w:t>
      </w:r>
      <w:r>
        <w:rPr>
          <w:noProof/>
        </w:rPr>
        <w:t xml:space="preserve"> nyomon követi az átfogó teljesítménymutatókat és szakértői vizsgálatokat valósít meg.</w:t>
      </w:r>
    </w:p>
    <w:p w:rsidR="001E667A" w:rsidRDefault="005F0856">
      <w:pPr>
        <w:pStyle w:val="ManualHeading2"/>
        <w:rPr>
          <w:bCs/>
          <w:noProof/>
          <w:szCs w:val="24"/>
        </w:rPr>
      </w:pPr>
      <w:r>
        <w:rPr>
          <w:noProof/>
        </w:rPr>
        <w:t>2.2.</w:t>
      </w:r>
      <w:r>
        <w:rPr>
          <w:noProof/>
        </w:rPr>
        <w:tab/>
        <w:t xml:space="preserve">Irányítási és kontrollrendszer </w:t>
      </w:r>
    </w:p>
    <w:p w:rsidR="001E667A" w:rsidRDefault="005F0856">
      <w:pPr>
        <w:pStyle w:val="ManualHeading3"/>
        <w:rPr>
          <w:noProof/>
        </w:rPr>
      </w:pPr>
      <w:r>
        <w:rPr>
          <w:noProof/>
        </w:rPr>
        <w:t>2.2.1.</w:t>
      </w:r>
      <w:r>
        <w:rPr>
          <w:noProof/>
        </w:rPr>
        <w:tab/>
        <w:t xml:space="preserve">Felismert kockázat(ok) 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Működési kockázatok az informatikai eszköz vonatkozásában: annak kockázata, hogy az informatikai </w:t>
      </w:r>
      <w:r>
        <w:rPr>
          <w:noProof/>
        </w:rPr>
        <w:t>eszköz nem támogatja eredményesen a piacfelügyeleti hatóságok és az európai uniós termékmegfelelőségi hálózat közötti együttműködést.</w:t>
      </w:r>
    </w:p>
    <w:p w:rsidR="001E667A" w:rsidRDefault="005F0856">
      <w:pPr>
        <w:pStyle w:val="ManualHeading3"/>
        <w:rPr>
          <w:bCs/>
          <w:noProof/>
          <w:szCs w:val="24"/>
        </w:rPr>
      </w:pPr>
      <w:r>
        <w:rPr>
          <w:noProof/>
        </w:rPr>
        <w:t>2.2.2.</w:t>
      </w:r>
      <w:r>
        <w:rPr>
          <w:noProof/>
        </w:rPr>
        <w:tab/>
        <w:t>A működő belső kontrollrendszerrel kapcsolatos információk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color w:val="0000FF"/>
        </w:rPr>
        <w:t>Hatékony informatikai irányítási folyamatok, amelyek akt</w:t>
      </w:r>
      <w:r>
        <w:rPr>
          <w:noProof/>
          <w:color w:val="0000FF"/>
        </w:rPr>
        <w:t>ívan bevonják a rendszerek felhasználóit.</w:t>
      </w:r>
    </w:p>
    <w:p w:rsidR="001E667A" w:rsidRDefault="005F0856">
      <w:pPr>
        <w:pStyle w:val="ManualHeading3"/>
        <w:rPr>
          <w:noProof/>
        </w:rPr>
      </w:pPr>
      <w:r>
        <w:rPr>
          <w:noProof/>
        </w:rPr>
        <w:t>2.2.3.</w:t>
      </w:r>
      <w:r>
        <w:rPr>
          <w:noProof/>
        </w:rPr>
        <w:tab/>
        <w:t xml:space="preserve">Az ellenőrzések költsége és haszna, a várt hibaarány értékelése 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color w:val="0000FF"/>
        </w:rPr>
        <w:t>Az ellenőrzések költsége elhanyagolható magának az informatikai eszköznek a kifejlesztésére szánt előirányzatokhoz képest.</w:t>
      </w:r>
    </w:p>
    <w:p w:rsidR="001E667A" w:rsidRDefault="005F0856">
      <w:pPr>
        <w:pStyle w:val="ManualHeading2"/>
        <w:rPr>
          <w:bCs/>
          <w:noProof/>
          <w:szCs w:val="24"/>
        </w:rPr>
      </w:pPr>
      <w:r>
        <w:rPr>
          <w:noProof/>
        </w:rPr>
        <w:t>2.3.</w:t>
      </w:r>
      <w:r>
        <w:rPr>
          <w:noProof/>
        </w:rPr>
        <w:tab/>
        <w:t xml:space="preserve">A csalások és </w:t>
      </w:r>
      <w:r>
        <w:rPr>
          <w:noProof/>
        </w:rPr>
        <w:t xml:space="preserve">a szabálytalanságok megelőzésére vonatkozó intézkedések </w:t>
      </w:r>
    </w:p>
    <w:p w:rsidR="001E667A" w:rsidRDefault="005F0856"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Tüntesse fel a meglévő vagy tervezett megelőző és védintézkedéseket.</w:t>
      </w:r>
    </w:p>
    <w:p w:rsidR="001E667A" w:rsidRDefault="005F0856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A Bizottság által végrehajtott intézkedéseket a költségvetési rendeletnek megfelelően előzetes és utólagos kontrollnak vetik alá. </w:t>
      </w:r>
      <w:r>
        <w:rPr>
          <w:noProof/>
        </w:rPr>
        <w:t xml:space="preserve">Az e rendelet alkalmazásának finanszírozásához kapcsolódó szerződések és megállapodások kifejezetten feljogosítják a Bizottságot, az OLAF-ot és a Számvevőszéket is ideértve a pénzügyi ellenőrzések, helyszíni ellenőrzések és vizsgálatok végzésére. </w:t>
      </w:r>
    </w:p>
    <w:p w:rsidR="001E667A" w:rsidRDefault="001E6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noProof/>
        </w:rPr>
        <w:sectPr w:rsidR="001E667A" w:rsidSect="005F0856">
          <w:pgSz w:w="11907" w:h="16840"/>
          <w:pgMar w:top="1134" w:right="1418" w:bottom="1134" w:left="1418" w:header="709" w:footer="709" w:gutter="0"/>
          <w:cols w:space="720"/>
          <w:docGrid w:linePitch="326"/>
        </w:sectPr>
      </w:pPr>
    </w:p>
    <w:p w:rsidR="001E667A" w:rsidRDefault="005F0856">
      <w:pPr>
        <w:pStyle w:val="ManualHeading1"/>
        <w:rPr>
          <w:bCs/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 xml:space="preserve">A JAVASLAT/KEZDEMÉNYEZÉS BECSÜLT PÉNZÜGYI HATÁSA </w:t>
      </w:r>
    </w:p>
    <w:p w:rsidR="001E667A" w:rsidRDefault="005F0856">
      <w:pPr>
        <w:pStyle w:val="ManualHeading2"/>
        <w:rPr>
          <w:noProof/>
        </w:rPr>
      </w:pPr>
      <w:r>
        <w:rPr>
          <w:noProof/>
        </w:rPr>
        <w:t>3.1.</w:t>
      </w:r>
      <w:r>
        <w:rPr>
          <w:noProof/>
        </w:rPr>
        <w:tab/>
        <w:t xml:space="preserve">A kiadások a többéves pénzügyi keret mely fejezetét/fejezeteit és a költségvetés mely kiadási tételét/tételeit érintik? </w:t>
      </w:r>
    </w:p>
    <w:p w:rsidR="001E667A" w:rsidRDefault="005F0856">
      <w:pPr>
        <w:pStyle w:val="ListBullet1"/>
        <w:rPr>
          <w:noProof/>
        </w:rPr>
      </w:pPr>
      <w:r>
        <w:rPr>
          <w:noProof/>
        </w:rPr>
        <w:t xml:space="preserve">Jelenlegi költségvetési tételek 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t>A többéves pénzügyi ker</w:t>
      </w:r>
      <w:r>
        <w:rPr>
          <w:noProof/>
        </w:rPr>
        <w:t xml:space="preserve">et fejezetei, azon belül pedig a költségvetési tételek </w:t>
      </w:r>
      <w:r>
        <w:rPr>
          <w:noProof/>
          <w:u w:val="single"/>
        </w:rPr>
        <w:t>sorrendjében</w:t>
      </w:r>
      <w:r>
        <w:rPr>
          <w:noProof/>
        </w:rPr>
        <w:t>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 w:rsidR="001E667A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A többéves pénzügyi keret fejezete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Költségvetési tétel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 xml:space="preserve">Kiadás 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típusa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 xml:space="preserve">Hozzájárulás </w:t>
            </w:r>
          </w:p>
        </w:tc>
      </w:tr>
      <w:tr w:rsidR="001E667A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Alcím: 02.03</w:t>
            </w:r>
          </w:p>
          <w:p w:rsidR="001E667A" w:rsidRDefault="005F0856">
            <w:pPr>
              <w:spacing w:line="276" w:lineRule="auto"/>
              <w:rPr>
                <w:noProof/>
                <w:sz w:val="22"/>
              </w:rPr>
            </w:pPr>
            <w:r>
              <w:rPr>
                <w:noProof/>
              </w:rPr>
              <w:t>Az áruk és szolgáltatások belső piaca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diff./nem diff</w:t>
            </w:r>
            <w:r>
              <w:rPr>
                <w:rStyle w:val="FootnoteReference"/>
                <w:noProof/>
              </w:rPr>
              <w:footnoteReference w:id="67"/>
            </w:r>
            <w:r>
              <w:rPr>
                <w:noProof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EFTA-országoktól</w:t>
            </w:r>
            <w:r>
              <w:rPr>
                <w:rStyle w:val="FootnoteReference"/>
                <w:noProof/>
              </w:rPr>
              <w:footnoteReference w:id="68"/>
            </w:r>
          </w:p>
          <w:p w:rsidR="001E667A" w:rsidRDefault="001E667A">
            <w:pPr>
              <w:spacing w:before="0" w:after="0" w:line="276" w:lineRule="auto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 xml:space="preserve">tagjelölt </w:t>
            </w:r>
            <w:r>
              <w:rPr>
                <w:noProof/>
                <w:sz w:val="18"/>
              </w:rPr>
              <w:t>országoktól</w:t>
            </w:r>
            <w:r>
              <w:rPr>
                <w:rStyle w:val="FootnoteReference"/>
                <w:noProof/>
              </w:rPr>
              <w:footnoteReference w:id="69"/>
            </w:r>
          </w:p>
          <w:p w:rsidR="001E667A" w:rsidRDefault="001E667A">
            <w:pPr>
              <w:spacing w:before="0" w:after="0" w:line="276" w:lineRule="auto"/>
              <w:jc w:val="center"/>
              <w:rPr>
                <w:noProof/>
                <w:sz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harmadik országoktól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noProof/>
                <w:sz w:val="22"/>
              </w:rPr>
            </w:pPr>
            <w:r>
              <w:rPr>
                <w:noProof/>
                <w:sz w:val="16"/>
              </w:rPr>
              <w:t xml:space="preserve">a költségvetési rendelet 21. cikke (2) bekezdésének b) pontja értelmében </w:t>
            </w:r>
          </w:p>
        </w:tc>
      </w:tr>
      <w:tr w:rsidR="001E66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noProof/>
                <w:color w:val="0000FF"/>
                <w:sz w:val="22"/>
              </w:rPr>
            </w:pPr>
            <w:r>
              <w:rPr>
                <w:noProof/>
                <w:color w:val="0000FF"/>
                <w:sz w:val="22"/>
              </w:rPr>
              <w:t>1a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0" w:line="276" w:lineRule="auto"/>
              <w:rPr>
                <w:noProof/>
              </w:rPr>
            </w:pPr>
            <w:r>
              <w:rPr>
                <w:noProof/>
              </w:rPr>
              <w:t>02.03.01 Áruk és szolgáltatások belső piaca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noProof/>
                <w:color w:val="0000FF"/>
                <w:sz w:val="22"/>
              </w:rPr>
            </w:pPr>
            <w:r>
              <w:rPr>
                <w:noProof/>
                <w:sz w:val="22"/>
              </w:rPr>
              <w:t>Diff.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IGEN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NEM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NEM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NEM</w:t>
            </w:r>
          </w:p>
        </w:tc>
      </w:tr>
    </w:tbl>
    <w:p w:rsidR="001E667A" w:rsidRDefault="001E667A">
      <w:pPr>
        <w:spacing w:before="0" w:after="0"/>
        <w:jc w:val="left"/>
        <w:rPr>
          <w:noProof/>
        </w:rPr>
        <w:sectPr w:rsidR="001E667A" w:rsidSect="005F0856">
          <w:pgSz w:w="11907" w:h="16840"/>
          <w:pgMar w:top="1134" w:right="1418" w:bottom="1134" w:left="1418" w:header="709" w:footer="709" w:gutter="0"/>
          <w:cols w:space="720"/>
          <w:docGrid w:linePitch="326"/>
        </w:sectPr>
      </w:pPr>
    </w:p>
    <w:p w:rsidR="001E667A" w:rsidRDefault="005F0856">
      <w:pPr>
        <w:pStyle w:val="ManualHeading2"/>
        <w:rPr>
          <w:bCs/>
          <w:noProof/>
          <w:szCs w:val="24"/>
        </w:rPr>
      </w:pPr>
      <w:r>
        <w:rPr>
          <w:noProof/>
        </w:rPr>
        <w:t>3.2.</w:t>
      </w:r>
      <w:r>
        <w:rPr>
          <w:noProof/>
        </w:rPr>
        <w:tab/>
        <w:t xml:space="preserve">A kiadásokra gyakorolt becsült hatás </w:t>
      </w:r>
    </w:p>
    <w:p w:rsidR="001E667A" w:rsidRDefault="005F0856">
      <w:pPr>
        <w:pStyle w:val="ManualHeading3"/>
        <w:rPr>
          <w:noProof/>
          <w:u w:val="single"/>
        </w:rPr>
      </w:pPr>
      <w:r>
        <w:rPr>
          <w:noProof/>
        </w:rPr>
        <w:t>3.2.1.</w:t>
      </w:r>
      <w:r>
        <w:rPr>
          <w:noProof/>
        </w:rPr>
        <w:tab/>
      </w:r>
      <w:r>
        <w:rPr>
          <w:noProof/>
        </w:rPr>
        <w:t xml:space="preserve">A kiadásokra gyakorolt becsült hatás összegzése </w:t>
      </w:r>
    </w:p>
    <w:p w:rsidR="001E667A" w:rsidRDefault="005F0856">
      <w:pPr>
        <w:pStyle w:val="Text2"/>
        <w:ind w:left="0"/>
        <w:rPr>
          <w:noProof/>
        </w:rPr>
      </w:pPr>
      <w:r>
        <w:rPr>
          <w:noProof/>
        </w:rPr>
        <w:t>Az e pénzügyi kimutatásban szereplő kiadások a jelenlegi többéves pénzügyi keretre korlátozódnak, 2020-ig. Tekintettel a jelenlegi többéves pénzügyi keret költségvetési korlátaira, a költségvetési juttatások</w:t>
      </w:r>
      <w:r>
        <w:rPr>
          <w:noProof/>
        </w:rPr>
        <w:t>at legalább részben az éves költségvetési eljárás során történő átcsoportosítással kell biztosítani. Az e javaslatban megfogalmazott intézkedések hosszabb távú pénzügyi hatásaira vonatkozó indikatív becsléseket a hatásvizsgálat tartalmazza.</w:t>
      </w:r>
    </w:p>
    <w:p w:rsidR="001E667A" w:rsidRDefault="005F0856">
      <w:pPr>
        <w:jc w:val="right"/>
        <w:rPr>
          <w:noProof/>
          <w:sz w:val="20"/>
        </w:rPr>
      </w:pPr>
      <w:r>
        <w:rPr>
          <w:noProof/>
          <w:sz w:val="20"/>
        </w:rPr>
        <w:t>millió EUR (hár</w:t>
      </w:r>
      <w:r>
        <w:rPr>
          <w:noProof/>
          <w:sz w:val="20"/>
        </w:rPr>
        <w:t>om tizedesjegyig)</w:t>
      </w:r>
    </w:p>
    <w:tbl>
      <w:tblPr>
        <w:tblW w:w="13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4"/>
        <w:gridCol w:w="1080"/>
        <w:gridCol w:w="7817"/>
      </w:tblGrid>
      <w:tr w:rsidR="001E667A">
        <w:trPr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C0C0C0" w:fill="auto"/>
            <w:vAlign w:val="center"/>
          </w:tcPr>
          <w:p w:rsidR="001E667A" w:rsidRDefault="005F0856">
            <w:pPr>
              <w:spacing w:before="60" w:after="60" w:line="276" w:lineRule="auto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 többéves pénzügyi keret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fejezete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Szám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rPr>
                <w:noProof/>
                <w:sz w:val="22"/>
              </w:rPr>
            </w:pPr>
            <w:r>
              <w:rPr>
                <w:noProof/>
              </w:rPr>
              <w:t>1A Versenyképesség a növekedésért és a foglalkoztatásért</w:t>
            </w:r>
          </w:p>
        </w:tc>
      </w:tr>
    </w:tbl>
    <w:p w:rsidR="001E667A" w:rsidRDefault="001E667A">
      <w:pPr>
        <w:rPr>
          <w:noProof/>
          <w:sz w:val="16"/>
        </w:rPr>
      </w:pPr>
    </w:p>
    <w:tbl>
      <w:tblPr>
        <w:tblW w:w="125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440"/>
        <w:gridCol w:w="120"/>
        <w:gridCol w:w="534"/>
        <w:gridCol w:w="1252"/>
        <w:gridCol w:w="1276"/>
        <w:gridCol w:w="1134"/>
        <w:gridCol w:w="1134"/>
        <w:gridCol w:w="1701"/>
      </w:tblGrid>
      <w:tr w:rsidR="001E667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DG GROW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jc w:val="center"/>
              <w:rPr>
                <w:noProof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2020.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  <w:r>
              <w:rPr>
                <w:rStyle w:val="FootnoteReference"/>
                <w:noProof/>
              </w:rPr>
              <w:footnoteReference w:id="70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év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év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jc w:val="center"/>
              <w:rPr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jc w:val="center"/>
              <w:rPr>
                <w:b/>
                <w:noProof/>
                <w:sz w:val="20"/>
              </w:rPr>
            </w:pPr>
          </w:p>
        </w:tc>
      </w:tr>
      <w:tr w:rsidR="001E667A">
        <w:trPr>
          <w:trHeight w:val="213"/>
        </w:trPr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Operatív előirányzatok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rPr>
                <w:noProof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rPr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rPr>
                <w:b/>
                <w:noProof/>
                <w:sz w:val="20"/>
              </w:rPr>
            </w:pPr>
          </w:p>
        </w:tc>
      </w:tr>
      <w:tr w:rsidR="001E667A">
        <w:trPr>
          <w:trHeight w:val="277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rPr>
                <w:noProof/>
                <w:sz w:val="22"/>
              </w:rPr>
            </w:pPr>
            <w:r>
              <w:rPr>
                <w:noProof/>
              </w:rPr>
              <w:t xml:space="preserve">02.03.01 Áruk és szolgáltatások belső piaca – európai uniós </w:t>
            </w:r>
            <w:r>
              <w:rPr>
                <w:noProof/>
              </w:rPr>
              <w:t>termékmegfelelőségi hálózat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Kötelezettségvállalási előirányzatok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i/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b/>
                <w:noProof/>
                <w:sz w:val="20"/>
              </w:rPr>
            </w:pPr>
          </w:p>
        </w:tc>
      </w:tr>
      <w:tr w:rsidR="001E667A"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Kifizetési előirányzatok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2,910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i/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b/>
                <w:noProof/>
                <w:sz w:val="20"/>
              </w:rPr>
            </w:pPr>
          </w:p>
        </w:tc>
      </w:tr>
      <w:tr w:rsidR="001E667A"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rPr>
                <w:noProof/>
                <w:sz w:val="22"/>
              </w:rPr>
            </w:pPr>
            <w:r>
              <w:rPr>
                <w:noProof/>
              </w:rPr>
              <w:t xml:space="preserve">02.03.01 Áruk és szolgáltatások belső piaca – Egyéb intézkedések, Megfelelési és végrehajtási kezdeményezés (kísérleti stratégiák, </w:t>
            </w:r>
            <w:r>
              <w:rPr>
                <w:noProof/>
              </w:rPr>
              <w:t>referencia-felmérés)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Kötelezettségvállalási előirányzatok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(1a)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i/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b/>
                <w:noProof/>
                <w:sz w:val="20"/>
              </w:rPr>
            </w:pPr>
          </w:p>
        </w:tc>
      </w:tr>
      <w:tr w:rsidR="001E667A"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Kifizetési előirányzatok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(2a)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i/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b/>
                <w:noProof/>
                <w:sz w:val="20"/>
              </w:rPr>
            </w:pPr>
          </w:p>
        </w:tc>
      </w:tr>
      <w:tr w:rsidR="001E667A">
        <w:trPr>
          <w:trHeight w:val="231"/>
        </w:trPr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rPr>
                <w:noProof/>
                <w:sz w:val="22"/>
              </w:rPr>
            </w:pPr>
            <w:r>
              <w:rPr>
                <w:noProof/>
                <w:sz w:val="21"/>
              </w:rPr>
              <w:t>Bizonyos egyedi programok keretéből finanszírozott igazgatási előirányzatok</w:t>
            </w:r>
            <w:r>
              <w:rPr>
                <w:rStyle w:val="FootnoteReference"/>
                <w:noProof/>
                <w:sz w:val="21"/>
              </w:rPr>
              <w:footnoteReference w:id="71"/>
            </w:r>
            <w:r>
              <w:rPr>
                <w:noProof/>
                <w:sz w:val="21"/>
              </w:rPr>
              <w:t xml:space="preserve"> </w:t>
            </w:r>
          </w:p>
          <w:p w:rsidR="001E667A" w:rsidRDefault="001E667A">
            <w:pPr>
              <w:spacing w:before="0" w:after="0" w:line="276" w:lineRule="auto"/>
              <w:rPr>
                <w:noProof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rPr>
                <w:b/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rPr>
                <w:b/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jc w:val="center"/>
              <w:rPr>
                <w:b/>
                <w:i/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jc w:val="center"/>
              <w:rPr>
                <w:b/>
                <w:noProof/>
                <w:sz w:val="20"/>
              </w:rPr>
            </w:pPr>
          </w:p>
        </w:tc>
      </w:tr>
      <w:tr w:rsidR="001E667A">
        <w:trPr>
          <w:trHeight w:val="31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Költségvetési tétel száma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40" w:after="40" w:line="276" w:lineRule="auto"/>
              <w:jc w:val="right"/>
              <w:rPr>
                <w:noProof/>
                <w:sz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40" w:after="40"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40" w:after="4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40" w:after="4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40" w:after="4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40" w:after="40" w:line="276" w:lineRule="auto"/>
              <w:jc w:val="center"/>
              <w:rPr>
                <w:b/>
                <w:i/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40" w:after="40" w:line="276" w:lineRule="auto"/>
              <w:jc w:val="center"/>
              <w:rPr>
                <w:b/>
                <w:noProof/>
                <w:sz w:val="20"/>
              </w:rPr>
            </w:pPr>
          </w:p>
        </w:tc>
      </w:tr>
      <w:tr w:rsidR="001E667A"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 DG GROW-hoz</w:t>
            </w:r>
            <w:r>
              <w:rPr>
                <w:b/>
                <w:noProof/>
              </w:rPr>
              <w:t xml:space="preserve"> tartozó</w:t>
            </w:r>
            <w:r>
              <w:rPr>
                <w:b/>
                <w:noProof/>
                <w:sz w:val="22"/>
              </w:rPr>
              <w:br/>
              <w:t>előirányzatok ÖSSZESEN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Kötelezettségvállalási előirányzatok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=1+1a +3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i/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b/>
                <w:noProof/>
                <w:sz w:val="20"/>
              </w:rPr>
            </w:pPr>
          </w:p>
        </w:tc>
      </w:tr>
      <w:tr w:rsidR="001E667A"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b/>
                <w:noProof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Kifizetési előirányzatok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=2+2a</w:t>
            </w:r>
          </w:p>
          <w:p w:rsidR="001E667A" w:rsidRDefault="005F0856">
            <w:pPr>
              <w:spacing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4,610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i/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b/>
                <w:noProof/>
                <w:sz w:val="20"/>
              </w:rPr>
            </w:pPr>
          </w:p>
        </w:tc>
      </w:tr>
    </w:tbl>
    <w:p w:rsidR="001E667A" w:rsidRDefault="001E667A">
      <w:pPr>
        <w:rPr>
          <w:noProof/>
        </w:rPr>
      </w:pPr>
    </w:p>
    <w:tbl>
      <w:tblPr>
        <w:tblW w:w="125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440"/>
        <w:gridCol w:w="63"/>
        <w:gridCol w:w="591"/>
        <w:gridCol w:w="1252"/>
        <w:gridCol w:w="1276"/>
        <w:gridCol w:w="1134"/>
        <w:gridCol w:w="1134"/>
        <w:gridCol w:w="1701"/>
      </w:tblGrid>
      <w:tr w:rsidR="001E667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ÖSSZESEN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rPr>
                <w:noProof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jc w:val="center"/>
              <w:rPr>
                <w:noProof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2020.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  <w:r>
              <w:rPr>
                <w:rStyle w:val="FootnoteReference"/>
                <w:noProof/>
              </w:rPr>
              <w:footnoteReference w:id="7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év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év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jc w:val="center"/>
              <w:rPr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jc w:val="center"/>
              <w:rPr>
                <w:b/>
                <w:noProof/>
                <w:sz w:val="20"/>
              </w:rPr>
            </w:pPr>
          </w:p>
        </w:tc>
      </w:tr>
      <w:tr w:rsidR="001E667A">
        <w:trPr>
          <w:trHeight w:val="277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rPr>
                <w:noProof/>
                <w:sz w:val="22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Operatív előirányzatok ÖSSZESEN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Lines="20" w:before="48" w:afterLines="20" w:after="48"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Kötelezettségvállalási előirányzatok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Lines="20" w:before="48" w:afterLines="20" w:after="48"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i/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b/>
                <w:noProof/>
                <w:sz w:val="20"/>
              </w:rPr>
            </w:pPr>
          </w:p>
        </w:tc>
      </w:tr>
      <w:tr w:rsidR="001E667A"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noProof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Lines="20" w:before="48" w:afterLines="20" w:after="48"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Kifizetési előirányzatok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Lines="20" w:before="48" w:afterLines="20" w:after="48"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5.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4,610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i/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b/>
                <w:noProof/>
                <w:sz w:val="20"/>
              </w:rPr>
            </w:pPr>
          </w:p>
        </w:tc>
      </w:tr>
      <w:tr w:rsidR="001E667A">
        <w:trPr>
          <w:trHeight w:val="533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Lines="20" w:before="48" w:afterLines="20" w:after="48" w:line="276" w:lineRule="auto"/>
              <w:rPr>
                <w:noProof/>
                <w:sz w:val="22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Bizonyos egyedi programok keretéből finanszírozott igazgatási előirányzatok ÖSSZESEN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Lines="20" w:before="48" w:afterLines="20" w:after="48"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6.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b/>
                <w:i/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b/>
                <w:noProof/>
                <w:sz w:val="20"/>
              </w:rPr>
            </w:pPr>
          </w:p>
        </w:tc>
      </w:tr>
      <w:tr w:rsidR="001E667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C0C0C0" w:fill="auto"/>
            <w:vAlign w:val="center"/>
          </w:tcPr>
          <w:p w:rsidR="001E667A" w:rsidRDefault="005F0856">
            <w:pPr>
              <w:spacing w:line="276" w:lineRule="auto"/>
              <w:jc w:val="center"/>
              <w:rPr>
                <w:b/>
                <w:noProof/>
                <w:sz w:val="22"/>
              </w:rPr>
            </w:pPr>
            <w:r>
              <w:rPr>
                <w:noProof/>
              </w:rPr>
              <w:t>A többéves pénzügyi keret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1A. FEJEZETÉHEZ tartozó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előirányzatok ÖSSZESEN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Kötelezettségvállalási előirányzatok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i/>
                <w:noProof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b/>
                <w:noProof/>
                <w:sz w:val="20"/>
              </w:rPr>
            </w:pPr>
          </w:p>
        </w:tc>
      </w:tr>
    </w:tbl>
    <w:p w:rsidR="001E667A" w:rsidRDefault="001E667A">
      <w:pPr>
        <w:rPr>
          <w:rFonts w:eastAsia="Times New Roman"/>
          <w:noProof/>
        </w:rPr>
      </w:pPr>
    </w:p>
    <w:tbl>
      <w:tblPr>
        <w:tblW w:w="13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4"/>
        <w:gridCol w:w="1080"/>
        <w:gridCol w:w="7817"/>
      </w:tblGrid>
      <w:tr w:rsidR="001E667A">
        <w:trPr>
          <w:jc w:val="center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C0C0C0" w:fill="auto"/>
            <w:vAlign w:val="center"/>
          </w:tcPr>
          <w:p w:rsidR="001E667A" w:rsidRDefault="005F0856">
            <w:pPr>
              <w:spacing w:before="60" w:after="60" w:line="276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noProof/>
              </w:rPr>
              <w:br w:type="page"/>
            </w:r>
            <w:r>
              <w:rPr>
                <w:b/>
                <w:noProof/>
                <w:sz w:val="22"/>
              </w:rPr>
              <w:t>A többéves pénzügyi keret</w:t>
            </w:r>
            <w:r>
              <w:rPr>
                <w:noProof/>
                <w:sz w:val="22"/>
              </w:rPr>
              <w:t xml:space="preserve"> fejezete</w:t>
            </w:r>
            <w:r>
              <w:rPr>
                <w:rFonts w:eastAsia="Times New Roman"/>
                <w:noProof/>
                <w:sz w:val="22"/>
              </w:rPr>
              <w:br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C0C0C0" w:fill="auto"/>
            <w:vAlign w:val="center"/>
          </w:tcPr>
          <w:p w:rsidR="001E667A" w:rsidRDefault="005F0856">
            <w:pPr>
              <w:spacing w:before="60" w:after="60" w:line="276" w:lineRule="auto"/>
              <w:jc w:val="center"/>
              <w:rPr>
                <w:rFonts w:eastAsia="Times New Roman"/>
                <w:noProof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rPr>
                <w:rFonts w:eastAsia="Times New Roman"/>
                <w:noProof/>
              </w:rPr>
            </w:pPr>
            <w:r>
              <w:rPr>
                <w:noProof/>
                <w:sz w:val="22"/>
              </w:rPr>
              <w:t>„Igazgatási kiadások”</w:t>
            </w:r>
          </w:p>
        </w:tc>
      </w:tr>
    </w:tbl>
    <w:p w:rsidR="001E667A" w:rsidRDefault="005F0856">
      <w:pPr>
        <w:jc w:val="right"/>
        <w:rPr>
          <w:rFonts w:eastAsia="Times New Roman"/>
          <w:noProof/>
          <w:sz w:val="20"/>
        </w:rPr>
      </w:pPr>
      <w:r>
        <w:rPr>
          <w:noProof/>
          <w:sz w:val="20"/>
        </w:rPr>
        <w:t>millió EUR (három tizedesjegyig)</w:t>
      </w:r>
    </w:p>
    <w:tbl>
      <w:tblPr>
        <w:tblW w:w="126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560"/>
        <w:gridCol w:w="534"/>
        <w:gridCol w:w="1110"/>
        <w:gridCol w:w="993"/>
        <w:gridCol w:w="1134"/>
        <w:gridCol w:w="1275"/>
        <w:gridCol w:w="2127"/>
      </w:tblGrid>
      <w:tr w:rsidR="001E667A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67A" w:rsidRDefault="001E667A">
            <w:pPr>
              <w:spacing w:line="276" w:lineRule="auto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</w:rPr>
              <w:t>2020.</w:t>
            </w:r>
            <w:r>
              <w:rPr>
                <w:noProof/>
                <w:sz w:val="20"/>
              </w:rPr>
              <w:t>év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év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év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</w:rPr>
            </w:pPr>
          </w:p>
        </w:tc>
      </w:tr>
      <w:tr w:rsidR="001E667A">
        <w:trPr>
          <w:gridAfter w:val="7"/>
          <w:wAfter w:w="8733" w:type="dxa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jc w:val="center"/>
              <w:rPr>
                <w:rFonts w:eastAsia="Times New Roman"/>
                <w:noProof/>
              </w:rPr>
            </w:pPr>
            <w:r>
              <w:rPr>
                <w:noProof/>
                <w:sz w:val="22"/>
              </w:rPr>
              <w:t>DG: GROW</w:t>
            </w:r>
          </w:p>
        </w:tc>
      </w:tr>
      <w:tr w:rsidR="001E667A">
        <w:trPr>
          <w:trHeight w:val="313"/>
        </w:trPr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rPr>
                <w:rFonts w:eastAsia="Times New Roman"/>
                <w:i/>
                <w:noProof/>
              </w:rPr>
            </w:pPr>
            <w:r>
              <w:rPr>
                <w:i/>
                <w:noProof/>
                <w:sz w:val="22"/>
              </w:rPr>
              <w:t xml:space="preserve">Humánerőforrás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0,787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rFonts w:eastAsia="Times New Roman"/>
                <w:i/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rFonts w:eastAsia="Times New Roman"/>
                <w:i/>
                <w:noProof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rFonts w:eastAsia="Times New Roman"/>
                <w:i/>
                <w:noProof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rFonts w:eastAsia="Times New Roman"/>
                <w:b/>
                <w:noProof/>
                <w:sz w:val="20"/>
              </w:rPr>
            </w:pPr>
          </w:p>
        </w:tc>
      </w:tr>
      <w:tr w:rsidR="001E667A">
        <w:trPr>
          <w:trHeight w:val="351"/>
        </w:trPr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rPr>
                <w:rFonts w:eastAsia="Times New Roman"/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Európai uniós termékmegfelelőségi hálózat titkársága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3,246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rFonts w:eastAsia="Times New Roman"/>
                <w:i/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rFonts w:eastAsia="Times New Roman"/>
                <w:i/>
                <w:noProof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rFonts w:eastAsia="Times New Roman"/>
                <w:i/>
                <w:noProof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rFonts w:eastAsia="Times New Roman"/>
                <w:b/>
                <w:noProof/>
                <w:sz w:val="20"/>
              </w:rPr>
            </w:pPr>
          </w:p>
        </w:tc>
      </w:tr>
      <w:tr w:rsidR="001E667A">
        <w:trPr>
          <w:trHeight w:val="351"/>
        </w:trPr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rPr>
                <w:rFonts w:eastAsia="Times New Roman"/>
                <w:noProof/>
                <w:sz w:val="22"/>
              </w:rPr>
            </w:pPr>
            <w:r>
              <w:rPr>
                <w:rFonts w:eastAsia="Times New Roman"/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>Humánerőforrások (összesen)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4,033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rFonts w:eastAsia="Times New Roman"/>
                <w:i/>
                <w:noProof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rFonts w:eastAsia="Times New Roman"/>
                <w:b/>
                <w:noProof/>
                <w:sz w:val="20"/>
              </w:rPr>
            </w:pPr>
          </w:p>
        </w:tc>
      </w:tr>
      <w:tr w:rsidR="001E667A">
        <w:trPr>
          <w:trHeight w:val="351"/>
        </w:trPr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Egyéb igazgatási kiadások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0,093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rFonts w:eastAsia="Times New Roman"/>
                <w:i/>
                <w:noProof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rFonts w:eastAsia="Times New Roman"/>
                <w:b/>
                <w:noProof/>
                <w:sz w:val="20"/>
              </w:rPr>
            </w:pPr>
          </w:p>
        </w:tc>
      </w:tr>
      <w:tr w:rsidR="001E667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b/>
                <w:noProof/>
                <w:sz w:val="22"/>
              </w:rPr>
              <w:t>DG GROW ÖSSZESEN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rPr>
                <w:rFonts w:eastAsia="Times New Roman"/>
                <w:noProof/>
                <w:sz w:val="14"/>
              </w:rPr>
            </w:pPr>
            <w:r>
              <w:rPr>
                <w:noProof/>
                <w:sz w:val="20"/>
              </w:rPr>
              <w:t>4,126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6,752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rFonts w:eastAsia="Times New Roman"/>
                <w:i/>
                <w:noProof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rFonts w:eastAsia="Times New Roman"/>
                <w:b/>
                <w:noProof/>
                <w:sz w:val="20"/>
              </w:rPr>
            </w:pPr>
          </w:p>
        </w:tc>
      </w:tr>
    </w:tbl>
    <w:p w:rsidR="001E667A" w:rsidRDefault="001E667A">
      <w:pPr>
        <w:rPr>
          <w:rFonts w:eastAsia="Times New Roman"/>
          <w:b/>
          <w:noProof/>
        </w:rPr>
      </w:pPr>
    </w:p>
    <w:tbl>
      <w:tblPr>
        <w:tblW w:w="126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2093"/>
        <w:gridCol w:w="1110"/>
        <w:gridCol w:w="993"/>
        <w:gridCol w:w="1133"/>
        <w:gridCol w:w="1276"/>
        <w:gridCol w:w="2126"/>
      </w:tblGrid>
      <w:tr w:rsidR="001E667A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C0C0C0" w:fill="auto"/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noProof/>
              </w:rPr>
              <w:t>A többéves pénzügyi keret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5. FEJEZETÉHEZ tartozó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előirányzatok ÖSSZESEN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40" w:after="40" w:line="276" w:lineRule="auto"/>
              <w:rPr>
                <w:rFonts w:eastAsia="Times New Roman"/>
                <w:noProof/>
              </w:rPr>
            </w:pPr>
            <w:r>
              <w:rPr>
                <w:noProof/>
                <w:sz w:val="18"/>
              </w:rPr>
              <w:t xml:space="preserve">(Összes kötelezettségvállalási előirányzat = Összes kifizetési </w:t>
            </w:r>
            <w:r>
              <w:rPr>
                <w:noProof/>
                <w:sz w:val="18"/>
              </w:rPr>
              <w:t>előirányzat)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4,126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rFonts w:eastAsia="Times New Roman"/>
                <w:i/>
                <w:noProof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rFonts w:eastAsia="Times New Roman"/>
                <w:b/>
                <w:noProof/>
                <w:sz w:val="20"/>
              </w:rPr>
            </w:pPr>
          </w:p>
        </w:tc>
      </w:tr>
    </w:tbl>
    <w:p w:rsidR="001E667A" w:rsidRDefault="005F0856">
      <w:pPr>
        <w:jc w:val="right"/>
        <w:rPr>
          <w:rFonts w:eastAsia="Times New Roman"/>
          <w:noProof/>
          <w:sz w:val="20"/>
        </w:rPr>
      </w:pPr>
      <w:r>
        <w:rPr>
          <w:noProof/>
          <w:sz w:val="20"/>
        </w:rPr>
        <w:t>millió EUR (három tizedesjegyig)</w:t>
      </w:r>
    </w:p>
    <w:tbl>
      <w:tblPr>
        <w:tblW w:w="126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560"/>
        <w:gridCol w:w="534"/>
        <w:gridCol w:w="1110"/>
        <w:gridCol w:w="993"/>
        <w:gridCol w:w="1134"/>
        <w:gridCol w:w="1275"/>
        <w:gridCol w:w="2127"/>
      </w:tblGrid>
      <w:tr w:rsidR="001E667A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67A" w:rsidRDefault="001E667A">
            <w:pPr>
              <w:spacing w:line="276" w:lineRule="auto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2020.</w:t>
            </w:r>
            <w:r>
              <w:rPr>
                <w:noProof/>
                <w:sz w:val="20"/>
              </w:rPr>
              <w:t xml:space="preserve"> év</w:t>
            </w:r>
            <w:r>
              <w:rPr>
                <w:rStyle w:val="FootnoteReference"/>
                <w:noProof/>
              </w:rPr>
              <w:footnoteReference w:id="73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év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év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</w:rPr>
            </w:pPr>
          </w:p>
        </w:tc>
      </w:tr>
      <w:tr w:rsidR="001E667A"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noProof/>
              </w:rPr>
              <w:t>A többéves pénzügyi keret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1–5. FEJEZETÉHEZ tartozó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előirányzatok ÖSSZESEN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rPr>
                <w:rFonts w:eastAsia="Times New Roman"/>
                <w:noProof/>
                <w:sz w:val="14"/>
              </w:rPr>
            </w:pPr>
            <w:r>
              <w:rPr>
                <w:noProof/>
                <w:sz w:val="18"/>
              </w:rPr>
              <w:t>Kötelezettségvállalási előirányzatok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12,576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right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right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center"/>
              <w:rPr>
                <w:rFonts w:eastAsia="Times New Roman"/>
                <w:i/>
                <w:noProof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center"/>
              <w:rPr>
                <w:rFonts w:eastAsia="Times New Roman"/>
                <w:b/>
                <w:noProof/>
                <w:sz w:val="20"/>
              </w:rPr>
            </w:pPr>
          </w:p>
        </w:tc>
      </w:tr>
      <w:tr w:rsidR="001E667A"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rFonts w:eastAsia="Times New Roman"/>
                <w:b/>
                <w:noProof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rPr>
                <w:rFonts w:eastAsia="Times New Roman"/>
                <w:noProof/>
                <w:sz w:val="14"/>
              </w:rPr>
            </w:pPr>
            <w:r>
              <w:rPr>
                <w:noProof/>
                <w:sz w:val="18"/>
              </w:rPr>
              <w:t>Kifizetési előirányzatok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8,736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right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right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center"/>
              <w:rPr>
                <w:rFonts w:eastAsia="Times New Roman"/>
                <w:i/>
                <w:noProof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center"/>
              <w:rPr>
                <w:rFonts w:eastAsia="Times New Roman"/>
                <w:b/>
                <w:noProof/>
                <w:sz w:val="20"/>
              </w:rPr>
            </w:pPr>
          </w:p>
        </w:tc>
      </w:tr>
    </w:tbl>
    <w:p w:rsidR="001E667A" w:rsidRDefault="001E667A">
      <w:pPr>
        <w:spacing w:before="0" w:after="0"/>
        <w:jc w:val="left"/>
        <w:rPr>
          <w:rFonts w:eastAsia="Times New Roman"/>
          <w:noProof/>
        </w:rPr>
        <w:sectPr w:rsidR="001E667A" w:rsidSect="005F0856">
          <w:headerReference w:type="default" r:id="rId21"/>
          <w:footerReference w:type="default" r:id="rId22"/>
          <w:headerReference w:type="first" r:id="rId23"/>
          <w:footerReference w:type="first" r:id="rId24"/>
          <w:pgSz w:w="16840" w:h="11907" w:orient="landscape"/>
          <w:pgMar w:top="1134" w:right="1418" w:bottom="1134" w:left="1418" w:header="709" w:footer="709" w:gutter="0"/>
          <w:cols w:space="720"/>
          <w:docGrid w:linePitch="326"/>
        </w:sectPr>
      </w:pPr>
    </w:p>
    <w:p w:rsidR="001E667A" w:rsidRDefault="005F0856">
      <w:pPr>
        <w:pStyle w:val="ManualHeading3"/>
        <w:rPr>
          <w:bCs/>
          <w:noProof/>
          <w:szCs w:val="24"/>
        </w:rPr>
      </w:pPr>
      <w:r>
        <w:rPr>
          <w:noProof/>
        </w:rPr>
        <w:t>3.2.2.</w:t>
      </w:r>
      <w:r>
        <w:rPr>
          <w:noProof/>
        </w:rPr>
        <w:tab/>
        <w:t xml:space="preserve">Az operatív előirányzatokra gyakorolt becsült hatás 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A javaslat/kezdeményezés nem vonja maga után operatív előirányzatok felhasználását. 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 xml:space="preserve">A javaslat/kezdeményezés az alábbi operatív </w:t>
      </w:r>
      <w:r>
        <w:rPr>
          <w:noProof/>
        </w:rPr>
        <w:t>előirányzatok felhasználását vonja maga után:</w:t>
      </w:r>
    </w:p>
    <w:p w:rsidR="001E667A" w:rsidRDefault="005F0856">
      <w:pPr>
        <w:jc w:val="right"/>
        <w:rPr>
          <w:rFonts w:eastAsia="Times New Roman"/>
          <w:noProof/>
          <w:sz w:val="20"/>
        </w:rPr>
      </w:pPr>
      <w:r>
        <w:rPr>
          <w:noProof/>
          <w:sz w:val="20"/>
        </w:rPr>
        <w:t>Kötelezettségvállalási előirányzatok, millió EUR (három tizedesjegyig)</w:t>
      </w:r>
    </w:p>
    <w:tbl>
      <w:tblPr>
        <w:tblW w:w="13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719"/>
        <w:gridCol w:w="700"/>
        <w:gridCol w:w="504"/>
        <w:gridCol w:w="720"/>
        <w:gridCol w:w="540"/>
        <w:gridCol w:w="720"/>
        <w:gridCol w:w="720"/>
        <w:gridCol w:w="720"/>
        <w:gridCol w:w="831"/>
        <w:gridCol w:w="789"/>
        <w:gridCol w:w="628"/>
        <w:gridCol w:w="1134"/>
        <w:gridCol w:w="1843"/>
        <w:gridCol w:w="1615"/>
      </w:tblGrid>
      <w:tr w:rsidR="001E667A">
        <w:trPr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Tüntesse fel a célkitűzéseket és a teljesítéseket </w:t>
            </w:r>
          </w:p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</w:p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</w:rPr>
              <w:sym w:font="Wingdings" w:char="F0F2"/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ind w:right="-29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2020.</w:t>
            </w:r>
            <w:r>
              <w:rPr>
                <w:noProof/>
                <w:sz w:val="20"/>
                <w:szCs w:val="20"/>
              </w:rPr>
              <w:t xml:space="preserve">év </w:t>
            </w:r>
            <w:r>
              <w:rPr>
                <w:rFonts w:eastAsia="Times New Roman"/>
                <w:noProof/>
                <w:sz w:val="20"/>
                <w:szCs w:val="20"/>
              </w:rPr>
              <w:br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év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év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–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ind w:right="-28"/>
              <w:jc w:val="center"/>
              <w:rPr>
                <w:rFonts w:eastAsia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ind w:right="-28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</w:tr>
      <w:tr w:rsidR="001E667A">
        <w:trPr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2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TELJESÍTÉSEK</w:t>
            </w:r>
          </w:p>
        </w:tc>
      </w:tr>
      <w:tr w:rsidR="001E667A">
        <w:trPr>
          <w:cantSplit/>
          <w:trHeight w:val="1134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Típus</w:t>
            </w:r>
            <w:r>
              <w:rPr>
                <w:rStyle w:val="FootnoteReference"/>
                <w:noProof/>
              </w:rPr>
              <w:footnoteReference w:id="74"/>
            </w:r>
          </w:p>
          <w:p w:rsidR="001E667A" w:rsidRDefault="001E667A">
            <w:pPr>
              <w:spacing w:before="0" w:after="0" w:line="276" w:lineRule="auto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Átlagos költség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 w:rsidR="001E667A" w:rsidRDefault="005F0856">
            <w:pPr>
              <w:spacing w:line="276" w:lineRule="auto"/>
              <w:ind w:left="113" w:right="113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Teljesítések </w:t>
            </w:r>
            <w:r>
              <w:rPr>
                <w:noProof/>
                <w:sz w:val="18"/>
              </w:rPr>
              <w:t>száma</w:t>
            </w: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Költség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 w:rsidR="001E667A" w:rsidRDefault="005F0856">
            <w:pPr>
              <w:spacing w:line="276" w:lineRule="auto"/>
              <w:ind w:left="113" w:right="113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Teljesítések száma</w:t>
            </w: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Költség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 w:rsidR="001E667A" w:rsidRDefault="005F0856">
            <w:pPr>
              <w:spacing w:line="276" w:lineRule="auto"/>
              <w:ind w:left="113" w:right="113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Teljesítések száma</w:t>
            </w: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Költség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 w:rsidR="001E667A" w:rsidRDefault="001E667A">
            <w:pPr>
              <w:spacing w:line="276" w:lineRule="auto"/>
              <w:ind w:left="113" w:right="113"/>
              <w:jc w:val="center"/>
              <w:rPr>
                <w:rFonts w:eastAsia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E667A" w:rsidRDefault="001E667A">
            <w:pPr>
              <w:spacing w:before="0" w:after="0" w:line="276" w:lineRule="auto"/>
              <w:ind w:left="113" w:right="113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 w:rsidR="001E667A" w:rsidRDefault="001E667A">
            <w:pPr>
              <w:spacing w:line="276" w:lineRule="auto"/>
              <w:ind w:left="113" w:right="113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</w:tr>
      <w:tr w:rsidR="001E667A">
        <w:trPr>
          <w:jc w:val="center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1. KONKRÉT CÉLKITŰZÉS</w:t>
            </w:r>
            <w:r>
              <w:rPr>
                <w:rStyle w:val="FootnoteReference"/>
                <w:noProof/>
              </w:rPr>
              <w:footnoteReference w:id="75"/>
            </w:r>
          </w:p>
        </w:tc>
        <w:tc>
          <w:tcPr>
            <w:tcW w:w="107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667A" w:rsidRDefault="005F0856">
            <w:pPr>
              <w:spacing w:before="60" w:after="60" w:line="276" w:lineRule="auto"/>
              <w:ind w:right="-29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</w:rPr>
              <w:tab/>
            </w:r>
            <w:r>
              <w:rPr>
                <w:noProof/>
                <w:sz w:val="18"/>
              </w:rPr>
              <w:t>A jogérvényesítő hatóságok között a piacfelügyeleti ter</w:t>
            </w:r>
            <w:r>
              <w:rPr>
                <w:noProof/>
                <w:sz w:val="18"/>
              </w:rPr>
              <w:t>én létrejövő együttműködésekre vonatkozó eljárások megerősítése, a széttagoltság és hatékonyságbeli hiányosságok csökkentése</w:t>
            </w:r>
          </w:p>
        </w:tc>
      </w:tr>
      <w:tr w:rsidR="001E667A">
        <w:trPr>
          <w:jc w:val="center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</w:tr>
      <w:tr w:rsidR="001E667A">
        <w:trPr>
          <w:jc w:val="center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2. KONKRÉT CÉLKITŰZÉS</w:t>
            </w:r>
            <w:r>
              <w:rPr>
                <w:rStyle w:val="FootnoteReference"/>
                <w:noProof/>
              </w:rPr>
              <w:footnoteReference w:id="76"/>
            </w:r>
          </w:p>
        </w:tc>
        <w:tc>
          <w:tcPr>
            <w:tcW w:w="107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667A" w:rsidRDefault="005F0856">
            <w:pPr>
              <w:spacing w:before="60" w:after="60"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</w:rPr>
              <w:tab/>
            </w:r>
            <w:r>
              <w:rPr>
                <w:noProof/>
                <w:sz w:val="18"/>
              </w:rPr>
              <w:t xml:space="preserve">A működési kapacitások bővítése, a határon átnyúló ellenőrzésekre és végrehajtás </w:t>
            </w:r>
            <w:r>
              <w:rPr>
                <w:noProof/>
                <w:sz w:val="18"/>
              </w:rPr>
              <w:t>összehangolására rendelkezésre álló források bővítése és hatékonyságuk növelése</w:t>
            </w:r>
          </w:p>
        </w:tc>
      </w:tr>
      <w:tr w:rsidR="001E667A">
        <w:trPr>
          <w:trHeight w:hRule="exact" w:val="1196"/>
          <w:jc w:val="center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Kísérleti nemzeti végrehajtási stratégiák</w:t>
            </w:r>
          </w:p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i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</w:rPr>
              <w:t>(a társfinanszírozott kísérleti stratégiák száma/év)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3,000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</w:tr>
      <w:tr w:rsidR="001E667A">
        <w:trPr>
          <w:trHeight w:hRule="exact" w:val="964"/>
          <w:jc w:val="center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Szakértői vizsgálat/teljesítményindikátorok </w:t>
            </w:r>
            <w:r>
              <w:rPr>
                <w:i/>
                <w:noProof/>
                <w:sz w:val="18"/>
              </w:rPr>
              <w:t>(alapfelmérés)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1,000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</w:tr>
      <w:tr w:rsidR="001E667A">
        <w:trPr>
          <w:trHeight w:hRule="exact" w:val="1144"/>
          <w:jc w:val="center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Európai uniós termékmegfelelőségi hálózat </w:t>
            </w:r>
            <w:r>
              <w:rPr>
                <w:rFonts w:eastAsia="Times New Roman"/>
                <w:noProof/>
                <w:sz w:val="18"/>
                <w:szCs w:val="18"/>
              </w:rPr>
              <w:br/>
            </w:r>
            <w:r>
              <w:rPr>
                <w:i/>
                <w:noProof/>
                <w:sz w:val="18"/>
              </w:rPr>
              <w:t>(legfontosabb mutató: a közös ellenőrzési kampányok száma)*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4,450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</w:tr>
      <w:tr w:rsidR="001E667A">
        <w:trPr>
          <w:jc w:val="center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3. KONKRÉT CÉLKITŰZÉS</w:t>
            </w:r>
            <w:r>
              <w:rPr>
                <w:rStyle w:val="FootnoteReference"/>
                <w:noProof/>
              </w:rPr>
              <w:footnoteReference w:id="77"/>
            </w:r>
          </w:p>
        </w:tc>
        <w:tc>
          <w:tcPr>
            <w:tcW w:w="107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667A" w:rsidRDefault="005F0856">
            <w:pPr>
              <w:spacing w:before="60" w:after="60" w:line="276" w:lineRule="auto"/>
              <w:ind w:right="-29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8"/>
              </w:rPr>
              <w:t>A végrehajtást szolgálót eszköztár megerősítése, nagyobb visszatartó</w:t>
            </w:r>
            <w:r>
              <w:rPr>
                <w:noProof/>
                <w:sz w:val="18"/>
              </w:rPr>
              <w:t xml:space="preserve"> hatású, eredményesebb és jövőállóbb eszközök használatának lehetővé tétele a piacfelügyeleti hatóságok számára</w:t>
            </w:r>
          </w:p>
        </w:tc>
      </w:tr>
      <w:tr w:rsidR="001E667A">
        <w:trPr>
          <w:jc w:val="center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</w:tr>
      <w:tr w:rsidR="001E667A">
        <w:trPr>
          <w:jc w:val="center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4. KONKRÉT CÉLKITŰZÉS</w:t>
            </w:r>
            <w:r>
              <w:rPr>
                <w:rStyle w:val="FootnoteReference"/>
                <w:noProof/>
              </w:rPr>
              <w:footnoteReference w:id="78"/>
            </w:r>
          </w:p>
        </w:tc>
        <w:tc>
          <w:tcPr>
            <w:tcW w:w="107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667A" w:rsidRDefault="005F0856">
            <w:pPr>
              <w:spacing w:before="60" w:after="60" w:line="276" w:lineRule="auto"/>
              <w:ind w:right="-29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</w:rPr>
              <w:tab/>
            </w:r>
            <w:r>
              <w:rPr>
                <w:noProof/>
                <w:sz w:val="18"/>
              </w:rPr>
              <w:t xml:space="preserve">A nem élelmiszer jellegű termékekre vonatkozó uniós jogszabályoknak való megfelelés erősítése, a </w:t>
            </w:r>
            <w:r>
              <w:rPr>
                <w:noProof/>
                <w:sz w:val="18"/>
              </w:rPr>
              <w:t>megfeleléssel kapcsolatos információk hozzáférhetőségének javítása és segítségnyújtás a vállalkozásoknak</w:t>
            </w:r>
          </w:p>
        </w:tc>
      </w:tr>
      <w:tr w:rsidR="001E667A">
        <w:trPr>
          <w:trHeight w:hRule="exact" w:val="971"/>
          <w:jc w:val="center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i/>
                <w:noProof/>
                <w:sz w:val="16"/>
                <w:szCs w:val="16"/>
              </w:rPr>
            </w:pPr>
            <w:r>
              <w:rPr>
                <w:noProof/>
                <w:sz w:val="18"/>
              </w:rPr>
              <w:t xml:space="preserve">Európai portál az önkéntes intézkedésekről </w:t>
            </w:r>
            <w:r>
              <w:rPr>
                <w:i/>
                <w:noProof/>
                <w:sz w:val="18"/>
              </w:rPr>
              <w:t>(bejelentések száma)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</w:tr>
      <w:tr w:rsidR="001E667A">
        <w:trPr>
          <w:jc w:val="center"/>
        </w:trPr>
        <w:tc>
          <w:tcPr>
            <w:tcW w:w="28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ÖSSZKÖLTSÉG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before="180" w:after="180" w:line="276" w:lineRule="auto"/>
              <w:ind w:right="-29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5F0856">
            <w:pPr>
              <w:spacing w:before="180" w:after="180" w:line="276" w:lineRule="auto"/>
              <w:ind w:right="-29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8,450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before="180" w:after="180" w:line="276" w:lineRule="auto"/>
              <w:ind w:right="-29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before="180" w:after="180" w:line="276" w:lineRule="auto"/>
              <w:ind w:right="-29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before="180" w:after="180" w:line="276" w:lineRule="auto"/>
              <w:ind w:right="-29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before="180" w:after="180" w:line="276" w:lineRule="auto"/>
              <w:ind w:right="-29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before="180" w:after="180" w:line="276" w:lineRule="auto"/>
              <w:ind w:right="-29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before="180" w:after="180" w:line="276" w:lineRule="auto"/>
              <w:ind w:right="-29"/>
              <w:jc w:val="center"/>
              <w:rPr>
                <w:rFonts w:eastAsia="Times New Roman"/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before="180" w:after="180" w:line="276" w:lineRule="auto"/>
              <w:ind w:right="-29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before="180" w:after="180" w:line="276" w:lineRule="auto"/>
              <w:ind w:right="-29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before="180" w:after="180" w:line="276" w:lineRule="auto"/>
              <w:ind w:right="-29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667A" w:rsidRDefault="001E667A">
            <w:pPr>
              <w:spacing w:before="180" w:after="180"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</w:tr>
    </w:tbl>
    <w:p w:rsidR="001E667A" w:rsidRDefault="001E667A">
      <w:pPr>
        <w:rPr>
          <w:noProof/>
        </w:rPr>
      </w:pPr>
    </w:p>
    <w:p w:rsidR="001E667A" w:rsidRDefault="001E667A">
      <w:pPr>
        <w:spacing w:before="0" w:after="0"/>
        <w:jc w:val="left"/>
        <w:rPr>
          <w:noProof/>
        </w:rPr>
        <w:sectPr w:rsidR="001E667A" w:rsidSect="005F0856">
          <w:pgSz w:w="16840" w:h="11907" w:orient="landscape"/>
          <w:pgMar w:top="1134" w:right="1418" w:bottom="567" w:left="1418" w:header="709" w:footer="709" w:gutter="0"/>
          <w:cols w:space="720"/>
          <w:docGrid w:linePitch="326"/>
        </w:sectPr>
      </w:pPr>
    </w:p>
    <w:p w:rsidR="001E667A" w:rsidRDefault="005F0856">
      <w:pPr>
        <w:pStyle w:val="ManualHeading3"/>
        <w:rPr>
          <w:bCs/>
          <w:noProof/>
          <w:szCs w:val="24"/>
        </w:rPr>
      </w:pPr>
      <w:r>
        <w:rPr>
          <w:noProof/>
        </w:rPr>
        <w:t>3.2.3.</w:t>
      </w:r>
      <w:r>
        <w:rPr>
          <w:noProof/>
        </w:rPr>
        <w:tab/>
        <w:t>Az igazgatási előirányzatokra gyakorolt becsült hatás</w:t>
      </w:r>
    </w:p>
    <w:p w:rsidR="001E667A" w:rsidRDefault="005F0856">
      <w:pPr>
        <w:pStyle w:val="ManualHeading4"/>
        <w:rPr>
          <w:noProof/>
        </w:rPr>
      </w:pPr>
      <w:r>
        <w:rPr>
          <w:noProof/>
        </w:rPr>
        <w:t>3.2.3.1.</w:t>
      </w:r>
      <w:r>
        <w:rPr>
          <w:noProof/>
        </w:rPr>
        <w:tab/>
        <w:t xml:space="preserve">Összegzés </w:t>
      </w:r>
    </w:p>
    <w:p w:rsidR="001E667A" w:rsidRDefault="005F0856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</w:r>
      <w:r>
        <w:rPr>
          <w:noProof/>
        </w:rPr>
        <w:t xml:space="preserve">A javaslat/kezdeményezés nem vonja maga után igazgatási előirányzatok felhasználását. </w:t>
      </w:r>
    </w:p>
    <w:p w:rsidR="001E667A" w:rsidRDefault="005F0856"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>A javaslat/kezdeményezés az alábbi igazgatási előirányzatok felhasználását vonja maga után:</w:t>
      </w:r>
    </w:p>
    <w:p w:rsidR="001E667A" w:rsidRDefault="005F0856">
      <w:pPr>
        <w:rPr>
          <w:noProof/>
          <w:sz w:val="20"/>
        </w:rPr>
      </w:pPr>
      <w:r>
        <w:rPr>
          <w:noProof/>
          <w:sz w:val="20"/>
        </w:rPr>
        <w:t>millió EUR (három tizedesjegyig)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1080"/>
        <w:gridCol w:w="1080"/>
        <w:gridCol w:w="1080"/>
        <w:gridCol w:w="3240"/>
        <w:gridCol w:w="1080"/>
      </w:tblGrid>
      <w:tr w:rsidR="001E667A">
        <w:trPr>
          <w:trHeight w:val="585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67A" w:rsidRDefault="001E667A"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5F0856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2020.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6"/>
              </w:rPr>
              <w:t>év</w:t>
            </w:r>
            <w:r>
              <w:rPr>
                <w:rStyle w:val="FootnoteReference"/>
                <w:noProof/>
              </w:rPr>
              <w:footnoteReference w:id="79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5F0856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év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–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5F0856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év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–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5F0856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év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–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5F0856"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 táblázat a</w:t>
            </w:r>
            <w:r>
              <w:rPr>
                <w:noProof/>
                <w:sz w:val="16"/>
              </w:rPr>
              <w:t xml:space="preserve"> hatás időtartamának megfelelően (vö. 1.6. pont) további évekkel bővíthető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5F0856"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ÖSSZESEN</w:t>
            </w:r>
          </w:p>
        </w:tc>
      </w:tr>
    </w:tbl>
    <w:p w:rsidR="001E667A" w:rsidRDefault="001E667A"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E667A">
        <w:trPr>
          <w:trHeight w:val="84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E667A" w:rsidRDefault="005F0856"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A többéves pénzügyi keret </w:t>
            </w:r>
            <w:r>
              <w:rPr>
                <w:b/>
                <w:noProof/>
                <w:sz w:val="16"/>
              </w:rPr>
              <w:br/>
              <w:t>5. FEJEZETE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 w:rsidR="001E667A">
        <w:trPr>
          <w:trHeight w:val="585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5F0856"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Humánerőforrás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5F0856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4,033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 w:rsidR="001E667A">
        <w:trPr>
          <w:trHeight w:val="585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5F0856"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Egyéb igazgatási kiadások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5F0856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0,093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 w:rsidR="001E667A">
        <w:trPr>
          <w:trHeight w:val="585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E667A" w:rsidRDefault="005F0856"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A többéves pénzügyi keret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5. FEJEZETÉNEK részösszege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5F0856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4,126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 w:rsidR="001E667A" w:rsidRDefault="001E667A"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E667A">
        <w:trPr>
          <w:trHeight w:val="585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E667A" w:rsidRDefault="005F0856"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A többéves pénzügyi keret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5.FEJEZETÉBE</w:t>
            </w:r>
            <w:r>
              <w:rPr>
                <w:rStyle w:val="FootnoteReference"/>
                <w:b/>
                <w:noProof/>
                <w:sz w:val="16"/>
              </w:rPr>
              <w:footnoteReference w:id="80"/>
            </w:r>
            <w:r>
              <w:rPr>
                <w:b/>
                <w:noProof/>
                <w:sz w:val="16"/>
              </w:rPr>
              <w:t xml:space="preserve"> bele nem tartozó előirányzatok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 w:rsidR="001E667A">
        <w:trPr>
          <w:trHeight w:val="585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5F0856"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Humánerőforrás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 w:rsidR="001E667A">
        <w:trPr>
          <w:trHeight w:val="585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5F0856"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Egyéb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6"/>
              </w:rPr>
              <w:t>igazgatási kiadások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 w:rsidR="001E667A">
        <w:trPr>
          <w:trHeight w:val="585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E667A" w:rsidRDefault="005F0856"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A többéves pénzügyi keret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5. FEJEZETÉBE bele nem tartozó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 előirányzatok részösszege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 w:rsidR="001E667A" w:rsidRDefault="001E667A">
      <w:pPr>
        <w:spacing w:line="200" w:lineRule="exact"/>
        <w:rPr>
          <w:noProof/>
          <w:sz w:val="16"/>
          <w:szCs w:val="16"/>
        </w:rPr>
      </w:pPr>
    </w:p>
    <w:tbl>
      <w:tblPr>
        <w:tblW w:w="1063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41"/>
        <w:gridCol w:w="1045"/>
        <w:gridCol w:w="1134"/>
        <w:gridCol w:w="1134"/>
        <w:gridCol w:w="993"/>
        <w:gridCol w:w="4388"/>
      </w:tblGrid>
      <w:tr w:rsidR="001E667A">
        <w:trPr>
          <w:trHeight w:val="525"/>
        </w:trPr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667A" w:rsidRDefault="005F0856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ÖSSZESEN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667A" w:rsidRDefault="005F0856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4,126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43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67A" w:rsidRDefault="001E667A"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 w:rsidR="001E667A" w:rsidRDefault="005F0856">
      <w:pPr>
        <w:rPr>
          <w:noProof/>
          <w:sz w:val="18"/>
        </w:rPr>
      </w:pPr>
      <w:r>
        <w:rPr>
          <w:noProof/>
          <w:sz w:val="18"/>
        </w:rPr>
        <w:t xml:space="preserve">A humánerőforrással és más igazgatási kiadásokkal kapcsolatos előirányzat-igényeket az adott főigazgatóság rendelkezésére álló, az intézkedés irányításához rendelt előirányzatokkal és/vagy az adott </w:t>
      </w:r>
      <w:r>
        <w:rPr>
          <w:noProof/>
          <w:sz w:val="18"/>
        </w:rPr>
        <w:t>főigazgatóságon belüli átcsoportosítással kell teljesíteni. A források adott esetben a költségvetési korlátok betartása mellett kiegészíthetők az éves elosztási eljárás keretében az irányító főigazgatósághoz rendelt további juttatásokkal.</w:t>
      </w:r>
    </w:p>
    <w:p w:rsidR="001E667A" w:rsidRDefault="001E667A">
      <w:pPr>
        <w:spacing w:before="0" w:after="0"/>
        <w:jc w:val="left"/>
        <w:rPr>
          <w:noProof/>
          <w:sz w:val="18"/>
        </w:rPr>
        <w:sectPr w:rsidR="001E667A" w:rsidSect="005F0856">
          <w:headerReference w:type="default" r:id="rId25"/>
          <w:footerReference w:type="default" r:id="rId26"/>
          <w:headerReference w:type="first" r:id="rId27"/>
          <w:footerReference w:type="first" r:id="rId28"/>
          <w:pgSz w:w="11907" w:h="16840"/>
          <w:pgMar w:top="1134" w:right="1418" w:bottom="1134" w:left="1418" w:header="709" w:footer="709" w:gutter="0"/>
          <w:cols w:space="720"/>
          <w:docGrid w:linePitch="326"/>
        </w:sectPr>
      </w:pPr>
    </w:p>
    <w:p w:rsidR="001E667A" w:rsidRDefault="005F0856">
      <w:pPr>
        <w:pStyle w:val="ManualHeading4"/>
        <w:rPr>
          <w:bCs/>
          <w:noProof/>
          <w:szCs w:val="24"/>
        </w:rPr>
      </w:pPr>
      <w:r>
        <w:rPr>
          <w:noProof/>
        </w:rPr>
        <w:t>3.2.3.2.</w:t>
      </w:r>
      <w:r>
        <w:rPr>
          <w:noProof/>
        </w:rPr>
        <w:tab/>
        <w:t>Becsült humánerőforrás-szükségletek</w:t>
      </w:r>
    </w:p>
    <w:p w:rsidR="001E667A" w:rsidRDefault="005F0856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A javaslat/kezdeményezés nem igényel humánerőforrást. </w:t>
      </w:r>
    </w:p>
    <w:p w:rsidR="001E667A" w:rsidRDefault="005F0856">
      <w:pPr>
        <w:pStyle w:val="ListDash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>A javaslat/kezdeményezés az alábbi humánerőforrás-igénnyel jár:</w:t>
      </w:r>
    </w:p>
    <w:p w:rsidR="001E667A" w:rsidRDefault="005F0856"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A becsléseket teljes munkaidős egye</w:t>
      </w:r>
      <w:r>
        <w:rPr>
          <w:i/>
          <w:noProof/>
          <w:sz w:val="20"/>
        </w:rPr>
        <w:t>nértékben kell kifejezni</w:t>
      </w:r>
    </w:p>
    <w:tbl>
      <w:tblPr>
        <w:tblW w:w="102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2055"/>
        <w:gridCol w:w="1356"/>
        <w:gridCol w:w="1358"/>
        <w:gridCol w:w="1323"/>
        <w:gridCol w:w="1399"/>
        <w:gridCol w:w="280"/>
        <w:gridCol w:w="279"/>
        <w:gridCol w:w="279"/>
      </w:tblGrid>
      <w:tr w:rsidR="001E667A">
        <w:trPr>
          <w:trHeight w:val="289"/>
          <w:jc w:val="center"/>
        </w:trPr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7A" w:rsidRDefault="001E667A">
            <w:pPr>
              <w:pStyle w:val="Text1"/>
              <w:spacing w:before="40" w:after="40" w:line="276" w:lineRule="auto"/>
              <w:ind w:left="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2020.</w:t>
            </w:r>
            <w:r>
              <w:rPr>
                <w:noProof/>
                <w:sz w:val="16"/>
              </w:rPr>
              <w:t>r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6"/>
              </w:rPr>
              <w:t>év</w:t>
            </w:r>
            <w:r>
              <w:rPr>
                <w:noProof/>
                <w:sz w:val="22"/>
              </w:rPr>
              <w:br/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év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–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év </w:t>
            </w:r>
            <w:r>
              <w:rPr>
                <w:noProof/>
                <w:sz w:val="16"/>
                <w:szCs w:val="16"/>
              </w:rPr>
              <w:br/>
            </w:r>
            <w:r>
              <w:rPr>
                <w:b/>
                <w:noProof/>
                <w:sz w:val="16"/>
              </w:rPr>
              <w:t>–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év</w:t>
            </w:r>
          </w:p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–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 táblázat a hatás időtartamának megfelelően (vö. 1.6. pont) további évekkel bővíthető</w:t>
            </w:r>
          </w:p>
        </w:tc>
      </w:tr>
      <w:tr w:rsidR="001E667A">
        <w:trPr>
          <w:trHeight w:val="289"/>
          <w:jc w:val="center"/>
        </w:trPr>
        <w:tc>
          <w:tcPr>
            <w:tcW w:w="7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7A" w:rsidRDefault="005F0856">
            <w:pPr>
              <w:spacing w:before="20" w:after="20" w:line="276" w:lineRule="auto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A létszámtervben szereplő álláshelyek (tisztviselők és ideiglenes alkalmazottak)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line="276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pStyle w:val="Text1"/>
              <w:spacing w:beforeLines="20" w:before="48" w:afterLines="20" w:after="48" w:line="276" w:lineRule="auto"/>
              <w:ind w:left="98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color w:val="1F497D" w:themeColor="text2"/>
                <w:sz w:val="16"/>
              </w:rPr>
              <w:t>02</w:t>
            </w:r>
            <w:r>
              <w:rPr>
                <w:noProof/>
                <w:sz w:val="16"/>
              </w:rPr>
              <w:t xml:space="preserve"> 01 01 01 (a központban és a bizottsági képviseleteken – DG GROW)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5.7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pStyle w:val="Text1"/>
              <w:spacing w:beforeLines="20" w:before="48" w:afterLines="20" w:after="48" w:line="276" w:lineRule="auto"/>
              <w:ind w:left="984"/>
              <w:jc w:val="left"/>
              <w:rPr>
                <w:b/>
                <w:noProof/>
                <w:color w:val="1F497D" w:themeColor="text2"/>
                <w:sz w:val="16"/>
              </w:rPr>
            </w:pPr>
            <w:r>
              <w:rPr>
                <w:b/>
                <w:noProof/>
                <w:color w:val="1F497D" w:themeColor="text2"/>
                <w:sz w:val="16"/>
              </w:rPr>
              <w:t>02</w:t>
            </w:r>
            <w:r>
              <w:rPr>
                <w:noProof/>
                <w:sz w:val="16"/>
              </w:rPr>
              <w:t xml:space="preserve"> 01 01 01 (a központban és a bizottsági képviseleteken – DG GROW – az európai uniós termékmegfelelőségi hálózat titkársága)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pStyle w:val="Text1"/>
              <w:spacing w:beforeLines="20" w:before="48" w:afterLines="20" w:after="48" w:line="276" w:lineRule="auto"/>
              <w:ind w:left="98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(a küldöttségeknél)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pStyle w:val="Text1"/>
              <w:spacing w:beforeLines="20" w:before="48" w:afterLines="20" w:after="48" w:line="276" w:lineRule="auto"/>
              <w:ind w:left="98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XX </w:t>
            </w:r>
            <w:r>
              <w:rPr>
                <w:noProof/>
                <w:sz w:val="16"/>
              </w:rPr>
              <w:t>01 05 01 (közvetett kutatás)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667A">
        <w:trPr>
          <w:gridAfter w:val="4"/>
          <w:wAfter w:w="2237" w:type="dxa"/>
          <w:trHeight w:val="248"/>
          <w:jc w:val="center"/>
        </w:trPr>
        <w:tc>
          <w:tcPr>
            <w:tcW w:w="7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pStyle w:val="Text1"/>
              <w:spacing w:before="60" w:after="60" w:line="276" w:lineRule="auto"/>
              <w:ind w:left="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Külső munkatársak (teljes munkaidős egyenértékben: FTE) kifejezve</w:t>
            </w:r>
            <w:r>
              <w:rPr>
                <w:rStyle w:val="FootnoteReference"/>
                <w:b/>
                <w:noProof/>
                <w:sz w:val="16"/>
              </w:rPr>
              <w:footnoteReference w:id="81"/>
            </w:r>
          </w:p>
          <w:p w:rsidR="001E667A" w:rsidRDefault="001E667A">
            <w:pPr>
              <w:pStyle w:val="Text1"/>
              <w:spacing w:before="0" w:after="0" w:line="276" w:lineRule="auto"/>
              <w:ind w:left="0"/>
              <w:jc w:val="left"/>
              <w:rPr>
                <w:noProof/>
                <w:sz w:val="16"/>
                <w:szCs w:val="16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pStyle w:val="Text1"/>
              <w:spacing w:beforeLines="20" w:before="48" w:afterLines="20" w:after="48" w:line="276" w:lineRule="auto"/>
              <w:ind w:left="98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01 (AC, END, INT a teljes keretből)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pStyle w:val="Text1"/>
              <w:spacing w:beforeLines="20" w:before="48" w:afterLines="20" w:after="48" w:line="276" w:lineRule="auto"/>
              <w:ind w:left="98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02 (AC, AL, END, INT és JED a küldöttségeknél)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1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pStyle w:val="Text1"/>
              <w:spacing w:beforeLines="20" w:before="48" w:afterLines="20" w:after="48" w:line="276" w:lineRule="auto"/>
              <w:ind w:left="98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01 04 </w:t>
            </w:r>
            <w:r>
              <w:rPr>
                <w:b/>
                <w:noProof/>
                <w:sz w:val="16"/>
              </w:rPr>
              <w:t>éé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82"/>
            </w:r>
          </w:p>
          <w:p w:rsidR="001E667A" w:rsidRDefault="001E667A">
            <w:pPr>
              <w:pStyle w:val="Text1"/>
              <w:spacing w:beforeLines="20" w:before="48" w:afterLines="20" w:after="48" w:line="276" w:lineRule="auto"/>
              <w:ind w:left="98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pStyle w:val="Text1"/>
              <w:spacing w:beforeLines="20" w:before="48" w:afterLines="20" w:after="48" w:line="276" w:lineRule="auto"/>
              <w:ind w:left="98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– a központban</w:t>
            </w:r>
          </w:p>
          <w:p w:rsidR="001E667A" w:rsidRDefault="001E667A">
            <w:pPr>
              <w:pStyle w:val="Text1"/>
              <w:spacing w:beforeLines="20" w:before="48" w:afterLines="20" w:after="48" w:line="276" w:lineRule="auto"/>
              <w:ind w:left="98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pStyle w:val="Text1"/>
              <w:spacing w:beforeLines="20" w:before="48" w:afterLines="20" w:after="48" w:line="276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1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pStyle w:val="Text1"/>
              <w:spacing w:beforeLines="20" w:before="48" w:afterLines="20" w:after="48" w:line="276" w:lineRule="auto"/>
              <w:ind w:left="98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– a küldöttségeknél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pStyle w:val="Text1"/>
              <w:spacing w:beforeLines="20" w:before="48" w:afterLines="20" w:after="48" w:line="276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pStyle w:val="Text1"/>
              <w:spacing w:beforeLines="20" w:before="48" w:afterLines="20" w:after="48" w:line="276" w:lineRule="auto"/>
              <w:ind w:left="98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05 02 (AC, END, INT – közvetett kutatásban)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pStyle w:val="Text1"/>
              <w:spacing w:beforeLines="20" w:before="48" w:afterLines="20" w:after="48" w:line="276" w:lineRule="auto"/>
              <w:ind w:left="98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 (AC, END, INT közvetett kutatásban)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pStyle w:val="Text1"/>
              <w:spacing w:beforeLines="20" w:before="48" w:afterLines="20" w:after="48" w:line="276" w:lineRule="auto"/>
              <w:ind w:left="98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Egyéb költségvetési tétel (kérjük megnevezni)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noProof/>
                <w:sz w:val="16"/>
                <w:szCs w:val="16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394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pStyle w:val="Text1"/>
              <w:spacing w:beforeLines="20" w:before="48" w:afterLines="20" w:after="48" w:line="276" w:lineRule="auto"/>
              <w:ind w:left="98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ÖSSZESEN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Lines="20" w:before="48" w:afterLines="20" w:after="48" w:line="276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30,7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Lines="20" w:before="48" w:afterLines="20" w:after="48" w:line="27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 w:rsidR="001E667A" w:rsidRDefault="005F0856"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b/>
          <w:noProof/>
          <w:sz w:val="18"/>
        </w:rPr>
        <w:t>XX</w:t>
      </w:r>
      <w:r>
        <w:rPr>
          <w:noProof/>
          <w:sz w:val="18"/>
        </w:rPr>
        <w:t xml:space="preserve"> az érintett szakpolitikai terület vagy költségvetési cím.</w:t>
      </w:r>
    </w:p>
    <w:p w:rsidR="001E667A" w:rsidRDefault="005F0856">
      <w:pPr>
        <w:pStyle w:val="Text1"/>
        <w:rPr>
          <w:noProof/>
          <w:sz w:val="18"/>
        </w:rPr>
      </w:pPr>
      <w:r>
        <w:rPr>
          <w:noProof/>
          <w:sz w:val="18"/>
        </w:rPr>
        <w:t xml:space="preserve">A humánerőforrás-igényeknek az adott főigazgatóság rendelkezésére álló, az intézkedés irányításához rendelt és/vagy az adott főigazgatóságon belül átcsoportosított személyzettel kell eleget tenni. </w:t>
      </w:r>
      <w:r>
        <w:rPr>
          <w:noProof/>
          <w:sz w:val="18"/>
        </w:rPr>
        <w:t>A források adott esetben a meglévő költségvetési korlátok betartása mellett kiegészíthetők az éves elosztási eljárás keretében az irányító főigazgatósághoz rendelt további juttatásokkal.</w:t>
      </w:r>
    </w:p>
    <w:p w:rsidR="001E667A" w:rsidRDefault="005F0856">
      <w:pPr>
        <w:rPr>
          <w:noProof/>
          <w:sz w:val="20"/>
        </w:rPr>
      </w:pPr>
      <w:r>
        <w:rPr>
          <w:noProof/>
          <w:sz w:val="20"/>
        </w:rPr>
        <w:t>Az elvégzendő feladatok leírása: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7200"/>
      </w:tblGrid>
      <w:tr w:rsidR="001E667A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67A" w:rsidRDefault="005F0856">
            <w:pPr>
              <w:spacing w:line="276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Tisztviselők és ideiglenes alkalmazo</w:t>
            </w:r>
            <w:r>
              <w:rPr>
                <w:noProof/>
                <w:sz w:val="20"/>
              </w:rPr>
              <w:t>ttak (Bizottság)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67A" w:rsidRDefault="005F0856">
            <w:pPr>
              <w:spacing w:line="276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 létrehozási szakaszban (2020–2022) a végrehajtási/felhatalmazáson alapuló jogi aktusok előkészítése, az európai uniós termékmegfelelőségi hálózat létrehozása, a kísérleti nemzeti végrehajtási stratégiák, a teljesítményindikátorokat és a </w:t>
            </w:r>
            <w:r>
              <w:rPr>
                <w:noProof/>
                <w:sz w:val="20"/>
              </w:rPr>
              <w:t>rendelet nyomon követését megalapozó vizsgálat.</w:t>
            </w:r>
          </w:p>
          <w:p w:rsidR="001E667A" w:rsidRDefault="005F0856">
            <w:pPr>
              <w:spacing w:line="276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AD személyzet (adminisztrátorok) az európai uniós termékmegfelelőségi hálózat titkársága vezetője számára, piacfelügyelethez kapcsolódó műszaki és jogi elemzésre, informatikai és adatrendszer-felügyeletre és </w:t>
            </w:r>
            <w:r>
              <w:rPr>
                <w:noProof/>
                <w:sz w:val="20"/>
              </w:rPr>
              <w:t>-fejlesztésre.</w:t>
            </w:r>
          </w:p>
          <w:p w:rsidR="001E667A" w:rsidRDefault="005F0856">
            <w:pPr>
              <w:spacing w:line="276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AST személyzet (asszisztensek) az ülések megszervezésére, igazgatási és pénzgazdálkodási feladatokra.</w:t>
            </w:r>
          </w:p>
        </w:tc>
      </w:tr>
      <w:tr w:rsidR="001E667A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67A" w:rsidRDefault="005F0856">
            <w:pPr>
              <w:spacing w:before="60" w:after="60" w:line="276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Külső munkatársak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67A" w:rsidRDefault="005F0856">
            <w:pPr>
              <w:spacing w:line="276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Szerződéses alkalmazottak – rendszeres informatikai karbantartás és egyedi fejlesztési projektek</w:t>
            </w:r>
          </w:p>
          <w:p w:rsidR="001E667A" w:rsidRDefault="005F0856">
            <w:pPr>
              <w:spacing w:line="276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Kirendelt nemzeti szaké</w:t>
            </w:r>
            <w:r>
              <w:rPr>
                <w:noProof/>
                <w:sz w:val="20"/>
              </w:rPr>
              <w:t>rtők (SNE) – közös tevékenységek irányítása, egyedi piacfelügyeleti szakértelem. Megmarad a lehetőség kirendelt nemzeti szakértők hálózathoz történő felvételére, mint a nemzeti szakértelem bevonásának egyik módjára. A piacfelügyeleti hatóságok jelenleg súl</w:t>
            </w:r>
            <w:r>
              <w:rPr>
                <w:noProof/>
                <w:sz w:val="20"/>
              </w:rPr>
              <w:t>yos forráshiánnyal küzdenek, így meglehetősen kétséges, hogy – különösen a beindítási szakaszban – nemzeti szakértőket tudnának kirendelni a hálózat számára.</w:t>
            </w:r>
          </w:p>
        </w:tc>
      </w:tr>
    </w:tbl>
    <w:p w:rsidR="001E667A" w:rsidRDefault="005F0856">
      <w:pPr>
        <w:rPr>
          <w:rFonts w:eastAsia="Times New Roman"/>
          <w:noProof/>
          <w:sz w:val="20"/>
          <w:szCs w:val="20"/>
          <w:u w:val="single"/>
        </w:rPr>
      </w:pPr>
      <w:r>
        <w:rPr>
          <w:noProof/>
          <w:sz w:val="20"/>
          <w:u w:val="single"/>
        </w:rPr>
        <w:t>Az európai uniós termékmegfelelőségi hálózat létrehozási szakaszában bevonandó munkatársakra vona</w:t>
      </w:r>
      <w:r>
        <w:rPr>
          <w:noProof/>
          <w:sz w:val="20"/>
          <w:u w:val="single"/>
        </w:rPr>
        <w:t>tkozó becslés</w:t>
      </w:r>
      <w:r>
        <w:rPr>
          <w:noProof/>
          <w:sz w:val="20"/>
        </w:rPr>
        <w:t xml:space="preserve">, a jelenlegi többéves pénzügyi keret határidején belül, egészen 2020-ig. </w:t>
      </w:r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1206"/>
        <w:gridCol w:w="1276"/>
        <w:gridCol w:w="1276"/>
        <w:gridCol w:w="1417"/>
        <w:gridCol w:w="1701"/>
      </w:tblGrid>
      <w:tr w:rsidR="001E667A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Tisztségcsoport és besorolási fokozat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2020. év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év –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év –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7A" w:rsidRDefault="001E667A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</w:tr>
      <w:tr w:rsidR="001E667A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AD 9-15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</w:p>
        </w:tc>
      </w:tr>
      <w:tr w:rsidR="001E667A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AD 5-12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</w:p>
        </w:tc>
      </w:tr>
      <w:tr w:rsidR="001E667A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AD összesen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</w:p>
        </w:tc>
      </w:tr>
      <w:tr w:rsidR="001E667A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AST 1-11 / AST/SC 1-6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</w:p>
        </w:tc>
      </w:tr>
      <w:tr w:rsidR="001E667A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AST/SC összesen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</w:p>
        </w:tc>
      </w:tr>
      <w:tr w:rsidR="001E667A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VÉGÖSSZEG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</w:p>
        </w:tc>
      </w:tr>
    </w:tbl>
    <w:p w:rsidR="001E667A" w:rsidRDefault="001E667A">
      <w:pPr>
        <w:rPr>
          <w:rFonts w:eastAsia="Times New Roman"/>
          <w:noProof/>
          <w:sz w:val="20"/>
          <w:szCs w:val="20"/>
        </w:rPr>
      </w:pPr>
    </w:p>
    <w:p w:rsidR="001E667A" w:rsidRDefault="005F0856">
      <w:pPr>
        <w:rPr>
          <w:rFonts w:eastAsia="Times New Roman"/>
          <w:noProof/>
          <w:sz w:val="20"/>
          <w:szCs w:val="20"/>
          <w:u w:val="single"/>
        </w:rPr>
      </w:pPr>
      <w:r>
        <w:rPr>
          <w:noProof/>
          <w:sz w:val="20"/>
          <w:u w:val="single"/>
        </w:rPr>
        <w:t>A létrehozási szakaszban bevonandó munkatársakra vonatkozó becslés és az európai uniós termékmegfelelőségi hálózat összes munkatársa – külső személyzet</w:t>
      </w:r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1206"/>
        <w:gridCol w:w="1276"/>
        <w:gridCol w:w="1276"/>
        <w:gridCol w:w="1417"/>
        <w:gridCol w:w="1701"/>
      </w:tblGrid>
      <w:tr w:rsidR="001E667A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Szerződéses alkalmazottak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2020. év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év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év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7A" w:rsidRDefault="001E667A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</w:tr>
      <w:tr w:rsidR="001E667A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III/IV. tisztségcsoport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</w:p>
        </w:tc>
      </w:tr>
      <w:tr w:rsidR="001E667A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Összesen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</w:p>
        </w:tc>
      </w:tr>
    </w:tbl>
    <w:p w:rsidR="001E667A" w:rsidRDefault="001E667A">
      <w:pPr>
        <w:rPr>
          <w:rFonts w:eastAsia="Times New Roman"/>
          <w:noProof/>
          <w:sz w:val="20"/>
          <w:szCs w:val="20"/>
          <w:u w:val="single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1206"/>
        <w:gridCol w:w="1276"/>
        <w:gridCol w:w="1276"/>
        <w:gridCol w:w="1417"/>
        <w:gridCol w:w="1701"/>
      </w:tblGrid>
      <w:tr w:rsidR="001E667A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Kirendelt nemzeti szakértők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2020. év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év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év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</w:p>
        </w:tc>
      </w:tr>
      <w:tr w:rsidR="001E667A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Összesen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</w:rPr>
              <w:t>pm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1E667A" w:rsidRDefault="001E667A">
      <w:pPr>
        <w:rPr>
          <w:noProof/>
        </w:rPr>
      </w:pPr>
    </w:p>
    <w:p w:rsidR="001E667A" w:rsidRDefault="005F0856">
      <w:pPr>
        <w:pStyle w:val="ManualHeading3"/>
        <w:rPr>
          <w:bCs/>
          <w:noProof/>
          <w:szCs w:val="24"/>
        </w:rPr>
      </w:pPr>
      <w:r>
        <w:rPr>
          <w:noProof/>
        </w:rPr>
        <w:t>3.2.4.</w:t>
      </w:r>
      <w:r>
        <w:rPr>
          <w:noProof/>
        </w:rPr>
        <w:tab/>
        <w:t xml:space="preserve">A jelenlegi többéves pénzügyi kerettel való összeegyeztethetőség 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>A javaslat összeegyeztethető a jelenlegi többéves pénzügyi kerettel.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A javaslat/kezdeményezés miatt </w:t>
      </w:r>
      <w:r>
        <w:rPr>
          <w:noProof/>
        </w:rPr>
        <w:t>szükséges a többéves pénzügyi keret vonatkozó fejezetének átprogramozása.</w:t>
      </w:r>
    </w:p>
    <w:p w:rsidR="001E667A" w:rsidRDefault="005F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rFonts w:eastAsia="Times New Roman"/>
          <w:noProof/>
          <w:sz w:val="20"/>
        </w:rPr>
      </w:pPr>
      <w:r>
        <w:rPr>
          <w:noProof/>
          <w:sz w:val="20"/>
        </w:rPr>
        <w:t>Fejtse ki, miként kell átprogramozni a pénzügyi keretet: tüntesse fel az érintett költségvetési tételeket és a megfelelő összegeket.</w:t>
      </w:r>
    </w:p>
    <w:p w:rsidR="001E667A" w:rsidRDefault="005F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rFonts w:eastAsia="Times New Roman"/>
          <w:noProof/>
        </w:rPr>
      </w:pPr>
      <w:r>
        <w:rPr>
          <w:noProof/>
          <w:color w:val="0000FF"/>
        </w:rPr>
        <w:t>[…]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A javaslat/kezdeményezés miatt szükség van </w:t>
      </w:r>
      <w:r>
        <w:rPr>
          <w:noProof/>
        </w:rPr>
        <w:t>a rugalmassági eszköz alkalmazására vagy a többéves pénzügyi keret felülvizsgálatára.</w:t>
      </w:r>
    </w:p>
    <w:p w:rsidR="001E667A" w:rsidRDefault="005F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rFonts w:eastAsia="Times New Roman"/>
          <w:noProof/>
          <w:sz w:val="20"/>
        </w:rPr>
      </w:pPr>
      <w:r>
        <w:rPr>
          <w:noProof/>
          <w:sz w:val="20"/>
        </w:rPr>
        <w:t>Fejtse ki a szükségleteket: tüntesse fel az érintett fejezeteket és költségvetési tételeket és a megfelelő összegeket.</w:t>
      </w:r>
    </w:p>
    <w:p w:rsidR="001E667A" w:rsidRDefault="005F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rFonts w:eastAsia="Times New Roman"/>
          <w:noProof/>
        </w:rPr>
      </w:pPr>
      <w:r>
        <w:rPr>
          <w:noProof/>
          <w:color w:val="0000FF"/>
        </w:rPr>
        <w:t>[…]</w:t>
      </w:r>
    </w:p>
    <w:p w:rsidR="001E667A" w:rsidRDefault="005F0856">
      <w:pPr>
        <w:pStyle w:val="ManualHeading3"/>
        <w:rPr>
          <w:rFonts w:eastAsia="Times New Roman"/>
          <w:noProof/>
          <w:szCs w:val="24"/>
        </w:rPr>
      </w:pPr>
      <w:r>
        <w:rPr>
          <w:noProof/>
        </w:rPr>
        <w:t>3.2.5.</w:t>
      </w:r>
      <w:r>
        <w:rPr>
          <w:noProof/>
        </w:rPr>
        <w:tab/>
        <w:t>Harmadik felek részvétele a finanszírozá</w:t>
      </w:r>
      <w:r>
        <w:rPr>
          <w:noProof/>
        </w:rPr>
        <w:t xml:space="preserve">sban </w:t>
      </w:r>
    </w:p>
    <w:p w:rsidR="001E667A" w:rsidRDefault="005F0856">
      <w:pPr>
        <w:ind w:left="1134" w:hanging="283"/>
        <w:rPr>
          <w:rFonts w:eastAsia="Times New Roman"/>
          <w:noProof/>
        </w:rPr>
      </w:pPr>
      <w:r>
        <w:rPr>
          <w:rFonts w:eastAsia="Times New Roman"/>
          <w:noProof/>
        </w:rPr>
        <w:sym w:font="Wingdings" w:char="F0FD"/>
      </w:r>
      <w:r>
        <w:rPr>
          <w:noProof/>
        </w:rPr>
        <w:t xml:space="preserve"> A javaslat/kezdeményezés nem irányoz elő harmadik felek általi társfinanszírozást. </w:t>
      </w:r>
    </w:p>
    <w:p w:rsidR="001E667A" w:rsidRDefault="005F0856">
      <w:pPr>
        <w:ind w:left="1134" w:hanging="283"/>
        <w:rPr>
          <w:rFonts w:eastAsia="Times New Roman"/>
          <w:noProof/>
        </w:rPr>
      </w:pPr>
      <w:r>
        <w:rPr>
          <w:rFonts w:eastAsia="Times New Roman"/>
          <w:noProof/>
        </w:rPr>
        <w:sym w:font="Wingdings" w:char="F06F"/>
      </w:r>
      <w:r>
        <w:rPr>
          <w:noProof/>
        </w:rPr>
        <w:t xml:space="preserve"> A javaslat/kezdeményezés az alábbi becsült társfinanszírozást irányozza elő:</w:t>
      </w:r>
    </w:p>
    <w:p w:rsidR="001E667A" w:rsidRDefault="005F0856">
      <w:pPr>
        <w:jc w:val="right"/>
        <w:rPr>
          <w:rFonts w:eastAsia="Times New Roman"/>
          <w:noProof/>
          <w:sz w:val="20"/>
        </w:rPr>
      </w:pPr>
      <w:r>
        <w:rPr>
          <w:noProof/>
          <w:sz w:val="20"/>
        </w:rPr>
        <w:t>előirányzatok, millió EUR (három tizedesjegyig)</w:t>
      </w:r>
    </w:p>
    <w:tbl>
      <w:tblPr>
        <w:tblW w:w="10245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 w:rsidR="001E667A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7A" w:rsidRDefault="001E667A">
            <w:pPr>
              <w:spacing w:before="60" w:after="60" w:line="276" w:lineRule="auto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b/>
                <w:noProof/>
              </w:rPr>
              <w:t>N.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b/>
                <w:noProof/>
              </w:rPr>
              <w:t>N+1.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b/>
                <w:noProof/>
              </w:rPr>
              <w:t>N+2.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b/>
                <w:noProof/>
              </w:rPr>
              <w:t>N+3.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</w:p>
        </w:tc>
        <w:tc>
          <w:tcPr>
            <w:tcW w:w="2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</w:rPr>
            </w:pPr>
            <w:r>
              <w:rPr>
                <w:noProof/>
                <w:sz w:val="20"/>
              </w:rPr>
              <w:t xml:space="preserve">A </w:t>
            </w:r>
            <w:r>
              <w:rPr>
                <w:noProof/>
                <w:sz w:val="20"/>
              </w:rPr>
              <w:t>táblázat a hatás időtartamának megfelelően (vö. 1.6. pont) további évekkel bővíthető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Összesen</w:t>
            </w:r>
          </w:p>
        </w:tc>
      </w:tr>
      <w:tr w:rsidR="001E667A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7A" w:rsidRDefault="005F0856">
            <w:pPr>
              <w:spacing w:line="276" w:lineRule="auto"/>
              <w:rPr>
                <w:rFonts w:eastAsia="Times New Roman"/>
                <w:noProof/>
              </w:rPr>
            </w:pPr>
            <w:r>
              <w:rPr>
                <w:noProof/>
                <w:sz w:val="20"/>
              </w:rPr>
              <w:t>Tüntesse fel a társfinanszírozó szervet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</w:rPr>
            </w:pPr>
          </w:p>
        </w:tc>
      </w:tr>
      <w:tr w:rsidR="001E667A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7A" w:rsidRDefault="005F0856">
            <w:pPr>
              <w:spacing w:before="60" w:after="60" w:line="276" w:lineRule="auto"/>
              <w:jc w:val="lef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 xml:space="preserve">Társfinanszírozott előirányzatok ÖSSZESEN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</w:rPr>
            </w:pPr>
          </w:p>
        </w:tc>
      </w:tr>
    </w:tbl>
    <w:p w:rsidR="001E667A" w:rsidRDefault="005F0856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br/>
      </w:r>
    </w:p>
    <w:p w:rsidR="001E667A" w:rsidRDefault="005F0856"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  <w:t>3.3.</w:t>
      </w:r>
      <w:r>
        <w:rPr>
          <w:noProof/>
        </w:rPr>
        <w:tab/>
        <w:t>A bevételre gyakorolt becsült hatás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sym w:font="Wingdings" w:char="F0FD"/>
      </w:r>
      <w:r>
        <w:rPr>
          <w:noProof/>
        </w:rPr>
        <w:tab/>
        <w:t xml:space="preserve">A </w:t>
      </w:r>
      <w:r>
        <w:rPr>
          <w:noProof/>
        </w:rPr>
        <w:t>javaslatnak/kezdeményezésnek nincs pénzügyi hatása a bevételre.</w:t>
      </w:r>
    </w:p>
    <w:p w:rsidR="001E667A" w:rsidRDefault="005F0856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A javaslatnak/kezdeményezésnek van pénzügyi hatása – a bevételre gyakorolt hatása a következő:</w:t>
      </w:r>
    </w:p>
    <w:p w:rsidR="001E667A" w:rsidRDefault="005F0856">
      <w:pPr>
        <w:pStyle w:val="Bullet2"/>
        <w:numPr>
          <w:ilvl w:val="0"/>
          <w:numId w:val="14"/>
        </w:numPr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a javaslat a saját forrásokra gyakorol hatást </w:t>
      </w:r>
    </w:p>
    <w:p w:rsidR="001E667A" w:rsidRDefault="005F0856">
      <w:pPr>
        <w:pStyle w:val="Bullet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</w:r>
      <w:r>
        <w:rPr>
          <w:noProof/>
        </w:rPr>
        <w:t xml:space="preserve">a javaslat az egyéb bevételekre gyakorol hatást </w:t>
      </w:r>
    </w:p>
    <w:p w:rsidR="001E667A" w:rsidRDefault="005F0856">
      <w:pPr>
        <w:jc w:val="right"/>
        <w:rPr>
          <w:rFonts w:eastAsia="Times New Roman"/>
          <w:i/>
          <w:noProof/>
          <w:sz w:val="20"/>
        </w:rPr>
      </w:pPr>
      <w:r>
        <w:rPr>
          <w:noProof/>
        </w:rPr>
        <w:t>millió EUR (három tizedesjegyig)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 w:rsidR="001E667A">
        <w:trPr>
          <w:trHeight w:val="388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40" w:after="40" w:line="276" w:lineRule="auto"/>
              <w:rPr>
                <w:rFonts w:eastAsia="Times New Roman"/>
                <w:noProof/>
                <w:sz w:val="18"/>
              </w:rPr>
            </w:pPr>
            <w:r>
              <w:rPr>
                <w:noProof/>
                <w:sz w:val="18"/>
              </w:rPr>
              <w:t>Bevételi költségvetési tétel: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18"/>
              </w:rPr>
            </w:pPr>
            <w:r>
              <w:rPr>
                <w:noProof/>
                <w:sz w:val="18"/>
              </w:rPr>
              <w:t>Az aktuális költségvetési évben rendelkezésre álló előirányzatok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18"/>
              </w:rPr>
            </w:pPr>
            <w:r>
              <w:rPr>
                <w:noProof/>
                <w:sz w:val="18"/>
              </w:rPr>
              <w:t>A javaslat/kezdeményezés hatása</w:t>
            </w:r>
            <w:r>
              <w:rPr>
                <w:rStyle w:val="FootnoteReference"/>
                <w:noProof/>
              </w:rPr>
              <w:footnoteReference w:id="83"/>
            </w:r>
          </w:p>
        </w:tc>
      </w:tr>
      <w:tr w:rsidR="001E667A">
        <w:trPr>
          <w:trHeight w:val="388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rFonts w:eastAsia="Times New Roman"/>
                <w:noProof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rFonts w:eastAsia="Times New Roman"/>
                <w:noProof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18"/>
              </w:rPr>
            </w:pPr>
            <w:r>
              <w:rPr>
                <w:b/>
                <w:noProof/>
              </w:rPr>
              <w:t>N.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noProof/>
                <w:sz w:val="18"/>
              </w:rPr>
              <w:t>év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18"/>
              </w:rPr>
            </w:pPr>
            <w:r>
              <w:rPr>
                <w:b/>
                <w:noProof/>
              </w:rPr>
              <w:t>N+1.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noProof/>
                <w:sz w:val="18"/>
              </w:rPr>
              <w:t>év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18"/>
              </w:rPr>
            </w:pPr>
            <w:r>
              <w:rPr>
                <w:b/>
                <w:noProof/>
              </w:rPr>
              <w:t>N+2.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noProof/>
                <w:sz w:val="18"/>
              </w:rPr>
              <w:t>év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18"/>
              </w:rPr>
            </w:pPr>
            <w:r>
              <w:rPr>
                <w:b/>
                <w:noProof/>
              </w:rPr>
              <w:t>N+3.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noProof/>
                <w:sz w:val="18"/>
              </w:rPr>
              <w:t>év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  <w:sz w:val="18"/>
              </w:rPr>
            </w:pPr>
            <w:r>
              <w:rPr>
                <w:noProof/>
                <w:sz w:val="18"/>
              </w:rPr>
              <w:t xml:space="preserve">A </w:t>
            </w:r>
            <w:r>
              <w:rPr>
                <w:noProof/>
                <w:sz w:val="18"/>
              </w:rPr>
              <w:t>táblázat a hatás időtartamának megfelelően (vö. 1.6. pont) további évekkel bővíthető</w:t>
            </w:r>
          </w:p>
        </w:tc>
      </w:tr>
      <w:tr w:rsidR="001E667A">
        <w:trPr>
          <w:trHeight w:val="38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40" w:after="40" w:line="276" w:lineRule="auto"/>
              <w:rPr>
                <w:rFonts w:eastAsia="Times New Roman"/>
                <w:noProof/>
                <w:sz w:val="18"/>
              </w:rPr>
            </w:pPr>
            <w:r>
              <w:rPr>
                <w:noProof/>
                <w:sz w:val="18"/>
              </w:rPr>
              <w:t>… jogcímcsoport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beforeLines="40" w:before="96" w:afterLines="40" w:after="96" w:line="276" w:lineRule="auto"/>
              <w:jc w:val="center"/>
              <w:rPr>
                <w:rFonts w:eastAsia="Times New Roman"/>
                <w:i/>
                <w:noProof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beforeLines="40" w:before="96" w:afterLines="40" w:after="96" w:line="276" w:lineRule="auto"/>
              <w:jc w:val="center"/>
              <w:rPr>
                <w:rFonts w:eastAsia="Times New Roman"/>
                <w:noProof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beforeLines="40" w:before="96" w:afterLines="40" w:after="96" w:line="276" w:lineRule="auto"/>
              <w:jc w:val="center"/>
              <w:rPr>
                <w:rFonts w:eastAsia="Times New Roman"/>
                <w:noProof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beforeLines="40" w:before="96" w:afterLines="40" w:after="96" w:line="276" w:lineRule="auto"/>
              <w:jc w:val="center"/>
              <w:rPr>
                <w:rFonts w:eastAsia="Times New Roman"/>
                <w:noProof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beforeLines="40" w:before="96" w:afterLines="40" w:after="96" w:line="276" w:lineRule="auto"/>
              <w:jc w:val="center"/>
              <w:rPr>
                <w:rFonts w:eastAsia="Times New Roman"/>
                <w:noProof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beforeLines="40" w:before="96" w:afterLines="40" w:after="96" w:line="276" w:lineRule="auto"/>
              <w:jc w:val="center"/>
              <w:rPr>
                <w:rFonts w:eastAsia="Times New Roman"/>
                <w:noProof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beforeLines="40" w:before="96" w:afterLines="40" w:after="96" w:line="276" w:lineRule="auto"/>
              <w:jc w:val="center"/>
              <w:rPr>
                <w:rFonts w:eastAsia="Times New Roman"/>
                <w:noProof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beforeLines="40" w:before="96" w:afterLines="40" w:after="96" w:line="276" w:lineRule="auto"/>
              <w:jc w:val="center"/>
              <w:rPr>
                <w:rFonts w:eastAsia="Times New Roman"/>
                <w:noProof/>
                <w:sz w:val="18"/>
              </w:rPr>
            </w:pPr>
          </w:p>
        </w:tc>
      </w:tr>
    </w:tbl>
    <w:p w:rsidR="001E667A" w:rsidRDefault="005F0856">
      <w:pPr>
        <w:ind w:left="850"/>
        <w:rPr>
          <w:rFonts w:eastAsia="Times New Roman"/>
          <w:noProof/>
          <w:sz w:val="20"/>
        </w:rPr>
      </w:pPr>
      <w:r>
        <w:rPr>
          <w:noProof/>
          <w:sz w:val="20"/>
        </w:rPr>
        <w:t>Az egyéb címzett bevételek esetében tüntesse fel az érintett kiadáshoz tartozó költségvetési tétel(eke)t.</w:t>
      </w:r>
    </w:p>
    <w:p w:rsidR="001E667A" w:rsidRDefault="005F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rFonts w:eastAsia="Times New Roman"/>
          <w:noProof/>
        </w:rPr>
      </w:pPr>
      <w:r>
        <w:rPr>
          <w:noProof/>
          <w:color w:val="0000FF"/>
        </w:rPr>
        <w:t>[…]</w:t>
      </w:r>
    </w:p>
    <w:p w:rsidR="001E667A" w:rsidRDefault="005F0856">
      <w:pPr>
        <w:ind w:left="850"/>
        <w:rPr>
          <w:rFonts w:eastAsia="Times New Roman"/>
          <w:noProof/>
          <w:sz w:val="20"/>
        </w:rPr>
      </w:pPr>
      <w:r>
        <w:rPr>
          <w:noProof/>
          <w:sz w:val="20"/>
        </w:rPr>
        <w:t xml:space="preserve">Ismertesse a bevételre gyakorolt </w:t>
      </w:r>
      <w:r>
        <w:rPr>
          <w:noProof/>
          <w:sz w:val="20"/>
        </w:rPr>
        <w:t>hatás számításának módszerét.</w:t>
      </w:r>
    </w:p>
    <w:p w:rsidR="001E667A" w:rsidRDefault="005F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rFonts w:eastAsia="Times New Roman"/>
          <w:noProof/>
        </w:rPr>
      </w:pPr>
      <w:r>
        <w:rPr>
          <w:noProof/>
          <w:color w:val="0000FF"/>
        </w:rPr>
        <w:t>[…]</w:t>
      </w:r>
    </w:p>
    <w:p w:rsidR="001E667A" w:rsidRDefault="001E667A">
      <w:pPr>
        <w:pStyle w:val="ListDash1"/>
        <w:rPr>
          <w:noProof/>
        </w:rPr>
      </w:pPr>
    </w:p>
    <w:p w:rsidR="001E667A" w:rsidRDefault="001E667A">
      <w:pPr>
        <w:spacing w:before="0" w:after="0"/>
        <w:jc w:val="left"/>
        <w:rPr>
          <w:noProof/>
        </w:rPr>
        <w:sectPr w:rsidR="001E667A" w:rsidSect="005F0856">
          <w:pgSz w:w="11907" w:h="16840"/>
          <w:pgMar w:top="1134" w:right="1418" w:bottom="1134" w:left="1418" w:header="709" w:footer="709" w:gutter="0"/>
          <w:cols w:space="720"/>
          <w:docGrid w:linePitch="326"/>
        </w:sectPr>
      </w:pPr>
    </w:p>
    <w:p w:rsidR="001E667A" w:rsidRDefault="005F0856">
      <w:pPr>
        <w:pStyle w:val="Annexetitrefichefinancire"/>
        <w:rPr>
          <w:noProof/>
        </w:rPr>
      </w:pPr>
      <w:r>
        <w:rPr>
          <w:noProof/>
        </w:rPr>
        <w:t>MELLÉKLET a PÉNZÜGYI KIMUTATÁSHOZ</w:t>
      </w:r>
    </w:p>
    <w:p w:rsidR="001E667A" w:rsidRDefault="005F0856">
      <w:pPr>
        <w:spacing w:before="240"/>
        <w:ind w:left="360"/>
        <w:jc w:val="center"/>
        <w:rPr>
          <w:rFonts w:eastAsia="Times New Roman"/>
          <w:noProof/>
          <w:szCs w:val="24"/>
        </w:rPr>
      </w:pPr>
      <w:r>
        <w:rPr>
          <w:noProof/>
        </w:rPr>
        <w:t>A javaslat/kezdeményezés címe</w:t>
      </w:r>
    </w:p>
    <w:p w:rsidR="001E667A" w:rsidRDefault="005F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0" w:after="0"/>
        <w:jc w:val="left"/>
        <w:rPr>
          <w:rFonts w:eastAsia="Times New Roman"/>
          <w:noProof/>
          <w:szCs w:val="24"/>
        </w:rPr>
      </w:pPr>
      <w:r>
        <w:rPr>
          <w:b/>
          <w:noProof/>
        </w:rPr>
        <w:t xml:space="preserve">Javaslat – Az Európai Parlament és a Tanács rendelete a termékekre vonatkozó uniós harmonizációs jogszabályok betartására és </w:t>
      </w:r>
      <w:r>
        <w:rPr>
          <w:b/>
          <w:noProof/>
        </w:rPr>
        <w:t>érvényesítésére vonatkozó szabályok és eljárások megállapításáról</w:t>
      </w:r>
    </w:p>
    <w:p w:rsidR="001E667A" w:rsidRDefault="005F0856">
      <w:pPr>
        <w:pStyle w:val="ManualNumPar1"/>
        <w:rPr>
          <w:bCs/>
          <w:noProof/>
        </w:rPr>
      </w:pPr>
      <w:r>
        <w:rPr>
          <w:noProof/>
        </w:rPr>
        <w:t>1.</w:t>
      </w:r>
      <w:r>
        <w:rPr>
          <w:noProof/>
        </w:rPr>
        <w:tab/>
        <w:t>A HUMÁNERŐFORRÁS-SZÜKSÉGLETEK SZÁMA ÉS KÖLTSÉGE</w:t>
      </w:r>
    </w:p>
    <w:p w:rsidR="001E667A" w:rsidRDefault="005F0856">
      <w:pPr>
        <w:pStyle w:val="ManualNumPar1"/>
        <w:rPr>
          <w:bCs/>
          <w:noProof/>
        </w:rPr>
      </w:pPr>
      <w:r>
        <w:rPr>
          <w:noProof/>
        </w:rPr>
        <w:t>2.</w:t>
      </w:r>
      <w:r>
        <w:rPr>
          <w:noProof/>
        </w:rPr>
        <w:tab/>
        <w:t>AZ EGYÉB IGAZGATÁSI KIADÁSOK KÖLTSÉGE</w:t>
      </w:r>
    </w:p>
    <w:p w:rsidR="001E667A" w:rsidRDefault="005F0856">
      <w:pPr>
        <w:pStyle w:val="ManualNumPar1"/>
        <w:rPr>
          <w:bCs/>
          <w:noProof/>
        </w:rPr>
      </w:pPr>
      <w:r>
        <w:rPr>
          <w:noProof/>
        </w:rPr>
        <w:t>3.</w:t>
      </w:r>
      <w:r>
        <w:rPr>
          <w:noProof/>
        </w:rPr>
        <w:tab/>
        <w:t>A KÖLTSÉGEK KISZÁMÍTÁSÁRA HASZNÁLT MÓDSZEREK</w:t>
      </w:r>
    </w:p>
    <w:p w:rsidR="001E667A" w:rsidRDefault="005F0856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Humánerőforrás</w:t>
      </w:r>
    </w:p>
    <w:p w:rsidR="001E667A" w:rsidRDefault="005F0856">
      <w:pPr>
        <w:pStyle w:val="Point1"/>
        <w:rPr>
          <w:bCs/>
          <w:noProof/>
        </w:rPr>
      </w:pPr>
      <w:r>
        <w:rPr>
          <w:noProof/>
        </w:rPr>
        <w:t>b)</w:t>
      </w:r>
      <w:r>
        <w:rPr>
          <w:noProof/>
        </w:rPr>
        <w:tab/>
        <w:t>Egyéb igazgatási kiadások</w:t>
      </w:r>
    </w:p>
    <w:p w:rsidR="001E667A" w:rsidRDefault="005F0856">
      <w:pPr>
        <w:pStyle w:val="ManualNumPar1"/>
        <w:rPr>
          <w:bCs/>
          <w:noProof/>
        </w:rPr>
      </w:pPr>
      <w:r>
        <w:rPr>
          <w:noProof/>
        </w:rPr>
        <w:t>4.</w:t>
      </w:r>
      <w:r>
        <w:rPr>
          <w:noProof/>
        </w:rPr>
        <w:tab/>
      </w:r>
      <w:r>
        <w:rPr>
          <w:noProof/>
        </w:rPr>
        <w:t xml:space="preserve">Minden KÖLTSÉG ÖSSZEGZÉSE (humánerőforrás, egyéb igazgatási kiadások és működési költségvetés) </w:t>
      </w:r>
    </w:p>
    <w:p w:rsidR="001E667A" w:rsidRDefault="001E667A">
      <w:pPr>
        <w:spacing w:before="240" w:after="240"/>
        <w:jc w:val="left"/>
        <w:rPr>
          <w:rFonts w:ascii="Times New Roman Bold" w:eastAsia="Times New Roman" w:hAnsi="Times New Roman Bold"/>
          <w:bCs/>
          <w:noProof/>
          <w:sz w:val="32"/>
          <w:szCs w:val="32"/>
        </w:rPr>
      </w:pPr>
    </w:p>
    <w:p w:rsidR="001E667A" w:rsidRDefault="001E66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CCFFFF" w:fill="auto"/>
        <w:spacing w:before="0" w:after="0"/>
        <w:rPr>
          <w:rFonts w:eastAsia="Times New Roman"/>
          <w:noProof/>
          <w:sz w:val="16"/>
          <w:szCs w:val="16"/>
        </w:rPr>
      </w:pPr>
    </w:p>
    <w:p w:rsidR="001E667A" w:rsidRDefault="005F08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CCFFFF" w:fill="auto"/>
        <w:rPr>
          <w:rFonts w:eastAsia="Times New Roman"/>
          <w:i/>
          <w:noProof/>
          <w:sz w:val="22"/>
        </w:rPr>
      </w:pPr>
      <w:r>
        <w:rPr>
          <w:i/>
          <w:noProof/>
          <w:sz w:val="22"/>
        </w:rPr>
        <w:t>Ezt a mellékletet csatolni kell a pénzügyi kimutatáshoz a szolgálatközi konzultáció megindításakor.</w:t>
      </w:r>
    </w:p>
    <w:p w:rsidR="001E667A" w:rsidRDefault="005F08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CCFFFF" w:fill="auto"/>
        <w:spacing w:before="0"/>
        <w:rPr>
          <w:rFonts w:eastAsia="Times New Roman"/>
          <w:i/>
          <w:noProof/>
          <w:sz w:val="22"/>
        </w:rPr>
      </w:pPr>
      <w:r>
        <w:rPr>
          <w:i/>
          <w:noProof/>
          <w:sz w:val="22"/>
        </w:rPr>
        <w:t xml:space="preserve">Az adattáblázatokat használták forrásként a pénzügyi </w:t>
      </w:r>
      <w:r>
        <w:rPr>
          <w:i/>
          <w:noProof/>
          <w:sz w:val="22"/>
        </w:rPr>
        <w:t>kimutatásba foglalt táblázatokhoz. A táblázatok kizárólag a Bizottságon belüli belső használatra készültek.</w:t>
      </w:r>
    </w:p>
    <w:p w:rsidR="001E667A" w:rsidRDefault="001E66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CCFFFF" w:fill="auto"/>
        <w:spacing w:before="0" w:after="0"/>
        <w:rPr>
          <w:rFonts w:eastAsia="Times New Roman"/>
          <w:bCs/>
          <w:noProof/>
          <w:sz w:val="16"/>
          <w:szCs w:val="16"/>
        </w:rPr>
      </w:pPr>
    </w:p>
    <w:p w:rsidR="001E667A" w:rsidRDefault="001E667A">
      <w:pPr>
        <w:spacing w:after="80"/>
        <w:jc w:val="left"/>
        <w:rPr>
          <w:rFonts w:eastAsia="Times New Roman"/>
          <w:b/>
          <w:bCs/>
          <w:noProof/>
          <w:szCs w:val="24"/>
        </w:rPr>
      </w:pPr>
    </w:p>
    <w:p w:rsidR="001E667A" w:rsidRDefault="001E667A">
      <w:pPr>
        <w:spacing w:before="0" w:after="0"/>
        <w:jc w:val="left"/>
        <w:rPr>
          <w:rFonts w:eastAsia="Times New Roman"/>
          <w:noProof/>
          <w:szCs w:val="24"/>
        </w:rPr>
        <w:sectPr w:rsidR="001E667A" w:rsidSect="005F0856">
          <w:pgSz w:w="11907" w:h="16840"/>
          <w:pgMar w:top="1134" w:right="1418" w:bottom="1134" w:left="1418" w:header="709" w:footer="709" w:gutter="0"/>
          <w:cols w:space="720"/>
          <w:docGrid w:linePitch="326"/>
        </w:sectPr>
      </w:pPr>
    </w:p>
    <w:p w:rsidR="001E667A" w:rsidRDefault="005F0856">
      <w:pPr>
        <w:pStyle w:val="ManualNumPar1"/>
        <w:rPr>
          <w:noProof/>
          <w:szCs w:val="28"/>
        </w:rPr>
      </w:pPr>
      <w:r>
        <w:rPr>
          <w:noProof/>
        </w:rPr>
        <w:t>1.</w:t>
      </w:r>
      <w:r>
        <w:rPr>
          <w:noProof/>
        </w:rPr>
        <w:tab/>
        <w:t>A szükségesnek tekintett humánerőforrások költségei</w:t>
      </w:r>
      <w:r>
        <w:rPr>
          <w:noProof/>
        </w:rPr>
        <w:tab/>
      </w:r>
    </w:p>
    <w:p w:rsidR="001E667A" w:rsidRDefault="005F0856">
      <w:pPr>
        <w:spacing w:before="0" w:after="0"/>
        <w:ind w:left="1979"/>
        <w:jc w:val="left"/>
        <w:rPr>
          <w:rFonts w:eastAsia="Times New Roman"/>
          <w:noProof/>
          <w:szCs w:val="24"/>
        </w:rPr>
      </w:pPr>
      <w:r>
        <w:rPr>
          <w:rFonts w:eastAsia="Times New Roman"/>
          <w:noProof/>
          <w:szCs w:val="24"/>
        </w:rPr>
        <w:sym w:font="Wingdings" w:char="F0A8"/>
      </w:r>
      <w:r>
        <w:rPr>
          <w:noProof/>
        </w:rPr>
        <w:tab/>
      </w:r>
      <w:r>
        <w:rPr>
          <w:noProof/>
          <w:sz w:val="22"/>
        </w:rPr>
        <w:t>A javaslat/kezdeményezés nem igényel humánerőforrást.</w:t>
      </w:r>
    </w:p>
    <w:p w:rsidR="001E667A" w:rsidRDefault="005F0856">
      <w:pPr>
        <w:spacing w:before="60" w:after="0"/>
        <w:ind w:left="1979"/>
        <w:jc w:val="left"/>
        <w:rPr>
          <w:rFonts w:eastAsia="Times New Roman"/>
          <w:noProof/>
          <w:sz w:val="22"/>
          <w:szCs w:val="24"/>
        </w:rPr>
      </w:pPr>
      <w:r>
        <w:rPr>
          <w:rFonts w:eastAsia="Times New Roman"/>
          <w:noProof/>
          <w:szCs w:val="24"/>
        </w:rPr>
        <w:sym w:font="Wingdings" w:char="F0FD"/>
      </w:r>
      <w:r>
        <w:rPr>
          <w:noProof/>
        </w:rPr>
        <w:tab/>
      </w:r>
      <w:r>
        <w:rPr>
          <w:noProof/>
          <w:sz w:val="22"/>
        </w:rPr>
        <w:t>A javaslat/k</w:t>
      </w:r>
      <w:r>
        <w:rPr>
          <w:noProof/>
          <w:sz w:val="22"/>
        </w:rPr>
        <w:t>ezdeményezés az alábbi humánerőforrás-igénnyel jár:</w:t>
      </w:r>
    </w:p>
    <w:p w:rsidR="001E667A" w:rsidRDefault="001E667A">
      <w:pPr>
        <w:spacing w:before="60" w:after="0"/>
        <w:ind w:left="1979"/>
        <w:jc w:val="left"/>
        <w:rPr>
          <w:rFonts w:eastAsia="Times New Roman"/>
          <w:noProof/>
          <w:szCs w:val="24"/>
        </w:rPr>
      </w:pPr>
    </w:p>
    <w:p w:rsidR="001E667A" w:rsidRDefault="005F0856">
      <w:pPr>
        <w:spacing w:before="0" w:after="0"/>
        <w:jc w:val="right"/>
        <w:rPr>
          <w:rFonts w:eastAsia="Times New Roman"/>
          <w:iCs/>
          <w:noProof/>
          <w:sz w:val="20"/>
          <w:szCs w:val="20"/>
        </w:rPr>
      </w:pPr>
      <w:r>
        <w:rPr>
          <w:noProof/>
          <w:sz w:val="20"/>
        </w:rPr>
        <w:t>millió EUR (három tizedesjegyig)</w:t>
      </w:r>
    </w:p>
    <w:tbl>
      <w:tblPr>
        <w:tblW w:w="1443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618"/>
        <w:gridCol w:w="666"/>
        <w:gridCol w:w="1078"/>
        <w:gridCol w:w="667"/>
        <w:gridCol w:w="1078"/>
        <w:gridCol w:w="667"/>
        <w:gridCol w:w="1078"/>
        <w:gridCol w:w="667"/>
        <w:gridCol w:w="1078"/>
        <w:gridCol w:w="667"/>
        <w:gridCol w:w="1078"/>
        <w:gridCol w:w="667"/>
        <w:gridCol w:w="1078"/>
      </w:tblGrid>
      <w:tr w:rsidR="001E667A">
        <w:trPr>
          <w:trHeight w:val="289"/>
        </w:trPr>
        <w:tc>
          <w:tcPr>
            <w:tcW w:w="39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22"/>
              </w:rPr>
              <w:t>A többéves pénzügyi keret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Arial Narrow" w:hAnsi="Arial Narrow"/>
                <w:b/>
                <w:noProof/>
                <w:sz w:val="22"/>
              </w:rPr>
              <w:t>5. FEJEZETE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2020. év</w: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2021. év</w: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2022.</w:t>
            </w: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</w:rPr>
              <w:t>év</w: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2023-tól</w: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color w:val="0000FF"/>
                <w:sz w:val="16"/>
              </w:rPr>
              <w:t>A táblázat a hatás időtartamának megfelelően (vö. 1.6. pont) további évekkel bővíthető</w: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20"/>
              </w:rPr>
              <w:t>ÖSSZESEN</w:t>
            </w:r>
          </w:p>
        </w:tc>
      </w:tr>
      <w:tr w:rsidR="001E667A">
        <w:trPr>
          <w:trHeight w:val="289"/>
        </w:trPr>
        <w:tc>
          <w:tcPr>
            <w:tcW w:w="39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rFonts w:ascii="Arial Narrow" w:eastAsia="Times New Roman" w:hAnsi="Arial Narrow"/>
                <w:noProof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FTE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Előirányzatok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FTE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Előirányzatok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FTE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Előirányzatok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FTE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Előirányzatok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FTE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Előirányzatok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FTE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</w:rPr>
              <w:t>Előirányzatok</w:t>
            </w:r>
          </w:p>
        </w:tc>
      </w:tr>
      <w:tr w:rsidR="001E667A">
        <w:trPr>
          <w:trHeight w:val="289"/>
        </w:trPr>
        <w:tc>
          <w:tcPr>
            <w:tcW w:w="144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CCFFCC"/>
            <w:vAlign w:val="center"/>
          </w:tcPr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noProof/>
                <w:color w:val="008000"/>
                <w:sz w:val="20"/>
                <w:szCs w:val="24"/>
              </w:rPr>
              <w:sym w:font="Wingdings" w:char="F09F"/>
            </w:r>
            <w:r>
              <w:rPr>
                <w:rFonts w:ascii="Arial Narrow" w:hAnsi="Arial Narrow"/>
                <w:b/>
                <w:noProof/>
                <w:color w:val="008000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noProof/>
                <w:color w:val="008000"/>
                <w:sz w:val="22"/>
              </w:rPr>
              <w:t>A létszámtervben szereplő álláshelyek (tisztviselők és ideiglenes alkalmazottak)</w:t>
            </w:r>
          </w:p>
        </w:tc>
      </w:tr>
      <w:tr w:rsidR="001E667A">
        <w:trPr>
          <w:trHeight w:val="289"/>
        </w:trPr>
        <w:tc>
          <w:tcPr>
            <w:tcW w:w="33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i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02</w:t>
            </w:r>
            <w:r>
              <w:rPr>
                <w:rFonts w:ascii="Arial Narrow" w:hAnsi="Arial Narrow"/>
                <w:noProof/>
                <w:sz w:val="20"/>
              </w:rPr>
              <w:t xml:space="preserve"> 01 01 01 (a központban és a bizottsági képviseleteken) </w:t>
            </w:r>
            <w:r>
              <w:rPr>
                <w:rFonts w:ascii="Arial Narrow" w:hAnsi="Arial Narrow"/>
                <w:b/>
                <w:noProof/>
                <w:sz w:val="20"/>
              </w:rPr>
              <w:t>DG GROW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AD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0,690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0,690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4,5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0,621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0,552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</w:tr>
      <w:tr w:rsidR="001E667A">
        <w:trPr>
          <w:trHeight w:val="271"/>
        </w:trPr>
        <w:tc>
          <w:tcPr>
            <w:tcW w:w="3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rFonts w:ascii="Arial Narrow" w:eastAsia="Times New Roman" w:hAnsi="Arial Narrow"/>
                <w:i/>
                <w:noProof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A</w:t>
            </w:r>
            <w:r>
              <w:rPr>
                <w:rFonts w:ascii="Arial Narrow" w:hAnsi="Arial Narrow"/>
                <w:noProof/>
                <w:sz w:val="18"/>
              </w:rPr>
              <w:t>ST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0,097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0,097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0,069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0,069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</w:tr>
      <w:tr w:rsidR="001E667A">
        <w:trPr>
          <w:trHeight w:val="271"/>
        </w:trPr>
        <w:tc>
          <w:tcPr>
            <w:tcW w:w="33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02</w:t>
            </w:r>
            <w:r>
              <w:rPr>
                <w:rFonts w:ascii="Arial Narrow" w:hAnsi="Arial Narrow"/>
                <w:noProof/>
                <w:sz w:val="20"/>
              </w:rPr>
              <w:t xml:space="preserve"> 01 01 01 (a központban és a bizottsági képviseleteken) </w:t>
            </w:r>
            <w:r>
              <w:rPr>
                <w:rFonts w:ascii="Arial Narrow" w:hAnsi="Arial Narrow"/>
                <w:b/>
                <w:noProof/>
                <w:sz w:val="20"/>
              </w:rPr>
              <w:t>DG GROW – az európai uniós termékmegfelelőségi hálózat titkársága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8"/>
                <w:szCs w:val="24"/>
              </w:rPr>
            </w:pPr>
            <w:r>
              <w:rPr>
                <w:rFonts w:ascii="Arial Narrow" w:hAnsi="Arial Narrow"/>
                <w:noProof/>
                <w:sz w:val="18"/>
              </w:rPr>
              <w:t>AD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2,484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4,554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42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5,796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42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5,796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</w:tr>
      <w:tr w:rsidR="001E667A">
        <w:trPr>
          <w:trHeight w:val="271"/>
        </w:trPr>
        <w:tc>
          <w:tcPr>
            <w:tcW w:w="3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8"/>
                <w:szCs w:val="24"/>
              </w:rPr>
            </w:pPr>
            <w:r>
              <w:rPr>
                <w:rFonts w:ascii="Arial Narrow" w:hAnsi="Arial Narrow"/>
                <w:noProof/>
                <w:sz w:val="18"/>
              </w:rPr>
              <w:t>AST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0,552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0,966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1,380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1,380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</w:trPr>
        <w:tc>
          <w:tcPr>
            <w:tcW w:w="33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4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33</w:t>
            </w:r>
            <w:r>
              <w:rPr>
                <w:rFonts w:ascii="Arial Narrow" w:hAnsi="Arial Narrow"/>
                <w:noProof/>
                <w:sz w:val="20"/>
              </w:rPr>
              <w:t xml:space="preserve"> 01 01 01 (a központban és a bizottsági képviseleteken) </w:t>
            </w:r>
            <w:r>
              <w:rPr>
                <w:rFonts w:ascii="Arial Narrow" w:hAnsi="Arial Narrow"/>
                <w:b/>
                <w:noProof/>
                <w:sz w:val="20"/>
              </w:rPr>
              <w:t xml:space="preserve">DG JUST </w:t>
            </w:r>
            <w:r>
              <w:rPr>
                <w:rFonts w:ascii="Arial Narrow" w:hAnsi="Arial Narrow"/>
                <w:noProof/>
                <w:sz w:val="20"/>
              </w:rPr>
              <w:t>– a gazdasági szereplők önkéntes intézkedéseinek közzétételére szolgáló internetes portál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8"/>
                <w:szCs w:val="24"/>
              </w:rPr>
            </w:pPr>
            <w:r>
              <w:rPr>
                <w:rFonts w:ascii="Arial Narrow" w:hAnsi="Arial Narrow"/>
                <w:noProof/>
                <w:sz w:val="18"/>
              </w:rPr>
              <w:t>AD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0,069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0,069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0,069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</w:trPr>
        <w:tc>
          <w:tcPr>
            <w:tcW w:w="3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rFonts w:ascii="Arial Narrow" w:eastAsia="Times New Roman" w:hAnsi="Arial Narrow"/>
                <w:noProof/>
                <w:sz w:val="20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8"/>
                <w:szCs w:val="24"/>
              </w:rPr>
            </w:pPr>
            <w:r>
              <w:rPr>
                <w:rFonts w:ascii="Arial Narrow" w:hAnsi="Arial Narrow"/>
                <w:noProof/>
                <w:sz w:val="18"/>
              </w:rPr>
              <w:t>A</w:t>
            </w:r>
            <w:r>
              <w:rPr>
                <w:rFonts w:ascii="Arial Narrow" w:hAnsi="Arial Narrow"/>
                <w:noProof/>
                <w:sz w:val="18"/>
              </w:rPr>
              <w:t>ST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</w:trPr>
        <w:tc>
          <w:tcPr>
            <w:tcW w:w="33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i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XX 01 01 02 (uniós küldöttségeknél)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AD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</w:trPr>
        <w:tc>
          <w:tcPr>
            <w:tcW w:w="3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rFonts w:ascii="Arial Narrow" w:eastAsia="Times New Roman" w:hAnsi="Arial Narrow"/>
                <w:i/>
                <w:noProof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A</w:t>
            </w:r>
            <w:r>
              <w:rPr>
                <w:rFonts w:ascii="Arial Narrow" w:hAnsi="Arial Narrow"/>
                <w:noProof/>
                <w:sz w:val="18"/>
              </w:rPr>
              <w:t>ST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</w:trPr>
        <w:tc>
          <w:tcPr>
            <w:tcW w:w="144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FFFF99"/>
            <w:vAlign w:val="center"/>
          </w:tcPr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noProof/>
                <w:color w:val="FF6600"/>
                <w:sz w:val="20"/>
                <w:szCs w:val="24"/>
              </w:rPr>
              <w:sym w:font="Wingdings" w:char="F09F"/>
            </w:r>
            <w:r>
              <w:rPr>
                <w:rFonts w:ascii="Arial Narrow" w:hAnsi="Arial Narrow"/>
                <w:b/>
                <w:noProof/>
                <w:color w:val="FF6600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noProof/>
                <w:color w:val="FF6600"/>
                <w:sz w:val="22"/>
              </w:rPr>
              <w:t xml:space="preserve">Külső munkatársak </w:t>
            </w:r>
            <w:r>
              <w:rPr>
                <w:rStyle w:val="FootnoteReference"/>
                <w:noProof/>
              </w:rPr>
              <w:footnoteReference w:id="84"/>
            </w:r>
          </w:p>
        </w:tc>
      </w:tr>
      <w:tr w:rsidR="001E667A">
        <w:trPr>
          <w:trHeight w:val="289"/>
        </w:trPr>
        <w:tc>
          <w:tcPr>
            <w:tcW w:w="33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XX</w:t>
            </w:r>
            <w:r>
              <w:rPr>
                <w:rFonts w:ascii="Arial Narrow" w:hAnsi="Arial Narrow"/>
                <w:noProof/>
                <w:sz w:val="20"/>
              </w:rPr>
              <w:t xml:space="preserve"> 01 02 01 (a teljes keretből) </w:t>
            </w:r>
            <w:r>
              <w:rPr>
                <w:rFonts w:ascii="Arial Narrow" w:hAnsi="Arial Narrow"/>
                <w:b/>
                <w:noProof/>
                <w:sz w:val="20"/>
              </w:rPr>
              <w:t>Az európai uniós termékmegfelelőségi hálózat titkársága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AC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0,210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0,350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0,490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0,490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</w:trPr>
        <w:tc>
          <w:tcPr>
            <w:tcW w:w="3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E</w:t>
            </w:r>
            <w:r>
              <w:rPr>
                <w:rFonts w:ascii="Arial Narrow" w:hAnsi="Arial Narrow"/>
                <w:noProof/>
                <w:sz w:val="18"/>
              </w:rPr>
              <w:t>ND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pm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pm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pm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pm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pm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pm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pm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pm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</w:trPr>
        <w:tc>
          <w:tcPr>
            <w:tcW w:w="3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INT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</w:trPr>
        <w:tc>
          <w:tcPr>
            <w:tcW w:w="33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XX</w:t>
            </w:r>
            <w:r>
              <w:rPr>
                <w:rFonts w:ascii="Arial Narrow" w:hAnsi="Arial Narrow"/>
                <w:noProof/>
                <w:sz w:val="20"/>
              </w:rPr>
              <w:t xml:space="preserve"> 01 02 02 (uniós küldöttségeknél)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AC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</w:trPr>
        <w:tc>
          <w:tcPr>
            <w:tcW w:w="3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AL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</w:trPr>
        <w:tc>
          <w:tcPr>
            <w:tcW w:w="3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END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</w:trPr>
        <w:tc>
          <w:tcPr>
            <w:tcW w:w="3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I</w:t>
            </w:r>
            <w:r>
              <w:rPr>
                <w:rFonts w:ascii="Arial Narrow" w:hAnsi="Arial Narrow"/>
                <w:noProof/>
                <w:sz w:val="18"/>
              </w:rPr>
              <w:t>NT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</w:trPr>
        <w:tc>
          <w:tcPr>
            <w:tcW w:w="3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</w:rPr>
              <w:t>J</w:t>
            </w:r>
            <w:r>
              <w:rPr>
                <w:rFonts w:ascii="Arial Narrow" w:hAnsi="Arial Narrow"/>
                <w:noProof/>
                <w:sz w:val="18"/>
              </w:rPr>
              <w:t>ED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</w:tr>
      <w:tr w:rsidR="001E667A">
        <w:trPr>
          <w:trHeight w:val="221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Egyéb költségvetési tétel (</w:t>
            </w:r>
            <w:r>
              <w:rPr>
                <w:rFonts w:ascii="Arial Narrow" w:hAnsi="Arial Narrow"/>
                <w:i/>
                <w:noProof/>
                <w:sz w:val="20"/>
              </w:rPr>
              <w:t>kérjük megnevezni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</w:trPr>
        <w:tc>
          <w:tcPr>
            <w:tcW w:w="3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b/>
                <w:noProof/>
                <w:szCs w:val="24"/>
              </w:rPr>
            </w:pPr>
            <w:r>
              <w:rPr>
                <w:rFonts w:ascii="Arial Narrow" w:hAnsi="Arial Narrow"/>
                <w:noProof/>
                <w:sz w:val="22"/>
              </w:rPr>
              <w:t>A többéves pénzügyi keret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Arial Narrow" w:hAnsi="Arial Narrow"/>
                <w:b/>
                <w:noProof/>
                <w:sz w:val="22"/>
              </w:rPr>
              <w:t>5. FEJEZETÉNEK részösszege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30,7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4,033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51,2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6,726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64,5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8,425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64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8,356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CCFFFF" w:fill="auto"/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</w:tr>
    </w:tbl>
    <w:p w:rsidR="001E667A" w:rsidRDefault="005F0856">
      <w:pPr>
        <w:spacing w:before="0" w:after="0"/>
        <w:jc w:val="left"/>
        <w:rPr>
          <w:rFonts w:eastAsia="Times New Roman"/>
          <w:noProof/>
          <w:sz w:val="20"/>
          <w:szCs w:val="20"/>
        </w:rPr>
      </w:pPr>
      <w:r>
        <w:rPr>
          <w:b/>
          <w:noProof/>
          <w:color w:val="0000FF"/>
          <w:sz w:val="20"/>
        </w:rPr>
        <w:t>XX</w:t>
      </w:r>
      <w:r>
        <w:rPr>
          <w:noProof/>
          <w:sz w:val="20"/>
        </w:rPr>
        <w:t xml:space="preserve"> az érintett szakpolitikai terület vagy költségvetési cím.</w:t>
      </w:r>
    </w:p>
    <w:p w:rsidR="001E667A" w:rsidRDefault="005F0856">
      <w:pPr>
        <w:spacing w:before="0" w:after="0"/>
        <w:ind w:left="-540" w:right="-694"/>
        <w:jc w:val="left"/>
        <w:rPr>
          <w:rFonts w:eastAsia="Times New Roman"/>
          <w:noProof/>
          <w:szCs w:val="24"/>
        </w:rPr>
      </w:pPr>
      <w:r>
        <w:rPr>
          <w:noProof/>
          <w:sz w:val="18"/>
        </w:rPr>
        <w:t xml:space="preserve">A humánerőforrás-igényeknek az adott főigazgatóság rendelkezésére álló, az intézkedés irányításához rendelt és/vagy az adott főigazgatóságon belül átcsoportosított személyzettel kell eleget </w:t>
      </w:r>
      <w:r>
        <w:rPr>
          <w:noProof/>
          <w:sz w:val="18"/>
        </w:rPr>
        <w:t>tenni. A források adott esetben a meglévő költségvetési korlátok betartása mellett kiegészíthetők az éves elosztási eljárás keretében az irányító főigazgatósághoz rendelt további juttatásokkal.</w:t>
      </w:r>
    </w:p>
    <w:p w:rsidR="001E667A" w:rsidRDefault="001E667A">
      <w:pPr>
        <w:spacing w:before="0" w:after="0"/>
        <w:jc w:val="left"/>
        <w:rPr>
          <w:rFonts w:eastAsia="Times New Roman"/>
          <w:noProof/>
          <w:szCs w:val="24"/>
        </w:rPr>
        <w:sectPr w:rsidR="001E667A" w:rsidSect="005F0856">
          <w:headerReference w:type="default" r:id="rId29"/>
          <w:footerReference w:type="default" r:id="rId30"/>
          <w:headerReference w:type="first" r:id="rId31"/>
          <w:footerReference w:type="first" r:id="rId32"/>
          <w:pgSz w:w="15840" w:h="12240" w:orient="landscape"/>
          <w:pgMar w:top="1134" w:right="1134" w:bottom="1134" w:left="1134" w:header="709" w:footer="567" w:gutter="0"/>
          <w:cols w:space="720"/>
          <w:docGrid w:linePitch="326"/>
        </w:sectPr>
      </w:pPr>
    </w:p>
    <w:p w:rsidR="001E667A" w:rsidRDefault="005F0856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>
        <w:rPr>
          <w:noProof/>
        </w:rPr>
        <w:t>Az egyéb igazgatási kiadások költsége</w:t>
      </w:r>
    </w:p>
    <w:p w:rsidR="001E667A" w:rsidRDefault="005F0856">
      <w:pPr>
        <w:spacing w:before="0" w:after="0"/>
        <w:ind w:left="1979"/>
        <w:jc w:val="left"/>
        <w:rPr>
          <w:rFonts w:eastAsia="Times New Roman"/>
          <w:noProof/>
          <w:szCs w:val="24"/>
        </w:rPr>
      </w:pPr>
      <w:r>
        <w:rPr>
          <w:rFonts w:eastAsia="Times New Roman"/>
          <w:noProof/>
          <w:szCs w:val="24"/>
        </w:rPr>
        <w:sym w:font="Wingdings" w:char="F0A8"/>
      </w:r>
      <w:r>
        <w:rPr>
          <w:noProof/>
        </w:rPr>
        <w:tab/>
        <w:t>A javaslat/kezdeményezés nem vonja maga után igazgatási előirányzatok felhasználását.</w:t>
      </w:r>
    </w:p>
    <w:p w:rsidR="001E667A" w:rsidRDefault="005F0856">
      <w:pPr>
        <w:spacing w:before="0" w:after="0"/>
        <w:ind w:left="1979"/>
        <w:jc w:val="left"/>
        <w:rPr>
          <w:rFonts w:eastAsia="Times New Roman"/>
          <w:noProof/>
          <w:szCs w:val="24"/>
        </w:rPr>
      </w:pPr>
      <w:r>
        <w:rPr>
          <w:rFonts w:eastAsia="Times New Roman"/>
          <w:noProof/>
          <w:szCs w:val="24"/>
        </w:rPr>
        <w:sym w:font="Wingdings" w:char="F0FD"/>
      </w:r>
      <w:r>
        <w:rPr>
          <w:noProof/>
        </w:rPr>
        <w:tab/>
        <w:t>A javaslat/kezdeményezés az alábbi igazgatási előirányzatok felhasználását vonja maga után:</w:t>
      </w:r>
    </w:p>
    <w:p w:rsidR="001E667A" w:rsidRDefault="005F0856">
      <w:pPr>
        <w:spacing w:before="0" w:after="0"/>
        <w:jc w:val="right"/>
        <w:rPr>
          <w:rFonts w:eastAsia="Times New Roman"/>
          <w:noProof/>
          <w:sz w:val="20"/>
          <w:szCs w:val="20"/>
        </w:rPr>
      </w:pPr>
      <w:r>
        <w:rPr>
          <w:i/>
          <w:noProof/>
          <w:sz w:val="20"/>
        </w:rPr>
        <w:t>millió EUR (három tizedesjegyig)</w:t>
      </w:r>
    </w:p>
    <w:tbl>
      <w:tblPr>
        <w:tblW w:w="145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6"/>
        <w:gridCol w:w="993"/>
        <w:gridCol w:w="942"/>
        <w:gridCol w:w="992"/>
        <w:gridCol w:w="1185"/>
        <w:gridCol w:w="1185"/>
        <w:gridCol w:w="1185"/>
        <w:gridCol w:w="1031"/>
        <w:gridCol w:w="1122"/>
      </w:tblGrid>
      <w:tr w:rsidR="001E667A">
        <w:trPr>
          <w:trHeight w:val="289"/>
          <w:jc w:val="center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7A" w:rsidRDefault="001E667A">
            <w:pPr>
              <w:spacing w:before="40" w:after="40" w:line="276" w:lineRule="auto"/>
              <w:jc w:val="center"/>
              <w:rPr>
                <w:rFonts w:eastAsia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2020.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Arial Narrow" w:hAnsi="Arial Narrow"/>
                <w:noProof/>
                <w:sz w:val="20"/>
              </w:rPr>
              <w:t>év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2021.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Arial Narrow" w:hAnsi="Arial Narrow"/>
                <w:noProof/>
                <w:sz w:val="20"/>
              </w:rPr>
              <w:t>év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2022</w:t>
            </w:r>
            <w:r>
              <w:rPr>
                <w:noProof/>
              </w:rPr>
              <w:t xml:space="preserve">. </w:t>
            </w:r>
            <w:r>
              <w:rPr>
                <w:noProof/>
              </w:rPr>
              <w:br/>
            </w:r>
            <w:r>
              <w:rPr>
                <w:rFonts w:ascii="Arial Narrow" w:hAnsi="Arial Narrow"/>
                <w:noProof/>
                <w:sz w:val="20"/>
              </w:rPr>
              <w:t>év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2023.</w:t>
            </w:r>
            <w:r>
              <w:rPr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</w:rPr>
              <w:t>év</w:t>
            </w:r>
            <w:r>
              <w:rPr>
                <w:noProof/>
              </w:rPr>
              <w:br/>
            </w: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és azt követően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color w:val="0000FF"/>
                <w:sz w:val="20"/>
              </w:rPr>
              <w:t>A táblázat a hatás időtartamának megfelelően (vö. 1.6. pont) további évekkel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Arial Narrow" w:hAnsi="Arial Narrow"/>
                <w:noProof/>
                <w:color w:val="0000FF"/>
                <w:sz w:val="18"/>
              </w:rPr>
              <w:t xml:space="preserve"> bővíthető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</w:rPr>
              <w:t>ÖSSZESEN</w:t>
            </w:r>
          </w:p>
        </w:tc>
      </w:tr>
      <w:tr w:rsidR="001E667A">
        <w:trPr>
          <w:trHeight w:val="289"/>
          <w:jc w:val="center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i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2"/>
              </w:rPr>
              <w:t>A többéves pénzügyi keret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Arial Narrow" w:hAnsi="Arial Narrow"/>
                <w:b/>
                <w:noProof/>
                <w:sz w:val="22"/>
              </w:rPr>
              <w:t>5. FEJEZETE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CCFFCC" w:fill="auto"/>
          </w:tcPr>
          <w:p w:rsidR="001E667A" w:rsidRDefault="005F0856">
            <w:pPr>
              <w:spacing w:before="40" w:after="40" w:line="276" w:lineRule="auto"/>
              <w:jc w:val="left"/>
              <w:rPr>
                <w:rFonts w:ascii="Arial Narrow" w:eastAsia="Times New Roman" w:hAnsi="Arial Narrow"/>
                <w:b/>
                <w:i/>
                <w:noProof/>
                <w:color w:val="008000"/>
                <w:sz w:val="20"/>
                <w:szCs w:val="20"/>
              </w:rPr>
            </w:pPr>
            <w:r>
              <w:rPr>
                <w:noProof/>
              </w:rPr>
              <w:tab/>
            </w:r>
            <w:r>
              <w:rPr>
                <w:rFonts w:ascii="Arial Narrow" w:hAnsi="Arial Narrow"/>
                <w:b/>
                <w:noProof/>
                <w:color w:val="008000"/>
                <w:sz w:val="20"/>
                <w:u w:val="single"/>
              </w:rPr>
              <w:t>a központban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40" w:after="40" w:line="276" w:lineRule="auto"/>
              <w:jc w:val="left"/>
              <w:rPr>
                <w:rFonts w:ascii="Arial Narrow" w:eastAsia="Times New Roman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02</w:t>
            </w:r>
            <w:r>
              <w:rPr>
                <w:rFonts w:ascii="Arial Narrow" w:hAnsi="Arial Narrow"/>
                <w:noProof/>
                <w:sz w:val="20"/>
              </w:rPr>
              <w:t xml:space="preserve"> 01 02 11 01 – Kiküldetési és reprezentációs költségek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0,003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0,008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0,008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40" w:after="4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XX</w:t>
            </w:r>
            <w:r>
              <w:rPr>
                <w:rFonts w:ascii="Arial Narrow" w:hAnsi="Arial Narrow"/>
                <w:noProof/>
                <w:sz w:val="20"/>
              </w:rPr>
              <w:t xml:space="preserve"> 01 02 11 02 – Konferenciákkal és ülésekkel kapcsolatos költségek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40" w:after="4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02</w:t>
            </w:r>
            <w:r>
              <w:rPr>
                <w:rFonts w:ascii="Arial Narrow" w:hAnsi="Arial Narrow"/>
                <w:noProof/>
                <w:sz w:val="20"/>
              </w:rPr>
              <w:t xml:space="preserve"> 01 02 11 03 – Bizottságok</w:t>
            </w:r>
            <w:r>
              <w:rPr>
                <w:rStyle w:val="FootnoteReference"/>
                <w:noProof/>
              </w:rPr>
              <w:footnoteReference w:id="85"/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0,090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0,030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pm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40" w:after="4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0000FF"/>
                <w:sz w:val="20"/>
              </w:rPr>
              <w:t>XX</w:t>
            </w:r>
            <w:r>
              <w:rPr>
                <w:rFonts w:ascii="Arial Narrow" w:hAnsi="Arial Narrow"/>
                <w:noProof/>
                <w:sz w:val="20"/>
              </w:rPr>
              <w:t xml:space="preserve"> 01 02 11 04 – Tanulmányok és konzultációk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40" w:after="4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color w:val="1F497D"/>
                <w:sz w:val="20"/>
              </w:rPr>
              <w:t>XX</w:t>
            </w:r>
            <w:r>
              <w:rPr>
                <w:rFonts w:ascii="Arial Narrow" w:hAnsi="Arial Narrow"/>
                <w:noProof/>
                <w:sz w:val="20"/>
              </w:rPr>
              <w:t xml:space="preserve"> 01 02 11 05 – Információs és irányítási rendszerek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40" w:after="40" w:line="276" w:lineRule="auto"/>
              <w:jc w:val="left"/>
              <w:rPr>
                <w:rFonts w:ascii="Arial Narrow" w:eastAsia="Times New Roman" w:hAnsi="Arial Narrow"/>
                <w:noProof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XX 01 03 01 – IKT-berendezések és -szolgáltatások</w:t>
            </w:r>
            <w:r>
              <w:rPr>
                <w:rStyle w:val="FootnoteReference"/>
                <w:noProof/>
              </w:rPr>
              <w:footnoteReference w:id="86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40" w:after="4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Egyéb költségvetési tétel (</w:t>
            </w:r>
            <w:r>
              <w:rPr>
                <w:rFonts w:ascii="Arial Narrow" w:hAnsi="Arial Narrow"/>
                <w:i/>
                <w:noProof/>
                <w:sz w:val="20"/>
              </w:rPr>
              <w:t>kérjük megnevezni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CCFFCC" w:fill="auto"/>
            <w:vAlign w:val="center"/>
          </w:tcPr>
          <w:p w:rsidR="001E667A" w:rsidRDefault="005F0856">
            <w:pPr>
              <w:spacing w:before="20" w:after="20" w:line="276" w:lineRule="auto"/>
              <w:jc w:val="left"/>
              <w:rPr>
                <w:rFonts w:ascii="Arial Narrow" w:eastAsia="Times New Roman" w:hAnsi="Arial Narrow"/>
                <w:b/>
                <w:noProof/>
                <w:color w:val="008000"/>
                <w:sz w:val="20"/>
                <w:szCs w:val="20"/>
                <w:u w:val="single"/>
              </w:rPr>
            </w:pPr>
            <w:r>
              <w:rPr>
                <w:noProof/>
              </w:rPr>
              <w:tab/>
            </w:r>
            <w:r>
              <w:rPr>
                <w:rFonts w:ascii="Arial Narrow" w:hAnsi="Arial Narrow"/>
                <w:b/>
                <w:noProof/>
                <w:color w:val="008000"/>
                <w:sz w:val="20"/>
                <w:u w:val="single"/>
              </w:rPr>
              <w:t>uniós küldöttségeknél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40" w:after="4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XX 01 02 12 01 – Kiküldetési, konferencia- és reprezentációs költségek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40" w:after="4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XX 01 02 12 02 – A személyzet továbbképzése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40" w:after="40" w:line="276" w:lineRule="auto"/>
              <w:jc w:val="left"/>
              <w:rPr>
                <w:rFonts w:ascii="Arial Narrow" w:eastAsia="Times New Roman" w:hAnsi="Arial Narrow"/>
                <w:noProof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XX 01 03 02 01 – Ingatlanok vásárlása, bérlése és ezzel kapcsolatos kiadások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40" w:after="4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XX 01 03 02 02 – Bútorok, </w:t>
            </w:r>
            <w:r>
              <w:rPr>
                <w:rFonts w:ascii="Arial Narrow" w:hAnsi="Arial Narrow"/>
                <w:noProof/>
                <w:sz w:val="20"/>
              </w:rPr>
              <w:t>felszerelések, készletek és szolgáltatások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</w:rPr>
            </w:pPr>
          </w:p>
        </w:tc>
      </w:tr>
      <w:tr w:rsidR="001E667A">
        <w:trPr>
          <w:trHeight w:val="289"/>
          <w:jc w:val="center"/>
        </w:trPr>
        <w:tc>
          <w:tcPr>
            <w:tcW w:w="5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center"/>
              <w:rPr>
                <w:rFonts w:ascii="Arial Narrow" w:eastAsia="Times New Roman" w:hAnsi="Arial Narrow"/>
                <w:b/>
                <w:noProof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2"/>
              </w:rPr>
              <w:t>A többéves pénzügyi keret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rFonts w:ascii="Arial Narrow" w:hAnsi="Arial Narrow"/>
                <w:b/>
                <w:noProof/>
                <w:sz w:val="22"/>
              </w:rPr>
              <w:t>5. FEJEZETÉNEK részösszege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0,093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0,095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0,038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0,008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line="276" w:lineRule="auto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67A" w:rsidRDefault="001E667A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</w:rPr>
            </w:pPr>
          </w:p>
        </w:tc>
      </w:tr>
    </w:tbl>
    <w:p w:rsidR="001E667A" w:rsidRDefault="005F0856">
      <w:pPr>
        <w:spacing w:before="0" w:after="0"/>
        <w:jc w:val="left"/>
        <w:rPr>
          <w:rFonts w:eastAsia="Times New Roman"/>
          <w:noProof/>
          <w:szCs w:val="24"/>
        </w:rPr>
      </w:pPr>
      <w:r>
        <w:rPr>
          <w:b/>
          <w:noProof/>
          <w:color w:val="0000FF"/>
          <w:sz w:val="20"/>
        </w:rPr>
        <w:t>XX</w:t>
      </w:r>
      <w:r>
        <w:rPr>
          <w:noProof/>
          <w:sz w:val="20"/>
        </w:rPr>
        <w:t xml:space="preserve"> az érintett szakpolitikai terület vagy költségvetési cím.</w:t>
      </w:r>
      <w:r>
        <w:rPr>
          <w:noProof/>
        </w:rPr>
        <w:br w:type="page"/>
      </w:r>
    </w:p>
    <w:p w:rsidR="001E667A" w:rsidRDefault="001E667A">
      <w:pPr>
        <w:spacing w:before="0" w:after="0"/>
        <w:jc w:val="left"/>
        <w:rPr>
          <w:rFonts w:eastAsia="Times New Roman"/>
          <w:noProof/>
          <w:sz w:val="18"/>
          <w:szCs w:val="18"/>
        </w:rPr>
      </w:pPr>
    </w:p>
    <w:tbl>
      <w:tblPr>
        <w:tblW w:w="145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9"/>
        <w:gridCol w:w="1185"/>
        <w:gridCol w:w="1185"/>
        <w:gridCol w:w="1185"/>
        <w:gridCol w:w="1185"/>
        <w:gridCol w:w="1185"/>
        <w:gridCol w:w="1185"/>
        <w:gridCol w:w="1185"/>
        <w:gridCol w:w="1371"/>
      </w:tblGrid>
      <w:tr w:rsidR="001E667A">
        <w:trPr>
          <w:trHeight w:val="289"/>
          <w:jc w:val="center"/>
        </w:trPr>
        <w:tc>
          <w:tcPr>
            <w:tcW w:w="4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before="0" w:after="0"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>A többéves pénzügyi keret</w:t>
            </w:r>
          </w:p>
          <w:p w:rsidR="001E667A" w:rsidRDefault="005F0856">
            <w:pPr>
              <w:spacing w:before="0" w:after="0" w:line="276" w:lineRule="auto"/>
              <w:ind w:left="360"/>
              <w:jc w:val="center"/>
              <w:rPr>
                <w:rFonts w:ascii="Arial Narrow" w:eastAsia="Times New Roman" w:hAnsi="Arial Narrow"/>
                <w:b/>
                <w:noProof/>
                <w:sz w:val="22"/>
              </w:rPr>
            </w:pPr>
            <w:r>
              <w:rPr>
                <w:rFonts w:ascii="Arial Narrow" w:hAnsi="Arial Narrow"/>
                <w:b/>
                <w:noProof/>
                <w:sz w:val="22"/>
              </w:rPr>
              <w:t xml:space="preserve">5. FEJEZETÉBE beletartozó és </w:t>
            </w:r>
            <w:r>
              <w:rPr>
                <w:rFonts w:ascii="Arial Narrow" w:hAnsi="Arial Narrow"/>
                <w:b/>
                <w:noProof/>
                <w:sz w:val="22"/>
              </w:rPr>
              <w:t>bele nem tartozó előirányzatok</w:t>
            </w:r>
            <w:r>
              <w:rPr>
                <w:noProof/>
              </w:rPr>
              <w:br/>
            </w:r>
            <w:r>
              <w:rPr>
                <w:rFonts w:ascii="Arial Narrow" w:hAnsi="Arial Narrow"/>
                <w:b/>
                <w:noProof/>
                <w:sz w:val="22"/>
              </w:rPr>
              <w:t>ÖSSZESEN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4,126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6,821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8,463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5F0856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8,364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line="276" w:lineRule="auto"/>
              <w:ind w:left="360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67A" w:rsidRDefault="001E667A">
            <w:pPr>
              <w:spacing w:before="0" w:after="0" w:line="276" w:lineRule="auto"/>
              <w:ind w:left="360"/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</w:rPr>
            </w:pPr>
          </w:p>
        </w:tc>
      </w:tr>
    </w:tbl>
    <w:p w:rsidR="001E667A" w:rsidRDefault="001E667A">
      <w:pPr>
        <w:spacing w:before="60" w:after="0"/>
        <w:jc w:val="left"/>
        <w:rPr>
          <w:rFonts w:eastAsia="Times New Roman"/>
          <w:noProof/>
          <w:sz w:val="20"/>
          <w:szCs w:val="20"/>
        </w:rPr>
      </w:pPr>
    </w:p>
    <w:p w:rsidR="001E667A" w:rsidRDefault="005F0856">
      <w:pPr>
        <w:spacing w:before="0" w:after="0"/>
        <w:rPr>
          <w:rFonts w:eastAsia="Times New Roman"/>
          <w:iCs/>
          <w:noProof/>
          <w:sz w:val="18"/>
          <w:szCs w:val="18"/>
        </w:rPr>
      </w:pPr>
      <w:r>
        <w:rPr>
          <w:noProof/>
          <w:sz w:val="18"/>
        </w:rPr>
        <w:t xml:space="preserve">A szükséges igazgatási előirányzatokat a fellépés irányításához rendelt és/vagy az adott főigazgatóságon belül átcsoportosított előirányzatokkal biztosítják. Az előirányzatok adott </w:t>
      </w:r>
      <w:r>
        <w:rPr>
          <w:noProof/>
          <w:sz w:val="18"/>
        </w:rPr>
        <w:t>esetben a meglévő költségvetési korlátok betartása mellett kiegészíthetők az éves elosztási eljárás keretében az irányító főigazgatósághoz rendelt további juttatásokkal.</w:t>
      </w:r>
    </w:p>
    <w:p w:rsidR="001E667A" w:rsidRDefault="001E667A">
      <w:pPr>
        <w:spacing w:before="60" w:after="0"/>
        <w:ind w:left="-360" w:firstLine="900"/>
        <w:rPr>
          <w:rFonts w:eastAsia="Times New Roman"/>
          <w:noProof/>
          <w:sz w:val="20"/>
          <w:szCs w:val="20"/>
        </w:rPr>
      </w:pPr>
    </w:p>
    <w:p w:rsidR="001E667A" w:rsidRDefault="001E667A">
      <w:pPr>
        <w:spacing w:before="0" w:after="0"/>
        <w:jc w:val="left"/>
        <w:rPr>
          <w:rFonts w:eastAsia="Times New Roman"/>
          <w:noProof/>
          <w:szCs w:val="24"/>
        </w:rPr>
        <w:sectPr w:rsidR="001E667A" w:rsidSect="005F0856">
          <w:pgSz w:w="15840" w:h="12240" w:orient="landscape"/>
          <w:pgMar w:top="1418" w:right="1247" w:bottom="1418" w:left="1247" w:header="709" w:footer="709" w:gutter="0"/>
          <w:cols w:space="720"/>
          <w:docGrid w:linePitch="326"/>
        </w:sectPr>
      </w:pPr>
    </w:p>
    <w:p w:rsidR="001E667A" w:rsidRDefault="005F0856"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A költségek kiszámítására használt módszerek</w:t>
      </w:r>
    </w:p>
    <w:p w:rsidR="001E667A" w:rsidRDefault="005F0856"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Humánerőforr</w:t>
      </w:r>
      <w:r>
        <w:rPr>
          <w:noProof/>
        </w:rPr>
        <w:t>ás</w:t>
      </w:r>
    </w:p>
    <w:p w:rsidR="001E667A" w:rsidRDefault="005F0856">
      <w:pPr>
        <w:spacing w:before="0" w:after="60"/>
        <w:jc w:val="center"/>
        <w:rPr>
          <w:rFonts w:eastAsia="Times New Roman"/>
          <w:i/>
          <w:noProof/>
          <w:sz w:val="20"/>
          <w:szCs w:val="20"/>
        </w:rPr>
      </w:pPr>
      <w:r>
        <w:rPr>
          <w:i/>
          <w:noProof/>
          <w:sz w:val="20"/>
        </w:rPr>
        <w:t>Ez a rész ismerteti a szükségesnek tartott humán erőforrások becslésére használt számítási módszert (a munkateherre vonatkozó feltevések, beleértve a konkrét álláshelyeket (Sysper 2 munkakörök), a személyzeti kategóriákat és az azoknak megfelelő átlagos</w:t>
      </w:r>
      <w:r>
        <w:rPr>
          <w:i/>
          <w:noProof/>
          <w:sz w:val="20"/>
        </w:rPr>
        <w:t xml:space="preserve"> költségeket)</w:t>
      </w:r>
    </w:p>
    <w:p w:rsidR="001E667A" w:rsidRDefault="001E667A">
      <w:pPr>
        <w:spacing w:before="0" w:after="60"/>
        <w:ind w:left="540"/>
        <w:jc w:val="center"/>
        <w:rPr>
          <w:rFonts w:eastAsia="Times New Roman"/>
          <w:i/>
          <w:noProof/>
          <w:sz w:val="20"/>
          <w:szCs w:val="20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1E667A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E667A" w:rsidRDefault="005F0856">
            <w:pPr>
              <w:spacing w:before="60" w:after="60" w:line="276" w:lineRule="auto"/>
              <w:jc w:val="left"/>
              <w:rPr>
                <w:rFonts w:ascii="Arial Narrow" w:eastAsia="Times New Roman" w:hAnsi="Arial Narrow"/>
                <w:b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 xml:space="preserve">A többéves pénzügyi keret </w:t>
            </w:r>
            <w:r>
              <w:rPr>
                <w:rFonts w:ascii="Arial Narrow" w:hAnsi="Arial Narrow"/>
                <w:b/>
                <w:noProof/>
                <w:sz w:val="22"/>
              </w:rPr>
              <w:t>5. FEJEZETE</w:t>
            </w:r>
          </w:p>
        </w:tc>
      </w:tr>
      <w:tr w:rsidR="001E667A">
        <w:trPr>
          <w:jc w:val="center"/>
        </w:trPr>
        <w:tc>
          <w:tcPr>
            <w:tcW w:w="92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E667A" w:rsidRDefault="005F0856">
            <w:pPr>
              <w:spacing w:before="20" w:after="20" w:line="276" w:lineRule="auto"/>
              <w:jc w:val="center"/>
              <w:rPr>
                <w:rFonts w:ascii="Arial Narrow" w:eastAsia="Times New Roman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u w:val="single"/>
              </w:rPr>
              <w:t>NB:</w:t>
            </w:r>
            <w:r>
              <w:rPr>
                <w:rFonts w:ascii="Arial Narrow" w:hAnsi="Arial Narrow"/>
                <w:noProof/>
                <w:sz w:val="18"/>
              </w:rPr>
              <w:t xml:space="preserve"> A központban foglalkoztatott egyes személyzeti kategóriák átlagköltségei a Költségvetési Főigazgatóság honlapján érhetők el:</w:t>
            </w:r>
          </w:p>
          <w:p w:rsidR="001E667A" w:rsidRDefault="005F0856">
            <w:pPr>
              <w:spacing w:before="0" w:after="20" w:line="276" w:lineRule="auto"/>
              <w:jc w:val="center"/>
              <w:rPr>
                <w:rFonts w:ascii="Arial Narrow" w:eastAsia="Times New Roman" w:hAnsi="Arial Narrow"/>
                <w:noProof/>
                <w:sz w:val="18"/>
                <w:szCs w:val="18"/>
              </w:rPr>
            </w:pPr>
            <w:hyperlink r:id="rId33">
              <w:r>
                <w:rPr>
                  <w:rStyle w:val="Hyperlink"/>
                  <w:rFonts w:ascii="Arial Narrow" w:hAnsi="Arial Narrow"/>
                  <w:noProof/>
                  <w:color w:val="0000FF"/>
                  <w:sz w:val="18"/>
                  <w:u w:val="single"/>
                </w:rPr>
                <w:t>https://myintracomm.ec.europa.eu/budgweb/EN/pre/legalbasis/Pages/pre-040-020_preparation.aspx</w:t>
              </w:r>
            </w:hyperlink>
          </w:p>
        </w:tc>
      </w:tr>
      <w:tr w:rsidR="001E667A">
        <w:trPr>
          <w:jc w:val="center"/>
        </w:trPr>
        <w:tc>
          <w:tcPr>
            <w:tcW w:w="92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E667A" w:rsidRDefault="005F0856">
            <w:pPr>
              <w:spacing w:before="40" w:after="0" w:line="276" w:lineRule="auto"/>
              <w:jc w:val="left"/>
              <w:rPr>
                <w:rFonts w:ascii="Arial Narrow" w:eastAsia="Times New Roman" w:hAnsi="Arial Narrow"/>
                <w:bCs/>
                <w:iCs/>
                <w:noProof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noProof/>
                <w:szCs w:val="24"/>
              </w:rPr>
              <w:sym w:font="Wingdings" w:char="F09F"/>
            </w:r>
            <w:r>
              <w:rPr>
                <w:rFonts w:ascii="Arial Narrow" w:hAnsi="Arial Narrow"/>
                <w:b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sz w:val="22"/>
              </w:rPr>
              <w:t>Tisztviselők és ideiglenes alkalmazottak</w:t>
            </w:r>
          </w:p>
          <w:p w:rsidR="001E667A" w:rsidRDefault="001E667A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  <w:u w:val="single"/>
              </w:rPr>
            </w:pPr>
          </w:p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u w:val="single"/>
              </w:rPr>
              <w:t>Bizottság igazgatása, végrehajtási/felhatalmazáson alapuló jogi aktusok:</w:t>
            </w:r>
            <w:r>
              <w:rPr>
                <w:rFonts w:ascii="Arial Narrow" w:hAnsi="Arial Narrow"/>
                <w:noProof/>
                <w:sz w:val="20"/>
              </w:rPr>
              <w:t xml:space="preserve"> 2020-ban: 1 AD, 0,2 AST; 2021-ben: 1 AD, 0,2 AST; 2022-ben: 0,5 AD </w:t>
            </w:r>
          </w:p>
          <w:p w:rsidR="001E667A" w:rsidRDefault="001E667A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  <w:u w:val="single"/>
              </w:rPr>
            </w:pPr>
          </w:p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u w:val="single"/>
              </w:rPr>
              <w:t>Kísérleti nemzeti végrehajtási stratégiák, teljesítménymutatók, referenciaszintekre vonatkozó tanulmány: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</w:p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első kís</w:t>
            </w:r>
            <w:r>
              <w:rPr>
                <w:rFonts w:ascii="Arial Narrow" w:hAnsi="Arial Narrow"/>
                <w:noProof/>
                <w:sz w:val="20"/>
              </w:rPr>
              <w:t>érleti stratégiák 2020-ban: 1 AD 2020-ban és 2021-ben</w:t>
            </w:r>
          </w:p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2021-től folyamatos támogatás az új stratégiákhoz (1 AD) </w:t>
            </w:r>
          </w:p>
          <w:p w:rsidR="001E667A" w:rsidRDefault="001E667A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  <w:u w:val="single"/>
              </w:rPr>
            </w:pPr>
          </w:p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u w:val="single"/>
              </w:rPr>
              <w:t>Piacfelügyeleti politika</w:t>
            </w:r>
          </w:p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Piacfelügyeleti politika fejlesztése, bővítéssel kapcsolatos és nemzetközi vonatkozások, a rendelet végrehajtásának ny</w:t>
            </w:r>
            <w:r>
              <w:rPr>
                <w:rFonts w:ascii="Arial Narrow" w:hAnsi="Arial Narrow"/>
                <w:noProof/>
                <w:sz w:val="20"/>
              </w:rPr>
              <w:t>omon követése; bizottsági képviselet az EUPC testületben és kapcsolattartás a hálózattal; a kölcsönös segítségnyújtás iránti megkeresési/védintézkedési ügyek kezelése, a szakértői vizsgálatok megállapításainak nyomon követése: 3 AD/év, 0,5 AST 2020-tól</w:t>
            </w:r>
          </w:p>
          <w:p w:rsidR="001E667A" w:rsidRDefault="001E667A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u w:val="single"/>
              </w:rPr>
              <w:t>Az</w:t>
            </w:r>
            <w:r>
              <w:rPr>
                <w:rFonts w:ascii="Arial Narrow" w:hAnsi="Arial Narrow"/>
                <w:noProof/>
                <w:sz w:val="20"/>
                <w:u w:val="single"/>
              </w:rPr>
              <w:t xml:space="preserve"> európai uniós termékmegfelelőségi hálózat titkársága</w:t>
            </w:r>
            <w:r>
              <w:rPr>
                <w:rFonts w:ascii="Arial Narrow" w:hAnsi="Arial Narrow"/>
                <w:noProof/>
                <w:sz w:val="20"/>
              </w:rPr>
              <w:t>:</w:t>
            </w:r>
          </w:p>
          <w:p w:rsidR="001E667A" w:rsidRDefault="001E667A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AD munkatársak: 2020-ban: 18, 2021-ben: +15 (összesen: 33), 2022-ben: +9 (összesen: 42). 2023-től kezdődően: 42</w:t>
            </w:r>
          </w:p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AST munkatársak: 2020-ban: 4, 2021-ben: +3 (összesen: 7), 2022-ben: +3 (összesen: 10). </w:t>
            </w:r>
            <w:r>
              <w:rPr>
                <w:rFonts w:ascii="Arial Narrow" w:hAnsi="Arial Narrow"/>
                <w:noProof/>
                <w:sz w:val="20"/>
              </w:rPr>
              <w:t>2023-től kezdődően: 10</w:t>
            </w:r>
          </w:p>
          <w:p w:rsidR="001E667A" w:rsidRDefault="001E667A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</w:rPr>
              <w:t>DG JUST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u w:val="single"/>
              </w:rPr>
              <w:t>RAPEX önkéntes portál</w:t>
            </w:r>
            <w:r>
              <w:rPr>
                <w:rFonts w:ascii="Arial Narrow" w:hAnsi="Arial Narrow"/>
                <w:noProof/>
                <w:sz w:val="20"/>
              </w:rPr>
              <w:t xml:space="preserve"> tartalom nyomon követése/ellenőrzése: 2021-től: 0,5 AD/év</w:t>
            </w:r>
          </w:p>
          <w:p w:rsidR="001E667A" w:rsidRDefault="001E667A">
            <w:pPr>
              <w:spacing w:before="60" w:after="0" w:line="276" w:lineRule="auto"/>
              <w:jc w:val="left"/>
              <w:rPr>
                <w:rFonts w:ascii="Arial Narrow" w:eastAsia="Times New Roman" w:hAnsi="Arial Narrow"/>
                <w:noProof/>
                <w:sz w:val="18"/>
                <w:szCs w:val="18"/>
                <w:u w:val="single"/>
              </w:rPr>
            </w:pPr>
          </w:p>
        </w:tc>
      </w:tr>
      <w:tr w:rsidR="001E667A">
        <w:trPr>
          <w:jc w:val="center"/>
        </w:trPr>
        <w:tc>
          <w:tcPr>
            <w:tcW w:w="92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before="40" w:after="0" w:line="276" w:lineRule="auto"/>
              <w:jc w:val="left"/>
              <w:rPr>
                <w:rFonts w:ascii="Arial Narrow" w:eastAsia="Times New Roman" w:hAnsi="Arial Narrow"/>
                <w:noProof/>
                <w:sz w:val="22"/>
                <w:szCs w:val="24"/>
              </w:rPr>
            </w:pPr>
            <w:r>
              <w:rPr>
                <w:rFonts w:ascii="Arial Narrow" w:eastAsia="Times New Roman" w:hAnsi="Arial Narrow"/>
                <w:b/>
                <w:noProof/>
                <w:szCs w:val="24"/>
              </w:rPr>
              <w:sym w:font="Wingdings" w:char="F09F"/>
            </w:r>
            <w:r>
              <w:rPr>
                <w:rFonts w:ascii="Arial Narrow" w:hAnsi="Arial Narrow"/>
                <w:b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sz w:val="22"/>
              </w:rPr>
              <w:t xml:space="preserve">Külső munkatársak </w:t>
            </w:r>
          </w:p>
          <w:p w:rsidR="001E667A" w:rsidRDefault="001E667A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  <w:u w:val="single"/>
              </w:rPr>
            </w:pPr>
          </w:p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u w:val="single"/>
              </w:rPr>
              <w:t>Európai uniós termékmegfelelőségi hálózat</w:t>
            </w:r>
          </w:p>
          <w:p w:rsidR="001E667A" w:rsidRDefault="005F0856">
            <w:pPr>
              <w:spacing w:before="4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Szerződéses alkalmazottak: 2020: 3, 2021: +2 (összesen: 5), 2022: +2 (összesen: 7), 2023-tól: összesen: 7/év. </w:t>
            </w:r>
          </w:p>
          <w:p w:rsidR="001E667A" w:rsidRDefault="001E667A">
            <w:pPr>
              <w:spacing w:before="40" w:after="0" w:line="276" w:lineRule="auto"/>
              <w:jc w:val="left"/>
              <w:rPr>
                <w:rFonts w:ascii="Arial Narrow" w:eastAsia="Times New Roman" w:hAnsi="Arial Narrow"/>
                <w:noProof/>
                <w:sz w:val="22"/>
                <w:szCs w:val="24"/>
              </w:rPr>
            </w:pPr>
          </w:p>
          <w:p w:rsidR="001E667A" w:rsidRDefault="005F0856">
            <w:pPr>
              <w:spacing w:before="4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</w:rPr>
              <w:t>Kirendelt nemzeti szakértők: pm. A kirendelt nemzeti szakértők (SNE) az európai uniós termékmegfelelőségi hálózat hasznára válhatnak, a humánerő</w:t>
            </w:r>
            <w:r>
              <w:rPr>
                <w:rFonts w:ascii="Arial Narrow" w:hAnsi="Arial Narrow"/>
                <w:noProof/>
                <w:sz w:val="20"/>
              </w:rPr>
              <w:t>forrás-igény részletekre bontása, különösen a hálózat beindítása tekintetében azonban meglehetősen nehéz. Bizonytalan azon munkatársak száma, akiket a hatóságok ki tudnának rendelni arra, hogy a hálózat szervezetének részét alkossák. A hálózat előtt álló l</w:t>
            </w:r>
            <w:r>
              <w:rPr>
                <w:rFonts w:ascii="Arial Narrow" w:hAnsi="Arial Narrow"/>
                <w:noProof/>
                <w:sz w:val="20"/>
              </w:rPr>
              <w:t>egfontosabb problémát a hatóságok által a több országot érintő együttműködésekre mozgósítható erőforrások rendkívül alacsony szintje jelenti (pl. kevés jelölt a közigazgatási együttműködési csoportok vezetésére és projektkoordinátornak, valamint hiányoznak</w:t>
            </w:r>
            <w:r>
              <w:rPr>
                <w:rFonts w:ascii="Arial Narrow" w:hAnsi="Arial Narrow"/>
                <w:noProof/>
                <w:sz w:val="20"/>
              </w:rPr>
              <w:t xml:space="preserve"> az uniós projektek koordinálásához szükséges készségek). A kirendelés lehetőségét azonban nyitva kell hagyni (pm).</w:t>
            </w:r>
          </w:p>
          <w:p w:rsidR="001E667A" w:rsidRDefault="001E667A">
            <w:pPr>
              <w:spacing w:before="40" w:after="0" w:line="276" w:lineRule="auto"/>
              <w:jc w:val="left"/>
              <w:rPr>
                <w:rFonts w:ascii="Arial Narrow" w:eastAsia="Times New Roman" w:hAnsi="Arial Narrow"/>
                <w:noProof/>
                <w:sz w:val="22"/>
                <w:szCs w:val="24"/>
              </w:rPr>
            </w:pPr>
          </w:p>
          <w:p w:rsidR="001E667A" w:rsidRDefault="005F0856">
            <w:pPr>
              <w:spacing w:before="40" w:after="0" w:line="276" w:lineRule="auto"/>
              <w:jc w:val="left"/>
              <w:rPr>
                <w:rFonts w:ascii="Arial Narrow" w:eastAsia="Times New Roman" w:hAnsi="Arial Narrow"/>
                <w:noProof/>
                <w:sz w:val="22"/>
                <w:szCs w:val="24"/>
              </w:rPr>
            </w:pPr>
            <w:r>
              <w:rPr>
                <w:rFonts w:ascii="Arial Narrow" w:hAnsi="Arial Narrow"/>
                <w:noProof/>
                <w:sz w:val="22"/>
              </w:rPr>
              <w:t xml:space="preserve">Megjegyzés: az 5. fejezetre tervezett belső IKT-személyzet </w:t>
            </w:r>
            <w:r>
              <w:rPr>
                <w:rFonts w:ascii="Arial Narrow" w:hAnsi="Arial Narrow"/>
                <w:noProof/>
                <w:sz w:val="22"/>
                <w:u w:val="single"/>
              </w:rPr>
              <w:t>nem</w:t>
            </w:r>
            <w:r>
              <w:rPr>
                <w:rFonts w:ascii="Arial Narrow" w:hAnsi="Arial Narrow"/>
                <w:noProof/>
                <w:sz w:val="22"/>
              </w:rPr>
              <w:t xml:space="preserve"> szerepel a külsős munkatársak soron – az </w:t>
            </w:r>
            <w:r>
              <w:rPr>
                <w:rFonts w:ascii="Arial Narrow" w:hAnsi="Arial Narrow"/>
                <w:b/>
                <w:noProof/>
                <w:sz w:val="22"/>
              </w:rPr>
              <w:t>operatív költségvetés</w:t>
            </w:r>
            <w:r>
              <w:rPr>
                <w:rFonts w:ascii="Arial Narrow" w:hAnsi="Arial Narrow"/>
                <w:noProof/>
                <w:sz w:val="22"/>
              </w:rPr>
              <w:t xml:space="preserve"> sorra tervezv</w:t>
            </w:r>
            <w:r>
              <w:rPr>
                <w:rFonts w:ascii="Arial Narrow" w:hAnsi="Arial Narrow"/>
                <w:noProof/>
                <w:sz w:val="22"/>
              </w:rPr>
              <w:t xml:space="preserve">e </w:t>
            </w:r>
          </w:p>
          <w:p w:rsidR="001E667A" w:rsidRDefault="005F0856">
            <w:pPr>
              <w:spacing w:before="4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2"/>
              </w:rPr>
              <w:t xml:space="preserve">(az európai uniós termékmegfelelőségi hálózat kapcsán felmerülő informatikai költségek egy része; </w:t>
            </w:r>
            <w:r>
              <w:rPr>
                <w:rFonts w:ascii="Arial Narrow" w:hAnsi="Arial Narrow"/>
                <w:noProof/>
                <w:sz w:val="20"/>
                <w:u w:val="single"/>
              </w:rPr>
              <w:t>DG JUST: az önkéntes RAPEX portál fenntartása:</w:t>
            </w:r>
            <w:r>
              <w:rPr>
                <w:rFonts w:ascii="Arial Narrow" w:hAnsi="Arial Narrow"/>
                <w:noProof/>
                <w:sz w:val="20"/>
              </w:rPr>
              <w:t xml:space="preserve"> 2021-től 0,2 AC/ év (a jelenlegi többéves pénzügyi keretben szereplő fogyasztóvédelmi program 33 04)).</w:t>
            </w:r>
          </w:p>
        </w:tc>
      </w:tr>
    </w:tbl>
    <w:p w:rsidR="001E667A" w:rsidRDefault="001E667A">
      <w:pPr>
        <w:spacing w:before="0" w:after="0"/>
        <w:jc w:val="left"/>
        <w:rPr>
          <w:rFonts w:ascii="Arial Narrow" w:eastAsia="Times New Roman" w:hAnsi="Arial Narrow"/>
          <w:noProof/>
          <w:szCs w:val="24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1E667A">
        <w:trPr>
          <w:jc w:val="center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E667A" w:rsidRDefault="005F0856">
            <w:pPr>
              <w:spacing w:before="60" w:after="60" w:line="276" w:lineRule="auto"/>
              <w:jc w:val="left"/>
              <w:rPr>
                <w:rFonts w:ascii="Arial Narrow" w:eastAsia="Times New Roman" w:hAnsi="Arial Narrow"/>
                <w:b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 xml:space="preserve">A </w:t>
            </w:r>
            <w:r>
              <w:rPr>
                <w:rFonts w:ascii="Arial Narrow" w:hAnsi="Arial Narrow"/>
                <w:noProof/>
                <w:sz w:val="22"/>
              </w:rPr>
              <w:t>többéves pénzügyi keret</w:t>
            </w:r>
            <w:r>
              <w:rPr>
                <w:noProof/>
              </w:rPr>
              <w:t xml:space="preserve"> </w:t>
            </w:r>
            <w:r>
              <w:rPr>
                <w:rFonts w:ascii="Arial Narrow" w:hAnsi="Arial Narrow"/>
                <w:b/>
                <w:noProof/>
                <w:sz w:val="22"/>
              </w:rPr>
              <w:t>5. FEJEZETÉBE bele nem tartozó előirányzatok</w:t>
            </w:r>
          </w:p>
        </w:tc>
      </w:tr>
      <w:tr w:rsidR="001E667A">
        <w:trPr>
          <w:jc w:val="center"/>
        </w:trPr>
        <w:tc>
          <w:tcPr>
            <w:tcW w:w="92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E667A" w:rsidRDefault="005F0856">
            <w:pPr>
              <w:spacing w:before="40" w:after="0" w:line="276" w:lineRule="auto"/>
              <w:jc w:val="left"/>
              <w:rPr>
                <w:rFonts w:ascii="Arial Narrow" w:eastAsia="Times New Roman" w:hAnsi="Arial Narrow"/>
                <w:bCs/>
                <w:iCs/>
                <w:noProof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noProof/>
                <w:szCs w:val="24"/>
              </w:rPr>
              <w:sym w:font="Wingdings" w:char="F09F"/>
            </w:r>
            <w:r>
              <w:rPr>
                <w:rFonts w:ascii="Arial Narrow" w:hAnsi="Arial Narrow"/>
                <w:b/>
                <w:noProof/>
              </w:rPr>
              <w:t xml:space="preserve"> </w:t>
            </w:r>
            <w:r>
              <w:rPr>
                <w:rFonts w:ascii="Arial Narrow" w:hAnsi="Arial Narrow"/>
                <w:noProof/>
              </w:rPr>
              <w:t>Csak a kutatási költségvetésből finanszírozott álláshelyek</w:t>
            </w:r>
            <w:r>
              <w:rPr>
                <w:rFonts w:ascii="Arial Narrow" w:hAnsi="Arial Narrow"/>
                <w:noProof/>
                <w:sz w:val="22"/>
              </w:rPr>
              <w:t xml:space="preserve"> </w:t>
            </w:r>
          </w:p>
          <w:p w:rsidR="001E667A" w:rsidRDefault="001E667A">
            <w:pPr>
              <w:spacing w:before="60" w:after="0" w:line="276" w:lineRule="auto"/>
              <w:jc w:val="left"/>
              <w:rPr>
                <w:rFonts w:ascii="Arial Narrow" w:eastAsia="Times New Roman" w:hAnsi="Arial Narrow"/>
                <w:noProof/>
                <w:sz w:val="18"/>
                <w:szCs w:val="18"/>
                <w:u w:val="single"/>
              </w:rPr>
            </w:pPr>
          </w:p>
        </w:tc>
      </w:tr>
      <w:tr w:rsidR="001E667A">
        <w:trPr>
          <w:jc w:val="center"/>
        </w:trPr>
        <w:tc>
          <w:tcPr>
            <w:tcW w:w="92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before="4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noProof/>
                <w:szCs w:val="24"/>
              </w:rPr>
              <w:sym w:font="Wingdings" w:char="F09F"/>
            </w:r>
            <w:r>
              <w:rPr>
                <w:rFonts w:ascii="Arial Narrow" w:hAnsi="Arial Narrow"/>
                <w:b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sz w:val="22"/>
              </w:rPr>
              <w:t>Külső munkatársak</w:t>
            </w:r>
          </w:p>
          <w:p w:rsidR="001E667A" w:rsidRDefault="001E667A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  <w:u w:val="single"/>
              </w:rPr>
            </w:pPr>
          </w:p>
          <w:p w:rsidR="001E667A" w:rsidRDefault="001E667A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  <w:u w:val="single"/>
              </w:rPr>
            </w:pPr>
          </w:p>
          <w:p w:rsidR="001E667A" w:rsidRDefault="001E667A">
            <w:pPr>
              <w:spacing w:before="60" w:after="0" w:line="276" w:lineRule="auto"/>
              <w:jc w:val="left"/>
              <w:rPr>
                <w:rFonts w:ascii="Arial Narrow" w:eastAsia="Times New Roman" w:hAnsi="Arial Narrow"/>
                <w:noProof/>
                <w:sz w:val="18"/>
                <w:szCs w:val="18"/>
                <w:u w:val="single"/>
              </w:rPr>
            </w:pPr>
          </w:p>
        </w:tc>
      </w:tr>
    </w:tbl>
    <w:p w:rsidR="001E667A" w:rsidRDefault="001E667A">
      <w:pPr>
        <w:spacing w:before="60" w:after="0"/>
        <w:ind w:left="-360" w:firstLine="900"/>
        <w:rPr>
          <w:rFonts w:eastAsia="Times New Roman"/>
          <w:noProof/>
          <w:sz w:val="20"/>
          <w:szCs w:val="20"/>
        </w:rPr>
      </w:pPr>
    </w:p>
    <w:p w:rsidR="001E667A" w:rsidRDefault="005F0856"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Egyéb igazgatási kiadások</w:t>
      </w:r>
    </w:p>
    <w:p w:rsidR="001E667A" w:rsidRDefault="001E667A">
      <w:pPr>
        <w:spacing w:before="0" w:after="0"/>
        <w:ind w:left="-357" w:firstLine="902"/>
        <w:rPr>
          <w:rFonts w:eastAsia="Times New Roman"/>
          <w:noProof/>
          <w:sz w:val="20"/>
          <w:szCs w:val="20"/>
        </w:rPr>
      </w:pPr>
    </w:p>
    <w:p w:rsidR="001E667A" w:rsidRDefault="005F0856">
      <w:pPr>
        <w:spacing w:before="60" w:after="0"/>
        <w:ind w:left="539"/>
        <w:jc w:val="center"/>
        <w:rPr>
          <w:rFonts w:eastAsia="Times New Roman"/>
          <w:i/>
          <w:noProof/>
          <w:sz w:val="20"/>
          <w:szCs w:val="20"/>
        </w:rPr>
      </w:pPr>
      <w:r>
        <w:rPr>
          <w:i/>
          <w:noProof/>
          <w:sz w:val="20"/>
        </w:rPr>
        <w:t xml:space="preserve">Adja meg az egyes költségvetési sorok esetében alkalmazott számítási módszer részleteit, </w:t>
      </w:r>
    </w:p>
    <w:p w:rsidR="001E667A" w:rsidRDefault="005F0856">
      <w:pPr>
        <w:spacing w:before="0" w:after="60"/>
        <w:ind w:left="539"/>
        <w:jc w:val="center"/>
        <w:rPr>
          <w:rFonts w:eastAsia="Times New Roman"/>
          <w:i/>
          <w:noProof/>
          <w:sz w:val="20"/>
          <w:szCs w:val="20"/>
        </w:rPr>
      </w:pPr>
      <w:r>
        <w:rPr>
          <w:i/>
          <w:noProof/>
          <w:sz w:val="20"/>
        </w:rPr>
        <w:t>és különösen az azokat alátámasztó feltételezéseket (pl. ülések száma évente, átlagköltségek stb.)</w:t>
      </w: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7"/>
      </w:tblGrid>
      <w:tr w:rsidR="001E667A">
        <w:trPr>
          <w:jc w:val="center"/>
        </w:trPr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E667A" w:rsidRDefault="005F0856">
            <w:pPr>
              <w:spacing w:before="60" w:after="60" w:line="276" w:lineRule="auto"/>
              <w:jc w:val="left"/>
              <w:rPr>
                <w:rFonts w:ascii="Arial Narrow" w:eastAsia="Times New Roman" w:hAnsi="Arial Narrow"/>
                <w:b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>A többéves pénzügyi keret</w:t>
            </w:r>
            <w:r>
              <w:rPr>
                <w:noProof/>
              </w:rPr>
              <w:t xml:space="preserve"> </w:t>
            </w:r>
            <w:r>
              <w:rPr>
                <w:rFonts w:ascii="Arial Narrow" w:hAnsi="Arial Narrow"/>
                <w:b/>
                <w:noProof/>
                <w:sz w:val="22"/>
              </w:rPr>
              <w:t>5. FEJEZETE</w:t>
            </w:r>
          </w:p>
        </w:tc>
      </w:tr>
      <w:tr w:rsidR="001E667A">
        <w:trPr>
          <w:jc w:val="center"/>
        </w:trPr>
        <w:tc>
          <w:tcPr>
            <w:tcW w:w="95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2"/>
                <w:u w:val="single"/>
              </w:rPr>
            </w:pPr>
          </w:p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2"/>
                <w:u w:val="single"/>
              </w:rPr>
            </w:pPr>
            <w:r>
              <w:rPr>
                <w:rFonts w:ascii="Arial Narrow" w:hAnsi="Arial Narrow"/>
                <w:noProof/>
                <w:sz w:val="22"/>
                <w:u w:val="single"/>
              </w:rPr>
              <w:t xml:space="preserve">A bizottság ülései: </w:t>
            </w:r>
            <w:r>
              <w:rPr>
                <w:rFonts w:ascii="Arial Narrow" w:hAnsi="Arial Narrow"/>
                <w:noProof/>
                <w:sz w:val="22"/>
              </w:rPr>
              <w:t>vitákra, a végrehajtási/felhatalmazáson alapuló jogi aktusok elfogadására</w:t>
            </w:r>
          </w:p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>30 000 EUR/ülés</w:t>
            </w:r>
          </w:p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 xml:space="preserve">2020: 3 ülés; 2021: 3 ülés; 2022: 1 ülés. </w:t>
            </w:r>
          </w:p>
          <w:p w:rsidR="001E667A" w:rsidRDefault="001E667A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2"/>
                <w:u w:val="single"/>
              </w:rPr>
            </w:pPr>
          </w:p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u w:val="single"/>
              </w:rPr>
              <w:t xml:space="preserve">Kiküldetési költségek </w:t>
            </w:r>
          </w:p>
          <w:p w:rsidR="001E667A" w:rsidRDefault="005F0856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0"/>
              </w:rPr>
              <w:t>Az európai uniós termékmegfelelőségi hálózat Bizottság által adott titkársága – kiküldetések a tagá</w:t>
            </w:r>
            <w:r>
              <w:rPr>
                <w:rFonts w:ascii="Arial Narrow" w:hAnsi="Arial Narrow"/>
                <w:noProof/>
                <w:sz w:val="20"/>
              </w:rPr>
              <w:t xml:space="preserve">llamokban tartott ülésekre, a végrehajtási együttműködés keretében tartott nemzetközi ülésekre: </w:t>
            </w:r>
            <w:r>
              <w:rPr>
                <w:rFonts w:ascii="Arial Narrow" w:hAnsi="Arial Narrow"/>
                <w:noProof/>
                <w:sz w:val="22"/>
              </w:rPr>
              <w:t>kiküldetési költségek: 2020: 4/év, 4*750 EUR = 3 000 EUR, 2021: 6/év, 6*750 EUR = 4 500 EUR, 2022-től: 10/év, 10*750 EUR = 7 500 EUR</w:t>
            </w:r>
          </w:p>
          <w:p w:rsidR="001E667A" w:rsidRDefault="001E667A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2"/>
                <w:u w:val="single"/>
              </w:rPr>
            </w:pPr>
          </w:p>
          <w:p w:rsidR="001E667A" w:rsidRDefault="001E667A">
            <w:pPr>
              <w:spacing w:before="60" w:after="0" w:line="276" w:lineRule="auto"/>
              <w:jc w:val="left"/>
              <w:rPr>
                <w:rFonts w:ascii="Arial Narrow" w:eastAsia="Times New Roman" w:hAnsi="Arial Narrow"/>
                <w:noProof/>
                <w:sz w:val="22"/>
                <w:u w:val="single"/>
              </w:rPr>
            </w:pPr>
          </w:p>
        </w:tc>
      </w:tr>
    </w:tbl>
    <w:p w:rsidR="001E667A" w:rsidRDefault="001E667A">
      <w:pPr>
        <w:spacing w:before="0" w:after="0"/>
        <w:jc w:val="left"/>
        <w:rPr>
          <w:rFonts w:ascii="Arial Narrow" w:eastAsia="Times New Roman" w:hAnsi="Arial Narrow"/>
          <w:noProof/>
          <w:sz w:val="22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4"/>
      </w:tblGrid>
      <w:tr w:rsidR="001E667A">
        <w:trPr>
          <w:jc w:val="center"/>
        </w:trPr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E667A" w:rsidRDefault="005F0856">
            <w:pPr>
              <w:spacing w:before="60" w:after="60" w:line="276" w:lineRule="auto"/>
              <w:jc w:val="left"/>
              <w:rPr>
                <w:rFonts w:ascii="Arial Narrow" w:eastAsia="Times New Roman" w:hAnsi="Arial Narrow"/>
                <w:b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 xml:space="preserve">A többéves pénzügyi keret </w:t>
            </w:r>
            <w:r>
              <w:rPr>
                <w:rFonts w:ascii="Arial Narrow" w:hAnsi="Arial Narrow"/>
                <w:b/>
                <w:noProof/>
                <w:sz w:val="22"/>
              </w:rPr>
              <w:t>5. FEJEZETÉBE bele nem tartozó előirányzatok</w:t>
            </w:r>
          </w:p>
        </w:tc>
      </w:tr>
      <w:tr w:rsidR="001E667A">
        <w:trPr>
          <w:jc w:val="center"/>
        </w:trPr>
        <w:tc>
          <w:tcPr>
            <w:tcW w:w="95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  <w:u w:val="single"/>
              </w:rPr>
            </w:pPr>
          </w:p>
          <w:p w:rsidR="001E667A" w:rsidRDefault="001E667A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  <w:u w:val="single"/>
              </w:rPr>
            </w:pPr>
          </w:p>
          <w:p w:rsidR="001E667A" w:rsidRDefault="001E667A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  <w:u w:val="single"/>
              </w:rPr>
            </w:pPr>
          </w:p>
          <w:p w:rsidR="001E667A" w:rsidRDefault="001E667A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  <w:u w:val="single"/>
              </w:rPr>
            </w:pPr>
          </w:p>
          <w:p w:rsidR="001E667A" w:rsidRDefault="001E667A">
            <w:pPr>
              <w:spacing w:before="0" w:after="0" w:line="276" w:lineRule="auto"/>
              <w:jc w:val="left"/>
              <w:rPr>
                <w:rFonts w:ascii="Arial Narrow" w:eastAsia="Times New Roman" w:hAnsi="Arial Narrow"/>
                <w:noProof/>
                <w:sz w:val="20"/>
                <w:szCs w:val="20"/>
                <w:u w:val="single"/>
              </w:rPr>
            </w:pPr>
          </w:p>
          <w:p w:rsidR="001E667A" w:rsidRDefault="001E667A">
            <w:pPr>
              <w:spacing w:before="60" w:after="0" w:line="276" w:lineRule="auto"/>
              <w:jc w:val="left"/>
              <w:rPr>
                <w:rFonts w:ascii="Arial Narrow" w:eastAsia="Times New Roman" w:hAnsi="Arial Narrow"/>
                <w:noProof/>
                <w:sz w:val="18"/>
                <w:szCs w:val="18"/>
                <w:u w:val="single"/>
              </w:rPr>
            </w:pPr>
          </w:p>
        </w:tc>
      </w:tr>
    </w:tbl>
    <w:p w:rsidR="001E667A" w:rsidRDefault="001E667A">
      <w:pPr>
        <w:rPr>
          <w:noProof/>
        </w:rPr>
      </w:pPr>
    </w:p>
    <w:p w:rsidR="001E667A" w:rsidRDefault="005F0856"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Minden KÖLTSÉG ÖSSZEGZÉSE (humánerőforrás, egyéb igazgatási kiadások és működési költségvetés)</w:t>
      </w:r>
    </w:p>
    <w:p w:rsidR="001E667A" w:rsidRDefault="005F0856">
      <w:pPr>
        <w:rPr>
          <w:noProof/>
        </w:rPr>
      </w:pPr>
      <w:r>
        <w:rPr>
          <w:noProof/>
        </w:rPr>
        <w:t>Ez a szakasz összefoglalja a létrehozási szakaszhoz kapcsolódóan a humánerőforrásra, egyéb igazgatási költségekre és a működési költségvetésre gyakorolt becsült hatást (2020-ig a jelenlegi többéves költségvetési keretben szerepel), valamint a teljes körű v</w:t>
      </w:r>
      <w:r>
        <w:rPr>
          <w:noProof/>
        </w:rPr>
        <w:t xml:space="preserve">égrehajtás szakaszába lépést követően, 2023-tól jelentkező éves becsült költségeket. </w:t>
      </w:r>
    </w:p>
    <w:p w:rsidR="001E667A" w:rsidRDefault="001E667A">
      <w:pPr>
        <w:rPr>
          <w:noProof/>
        </w:rPr>
      </w:pPr>
    </w:p>
    <w:p w:rsidR="001E667A" w:rsidRDefault="001E667A">
      <w:pPr>
        <w:rPr>
          <w:noProof/>
        </w:rPr>
      </w:pPr>
    </w:p>
    <w:p w:rsidR="001E667A" w:rsidRDefault="001E667A">
      <w:pPr>
        <w:rPr>
          <w:noProof/>
        </w:rPr>
      </w:pPr>
    </w:p>
    <w:p w:rsidR="001E667A" w:rsidRDefault="001E667A">
      <w:pPr>
        <w:rPr>
          <w:noProof/>
        </w:rPr>
      </w:pPr>
    </w:p>
    <w:p w:rsidR="001E667A" w:rsidRDefault="005F0856">
      <w:pPr>
        <w:rPr>
          <w:noProof/>
        </w:rPr>
      </w:pPr>
      <w:r>
        <w:rPr>
          <w:noProof/>
        </w:rPr>
        <w:t xml:space="preserve">a) indikatív operatív előirányzatok (2025-ig) </w:t>
      </w:r>
    </w:p>
    <w:p w:rsidR="001E667A" w:rsidRDefault="001E667A">
      <w:pPr>
        <w:rPr>
          <w:noProof/>
          <w:sz w:val="16"/>
        </w:rPr>
      </w:pPr>
    </w:p>
    <w:tbl>
      <w:tblPr>
        <w:tblW w:w="102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1134"/>
        <w:gridCol w:w="850"/>
        <w:gridCol w:w="851"/>
        <w:gridCol w:w="850"/>
        <w:gridCol w:w="992"/>
        <w:gridCol w:w="993"/>
        <w:gridCol w:w="1484"/>
      </w:tblGrid>
      <w:tr w:rsidR="001E667A">
        <w:trPr>
          <w:trHeight w:val="2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2020.</w:t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  <w:r>
              <w:rPr>
                <w:rStyle w:val="FootnoteReference"/>
                <w:noProof/>
              </w:rPr>
              <w:footnoteReference w:id="87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2021.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  <w:t>év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2022.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  <w:t>év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before="20" w:after="20" w:line="276" w:lineRule="auto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2023.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  <w:t>év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2024.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  <w:t>év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before="20" w:after="20" w:line="276" w:lineRule="auto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2025.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br/>
              <w:t>év</w:t>
            </w:r>
          </w:p>
        </w:tc>
      </w:tr>
      <w:tr w:rsidR="001E667A">
        <w:trPr>
          <w:trHeight w:val="2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rPr>
                <w:noProof/>
                <w:szCs w:val="24"/>
              </w:rPr>
            </w:pPr>
            <w:r>
              <w:rPr>
                <w:noProof/>
              </w:rPr>
              <w:t>Európai uniós termékmegfelelőségi hálózat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before="20" w:after="20" w:line="276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Kötelezettségvállalási előirányzatok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9,950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9,950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9,950</w:t>
            </w:r>
          </w:p>
        </w:tc>
      </w:tr>
      <w:tr w:rsidR="001E667A">
        <w:trPr>
          <w:trHeight w:val="104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rPr>
                <w:noProof/>
                <w:szCs w:val="24"/>
              </w:rPr>
            </w:pPr>
            <w:r>
              <w:rPr>
                <w:noProof/>
              </w:rPr>
              <w:t>Egyéb intézkedések, megfelelési és végrehajtási kezdeményezés (kísérleti stratégiák, referencia-felmérés)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before="20" w:after="20" w:line="276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Kötelezettségvállalási előirányzatok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</w:p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</w:p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</w:p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3,000</w:t>
            </w:r>
          </w:p>
        </w:tc>
      </w:tr>
      <w:tr w:rsidR="001E667A"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A vámunió működésének és modernizációjának támogatása – a piacfelügyeleti hatóságok és a vámrendszerek közötti felület létrehozása (az egyablakos rendszert beleértve)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before="20" w:after="20" w:line="276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Kötelezettségvállalási előirányzatok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</w:p>
          <w:p w:rsidR="001E667A" w:rsidRDefault="001E667A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</w:p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</w:p>
          <w:p w:rsidR="001E667A" w:rsidRDefault="001E667A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</w:p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</w:p>
          <w:p w:rsidR="001E667A" w:rsidRDefault="001E667A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</w:p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0,710</w:t>
            </w:r>
          </w:p>
        </w:tc>
      </w:tr>
      <w:tr w:rsidR="001E667A">
        <w:trPr>
          <w:trHeight w:val="2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A gazdasági </w:t>
            </w:r>
            <w:r>
              <w:rPr>
                <w:noProof/>
              </w:rPr>
              <w:t>szereplők önkéntes intézkedéseinek közzétételére szolgáló portál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before="20" w:after="20" w:line="276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Kötelezettségvállalási előirányzatok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</w:p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</w:p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</w:p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0,029</w:t>
            </w:r>
          </w:p>
        </w:tc>
      </w:tr>
    </w:tbl>
    <w:p w:rsidR="001E667A" w:rsidRDefault="001E667A">
      <w:pPr>
        <w:spacing w:after="40"/>
        <w:rPr>
          <w:b/>
          <w:noProof/>
          <w:sz w:val="22"/>
          <w:u w:val="single"/>
        </w:rPr>
      </w:pPr>
    </w:p>
    <w:tbl>
      <w:tblPr>
        <w:tblW w:w="11091" w:type="dxa"/>
        <w:tblInd w:w="-25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1"/>
        <w:gridCol w:w="1127"/>
        <w:gridCol w:w="869"/>
        <w:gridCol w:w="778"/>
        <w:gridCol w:w="887"/>
        <w:gridCol w:w="999"/>
        <w:gridCol w:w="963"/>
        <w:gridCol w:w="2367"/>
      </w:tblGrid>
      <w:tr w:rsidR="001E667A">
        <w:trPr>
          <w:trHeight w:val="292"/>
        </w:trPr>
        <w:tc>
          <w:tcPr>
            <w:tcW w:w="3101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thinDiagStripe" w:color="C0C0C0" w:fill="auto"/>
            <w:vAlign w:val="center"/>
          </w:tcPr>
          <w:p w:rsidR="001E667A" w:rsidRDefault="005F0856">
            <w:pPr>
              <w:spacing w:line="276" w:lineRule="auto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Operatív előirányzatok ÖSSZESEN </w:t>
            </w:r>
            <w:r>
              <w:rPr>
                <w:noProof/>
                <w:sz w:val="22"/>
              </w:rPr>
              <w:br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Kötelezettségvállalási előirányzatok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8,450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10,559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13,139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13,539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before="20" w:after="20" w:line="276" w:lineRule="auto"/>
              <w:jc w:val="center"/>
              <w:rPr>
                <w:b/>
                <w:noProof/>
                <w:sz w:val="20"/>
              </w:rPr>
            </w:pPr>
          </w:p>
          <w:p w:rsidR="001E667A" w:rsidRDefault="001E667A">
            <w:pPr>
              <w:spacing w:before="20" w:after="20" w:line="276" w:lineRule="auto"/>
              <w:jc w:val="center"/>
              <w:rPr>
                <w:b/>
                <w:noProof/>
                <w:sz w:val="20"/>
              </w:rPr>
            </w:pPr>
          </w:p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13,689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13,689</w:t>
            </w:r>
          </w:p>
        </w:tc>
      </w:tr>
    </w:tbl>
    <w:p w:rsidR="001E667A" w:rsidRDefault="001E667A">
      <w:pPr>
        <w:rPr>
          <w:rFonts w:eastAsia="Times New Roman"/>
          <w:noProof/>
          <w:sz w:val="20"/>
        </w:rPr>
      </w:pPr>
    </w:p>
    <w:p w:rsidR="001E667A" w:rsidRDefault="005F0856">
      <w:pPr>
        <w:jc w:val="right"/>
        <w:rPr>
          <w:rFonts w:eastAsia="Times New Roman"/>
          <w:noProof/>
          <w:sz w:val="20"/>
        </w:rPr>
      </w:pPr>
      <w:r>
        <w:rPr>
          <w:noProof/>
          <w:sz w:val="20"/>
        </w:rPr>
        <w:t>Kötelezettségvállalási előirányzatok, millió EUR (három tizedesjegyig)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719"/>
        <w:gridCol w:w="700"/>
        <w:gridCol w:w="504"/>
        <w:gridCol w:w="720"/>
        <w:gridCol w:w="540"/>
        <w:gridCol w:w="753"/>
        <w:gridCol w:w="687"/>
        <w:gridCol w:w="872"/>
        <w:gridCol w:w="628"/>
        <w:gridCol w:w="1134"/>
      </w:tblGrid>
      <w:tr w:rsidR="001E667A">
        <w:trPr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Intézkedések és teljesítések </w:t>
            </w:r>
          </w:p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</w:p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2020.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noProof/>
                <w:sz w:val="18"/>
              </w:rPr>
              <w:t>év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2021.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noProof/>
                <w:sz w:val="18"/>
              </w:rPr>
              <w:t>év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2022.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noProof/>
                <w:sz w:val="18"/>
              </w:rPr>
              <w:t>év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0" w:after="0" w:line="276" w:lineRule="auto"/>
              <w:ind w:right="-28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2023-ban és azt követően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noProof/>
                <w:sz w:val="18"/>
              </w:rPr>
              <w:t>minden évben</w:t>
            </w:r>
          </w:p>
        </w:tc>
      </w:tr>
      <w:tr w:rsidR="001E667A">
        <w:trPr>
          <w:gridAfter w:val="10"/>
          <w:wAfter w:w="7257" w:type="dxa"/>
          <w:trHeight w:val="225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rFonts w:eastAsia="Times New Roman"/>
                <w:noProof/>
                <w:sz w:val="18"/>
                <w:szCs w:val="18"/>
              </w:rPr>
            </w:pPr>
          </w:p>
        </w:tc>
      </w:tr>
      <w:tr w:rsidR="001E667A">
        <w:trPr>
          <w:cantSplit/>
          <w:trHeight w:val="1134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Típus</w:t>
            </w:r>
            <w:r>
              <w:rPr>
                <w:rStyle w:val="FootnoteReference"/>
                <w:noProof/>
              </w:rPr>
              <w:footnoteReference w:id="88"/>
            </w:r>
          </w:p>
          <w:p w:rsidR="001E667A" w:rsidRDefault="001E667A">
            <w:pPr>
              <w:spacing w:before="0" w:after="0" w:line="276" w:lineRule="auto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Átlagos költség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 w:rsidR="001E667A" w:rsidRDefault="005F0856">
            <w:pPr>
              <w:spacing w:line="276" w:lineRule="auto"/>
              <w:ind w:left="113" w:right="113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Teljesítések száma</w:t>
            </w: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Költség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 w:rsidR="001E667A" w:rsidRDefault="005F0856">
            <w:pPr>
              <w:spacing w:line="276" w:lineRule="auto"/>
              <w:ind w:left="113" w:right="113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Teljesítések száma</w:t>
            </w:r>
          </w:p>
        </w:tc>
        <w:tc>
          <w:tcPr>
            <w:tcW w:w="7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Költség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 w:rsidR="001E667A" w:rsidRDefault="005F0856">
            <w:pPr>
              <w:spacing w:line="276" w:lineRule="auto"/>
              <w:ind w:left="113" w:right="113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Teljesítések száma</w:t>
            </w:r>
          </w:p>
        </w:tc>
        <w:tc>
          <w:tcPr>
            <w:tcW w:w="8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Költség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 w:rsidR="001E667A" w:rsidRDefault="005F0856">
            <w:pPr>
              <w:spacing w:line="276" w:lineRule="auto"/>
              <w:ind w:left="113" w:right="113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Teljesítések száma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Költség</w:t>
            </w:r>
          </w:p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</w:tr>
      <w:tr w:rsidR="001E667A">
        <w:trPr>
          <w:gridAfter w:val="8"/>
          <w:wAfter w:w="5838" w:type="dxa"/>
          <w:jc w:val="center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KÜLÖNLEGES INTÉZKEDÉSEK</w:t>
            </w:r>
          </w:p>
        </w:tc>
      </w:tr>
      <w:tr w:rsidR="001E667A">
        <w:trPr>
          <w:trHeight w:hRule="exact" w:val="749"/>
          <w:jc w:val="center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before="0" w:after="0"/>
              <w:ind w:right="-28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Nemzeti stratégiák</w:t>
            </w:r>
          </w:p>
          <w:p w:rsidR="001E667A" w:rsidRDefault="005F0856">
            <w:pPr>
              <w:spacing w:before="0" w:after="0"/>
              <w:ind w:right="-28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</w:rPr>
              <w:t>(a társfinanszírozott kísérleti stratégiák száma/év)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3,000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3,000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3,000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3,000</w:t>
            </w:r>
          </w:p>
        </w:tc>
      </w:tr>
      <w:tr w:rsidR="001E667A">
        <w:trPr>
          <w:trHeight w:hRule="exact" w:val="924"/>
          <w:jc w:val="center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Szakértői vizsgálat/teljesítményindikátorok </w:t>
            </w:r>
            <w:r>
              <w:rPr>
                <w:i/>
                <w:noProof/>
                <w:sz w:val="18"/>
              </w:rPr>
              <w:t>(alapfelmérés)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1,000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</w:tr>
      <w:tr w:rsidR="001E667A">
        <w:trPr>
          <w:trHeight w:hRule="exact" w:val="1144"/>
          <w:jc w:val="center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Európai uniós termékmegfelelőségi hálózat </w:t>
            </w:r>
            <w:r>
              <w:rPr>
                <w:rFonts w:eastAsia="Times New Roman"/>
                <w:noProof/>
                <w:sz w:val="18"/>
                <w:szCs w:val="18"/>
              </w:rPr>
              <w:br/>
            </w:r>
            <w:r>
              <w:rPr>
                <w:i/>
                <w:noProof/>
                <w:sz w:val="18"/>
              </w:rPr>
              <w:t>(legfontosabb mutató: a közös ellenőrzési kampányok száma)*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4,450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6,950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9,450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30-40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9,950</w:t>
            </w:r>
          </w:p>
        </w:tc>
      </w:tr>
      <w:tr w:rsidR="001E667A">
        <w:trPr>
          <w:jc w:val="center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A vámrendszer és a piacfelügyeleti rendszer közötti felület létrehozásának költsége </w:t>
            </w:r>
            <w:r>
              <w:rPr>
                <w:rFonts w:eastAsia="Times New Roman"/>
                <w:noProof/>
                <w:sz w:val="18"/>
                <w:szCs w:val="18"/>
              </w:rPr>
              <w:br/>
            </w:r>
            <w:r>
              <w:rPr>
                <w:noProof/>
                <w:sz w:val="18"/>
              </w:rPr>
              <w:t>(2021–2025)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0,550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0,660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0,660 </w:t>
            </w:r>
            <w:r>
              <w:rPr>
                <w:rFonts w:eastAsia="Times New Roman"/>
                <w:noProof/>
                <w:sz w:val="18"/>
                <w:szCs w:val="18"/>
              </w:rPr>
              <w:br/>
            </w:r>
            <w:r>
              <w:rPr>
                <w:i/>
                <w:noProof/>
                <w:sz w:val="16"/>
              </w:rPr>
              <w:t>(2023–2025: átlag/év)</w:t>
            </w:r>
          </w:p>
        </w:tc>
      </w:tr>
      <w:tr w:rsidR="001E667A">
        <w:trPr>
          <w:trHeight w:hRule="exact" w:val="941"/>
          <w:jc w:val="center"/>
        </w:trPr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i/>
                <w:noProof/>
                <w:sz w:val="16"/>
                <w:szCs w:val="16"/>
              </w:rPr>
            </w:pPr>
            <w:r>
              <w:rPr>
                <w:noProof/>
                <w:sz w:val="18"/>
              </w:rPr>
              <w:t xml:space="preserve">Európai portál az önkéntes intézkedésekről </w:t>
            </w:r>
            <w:r>
              <w:rPr>
                <w:i/>
                <w:noProof/>
                <w:sz w:val="18"/>
              </w:rPr>
              <w:t>(bejelentések száma)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250</w:t>
            </w:r>
          </w:p>
        </w:tc>
        <w:tc>
          <w:tcPr>
            <w:tcW w:w="7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0,059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500</w:t>
            </w:r>
          </w:p>
        </w:tc>
        <w:tc>
          <w:tcPr>
            <w:tcW w:w="8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0,029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0,029</w:t>
            </w:r>
          </w:p>
        </w:tc>
      </w:tr>
      <w:tr w:rsidR="001E667A">
        <w:trPr>
          <w:jc w:val="center"/>
        </w:trPr>
        <w:tc>
          <w:tcPr>
            <w:tcW w:w="28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ind w:right="-29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ÖSSZKÖLTSÉG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before="180" w:after="180" w:line="276" w:lineRule="auto"/>
              <w:ind w:right="-29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5F0856">
            <w:pPr>
              <w:spacing w:before="180" w:after="180" w:line="276" w:lineRule="auto"/>
              <w:ind w:right="-29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8,450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before="180" w:after="180" w:line="276" w:lineRule="auto"/>
              <w:ind w:right="-29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5F0856">
            <w:pPr>
              <w:spacing w:before="180" w:after="180" w:line="276" w:lineRule="auto"/>
              <w:ind w:right="-29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10,559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before="180" w:after="180" w:line="276" w:lineRule="auto"/>
              <w:ind w:right="-29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5F0856">
            <w:pPr>
              <w:spacing w:before="180" w:after="180" w:line="276" w:lineRule="auto"/>
              <w:ind w:right="-29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13,139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1E667A">
            <w:pPr>
              <w:spacing w:before="180" w:after="180" w:line="276" w:lineRule="auto"/>
              <w:ind w:right="-29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67A" w:rsidRDefault="005F0856">
            <w:pPr>
              <w:spacing w:before="180" w:after="180" w:line="276" w:lineRule="auto"/>
              <w:ind w:right="-29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13,639</w:t>
            </w:r>
          </w:p>
        </w:tc>
      </w:tr>
    </w:tbl>
    <w:p w:rsidR="001E667A" w:rsidRDefault="001E667A">
      <w:pPr>
        <w:rPr>
          <w:noProof/>
        </w:rPr>
      </w:pPr>
    </w:p>
    <w:p w:rsidR="001E667A" w:rsidRDefault="005F0856">
      <w:pPr>
        <w:rPr>
          <w:rFonts w:eastAsia="Times New Roman"/>
          <w:noProof/>
          <w:sz w:val="22"/>
        </w:rPr>
      </w:pPr>
      <w:r>
        <w:rPr>
          <w:noProof/>
          <w:sz w:val="22"/>
        </w:rPr>
        <w:t>* Az európai uniós termékmegfelelőségi hálózat fő feladatai és teljesítései</w:t>
      </w:r>
    </w:p>
    <w:p w:rsidR="001E667A" w:rsidRDefault="005F0856">
      <w:pPr>
        <w:rPr>
          <w:rFonts w:eastAsia="Times New Roman"/>
          <w:noProof/>
          <w:sz w:val="22"/>
        </w:rPr>
      </w:pPr>
      <w:r>
        <w:rPr>
          <w:b/>
          <w:noProof/>
        </w:rPr>
        <w:t>Stratégia és munkaprogram</w:t>
      </w:r>
      <w:r>
        <w:rPr>
          <w:noProof/>
        </w:rPr>
        <w:t xml:space="preserve"> (az uniós termékmegfelelőségi testület üléseinek megszervezése, közös tevékenységek prioritásai, piaccal foglalkozó tanulmányok, teljesítménymutatók, a nemzeti végrehajtási stratégiák szakértői vizsgálatai): évente 2–3 ülés; évente 2–3 piaccal foglalkozó </w:t>
      </w:r>
      <w:r>
        <w:rPr>
          <w:noProof/>
        </w:rPr>
        <w:t xml:space="preserve">tanulmány; évente 5 részletes felülvizsgálat. </w:t>
      </w:r>
    </w:p>
    <w:p w:rsidR="001E667A" w:rsidRDefault="005F0856">
      <w:pPr>
        <w:spacing w:after="0"/>
        <w:rPr>
          <w:noProof/>
        </w:rPr>
      </w:pPr>
      <w:r>
        <w:rPr>
          <w:b/>
          <w:noProof/>
        </w:rPr>
        <w:t>A végrehajtás koordinációja és közös fellépések támogatása</w:t>
      </w:r>
      <w:r>
        <w:rPr>
          <w:noProof/>
        </w:rPr>
        <w:t xml:space="preserve"> (az igazgatási koordinációs csoportok támogatása, közös ellenőrzési kampányok finanszírozása, közös közbeszerzés, a kölcsönös segítségnyújtás iránti m</w:t>
      </w:r>
      <w:r>
        <w:rPr>
          <w:noProof/>
        </w:rPr>
        <w:t>egkeresések nyomon követése): évente 30–40 összehangolt ellenőrzési kampány, 2–3 közös közbeszerzés/partnerségi projekt (5 éves időtartam).</w:t>
      </w:r>
    </w:p>
    <w:p w:rsidR="001E667A" w:rsidRDefault="005F0856">
      <w:pPr>
        <w:spacing w:after="0"/>
        <w:rPr>
          <w:noProof/>
        </w:rPr>
      </w:pPr>
      <w:r>
        <w:rPr>
          <w:b/>
          <w:noProof/>
        </w:rPr>
        <w:t>Nemzetközi együttműködés</w:t>
      </w:r>
      <w:r>
        <w:rPr>
          <w:noProof/>
        </w:rPr>
        <w:t xml:space="preserve"> (végrehajtási együttműködésre vonatkozó jegyzőkönyvek kidolgozása, információcsere/bevált g</w:t>
      </w:r>
      <w:r>
        <w:rPr>
          <w:noProof/>
        </w:rPr>
        <w:t>yakorlatok megosztása): 3 együttműködési jegyzőkönyv (5 éves időtartam).</w:t>
      </w:r>
    </w:p>
    <w:p w:rsidR="001E667A" w:rsidRDefault="005F0856">
      <w:pPr>
        <w:spacing w:after="0"/>
        <w:rPr>
          <w:noProof/>
        </w:rPr>
      </w:pPr>
      <w:r>
        <w:rPr>
          <w:b/>
          <w:noProof/>
        </w:rPr>
        <w:t>Képzés</w:t>
      </w:r>
      <w:r>
        <w:rPr>
          <w:noProof/>
        </w:rPr>
        <w:t xml:space="preserve"> (a piacfelügyelet vonatkozásában jelentkező képzési igények feltérképezése, képzések, e-oktatási anyagok). </w:t>
      </w:r>
    </w:p>
    <w:p w:rsidR="001E667A" w:rsidRDefault="005F0856">
      <w:pPr>
        <w:rPr>
          <w:noProof/>
        </w:rPr>
      </w:pPr>
      <w:r>
        <w:rPr>
          <w:b/>
          <w:noProof/>
        </w:rPr>
        <w:t>Kommunikációs és információtechnológiai eszközök fejlesztése, terjes</w:t>
      </w:r>
      <w:r>
        <w:rPr>
          <w:b/>
          <w:noProof/>
        </w:rPr>
        <w:t>ztése és irányítása</w:t>
      </w:r>
      <w:r>
        <w:rPr>
          <w:noProof/>
        </w:rPr>
        <w:t>, többek között információcsere, valamint a piacfelügyeleti rendszer és a vámrendszer összekapcsolása. (a piacfelügyeleti rendszert és a vámrendszert összekapcsoló felület (pl. egyablakos rendszer) létrehozásának költségei évi 640 ezer E</w:t>
      </w:r>
      <w:r>
        <w:rPr>
          <w:noProof/>
        </w:rPr>
        <w:t>UR körüli összeget tesznek ki, és 5 éven keresztül merülnek fel, irányadó jelleggel 2021-től 2025-ig).</w:t>
      </w:r>
    </w:p>
    <w:p w:rsidR="001E667A" w:rsidRDefault="001E667A">
      <w:pPr>
        <w:spacing w:before="0" w:after="0"/>
        <w:rPr>
          <w:noProof/>
          <w:sz w:val="20"/>
          <w:szCs w:val="20"/>
        </w:rPr>
      </w:pPr>
    </w:p>
    <w:p w:rsidR="001E667A" w:rsidRDefault="005F0856">
      <w:pPr>
        <w:rPr>
          <w:noProof/>
        </w:rPr>
      </w:pPr>
      <w:r>
        <w:rPr>
          <w:noProof/>
        </w:rPr>
        <w:t xml:space="preserve">b) Humánerőforrás és egyéb igazgatási költségek </w:t>
      </w:r>
    </w:p>
    <w:p w:rsidR="001E667A" w:rsidRDefault="005F0856">
      <w:pPr>
        <w:rPr>
          <w:noProof/>
        </w:rPr>
      </w:pPr>
      <w:r>
        <w:rPr>
          <w:noProof/>
        </w:rPr>
        <w:br w:type="page"/>
      </w:r>
    </w:p>
    <w:p w:rsidR="001E667A" w:rsidRDefault="001E667A">
      <w:pPr>
        <w:rPr>
          <w:noProof/>
        </w:rPr>
      </w:pPr>
    </w:p>
    <w:tbl>
      <w:tblPr>
        <w:tblW w:w="93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1179"/>
        <w:gridCol w:w="899"/>
        <w:gridCol w:w="839"/>
        <w:gridCol w:w="932"/>
        <w:gridCol w:w="857"/>
        <w:gridCol w:w="1608"/>
      </w:tblGrid>
      <w:tr w:rsidR="001E667A">
        <w:trPr>
          <w:trHeight w:val="663"/>
        </w:trPr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67A" w:rsidRDefault="001E667A">
            <w:pPr>
              <w:spacing w:line="276" w:lineRule="auto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b/>
                <w:noProof/>
                <w:sz w:val="20"/>
                <w:szCs w:val="20"/>
              </w:rPr>
              <w:t>2020.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b/>
                <w:noProof/>
                <w:sz w:val="20"/>
                <w:szCs w:val="20"/>
              </w:rPr>
              <w:t>2021.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b/>
                <w:noProof/>
                <w:sz w:val="20"/>
                <w:szCs w:val="20"/>
              </w:rPr>
              <w:t>2022.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2023-ban és azt követően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noProof/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  <w:t>minden évben</w:t>
            </w:r>
          </w:p>
        </w:tc>
      </w:tr>
      <w:tr w:rsidR="001E667A">
        <w:trPr>
          <w:gridAfter w:val="6"/>
          <w:wAfter w:w="6314" w:type="dxa"/>
          <w:trHeight w:val="271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jc w:val="center"/>
              <w:rPr>
                <w:rFonts w:eastAsia="Times New Roman"/>
                <w:noProof/>
              </w:rPr>
            </w:pPr>
            <w:r>
              <w:rPr>
                <w:noProof/>
                <w:sz w:val="22"/>
              </w:rPr>
              <w:t>DG: GROW</w:t>
            </w:r>
          </w:p>
        </w:tc>
      </w:tr>
      <w:tr w:rsidR="001E667A">
        <w:trPr>
          <w:trHeight w:val="219"/>
        </w:trPr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rPr>
                <w:rFonts w:eastAsia="Times New Roman"/>
                <w:i/>
                <w:noProof/>
              </w:rPr>
            </w:pPr>
            <w:r>
              <w:rPr>
                <w:i/>
                <w:noProof/>
                <w:sz w:val="22"/>
              </w:rPr>
              <w:t xml:space="preserve">Humánerőforrás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0,787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0,787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0,690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center"/>
              <w:rPr>
                <w:rFonts w:eastAsia="Times New Roman"/>
                <w:b/>
                <w:noProof/>
                <w:sz w:val="20"/>
              </w:rPr>
            </w:pPr>
            <w:r>
              <w:rPr>
                <w:b/>
                <w:i/>
                <w:noProof/>
                <w:sz w:val="20"/>
              </w:rPr>
              <w:t>0,621</w:t>
            </w:r>
          </w:p>
        </w:tc>
      </w:tr>
      <w:tr w:rsidR="001E667A">
        <w:trPr>
          <w:trHeight w:val="246"/>
        </w:trPr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rPr>
                <w:rFonts w:eastAsia="Times New Roman"/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Európai uniós termékmegfelelőségi hálózat titkársága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3,246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5,870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7,666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center"/>
              <w:rPr>
                <w:rFonts w:eastAsia="Times New Roman"/>
                <w:b/>
                <w:noProof/>
                <w:sz w:val="20"/>
              </w:rPr>
            </w:pPr>
            <w:r>
              <w:rPr>
                <w:b/>
                <w:i/>
                <w:noProof/>
                <w:sz w:val="20"/>
              </w:rPr>
              <w:t>7,666</w:t>
            </w:r>
          </w:p>
        </w:tc>
      </w:tr>
      <w:tr w:rsidR="001E667A">
        <w:trPr>
          <w:trHeight w:val="246"/>
        </w:trPr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rPr>
                <w:rFonts w:eastAsia="Times New Roman"/>
                <w:noProof/>
                <w:sz w:val="22"/>
              </w:rPr>
            </w:pPr>
            <w:r>
              <w:rPr>
                <w:rFonts w:eastAsia="Times New Roman"/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>Humán erőforrás (összesen)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4,033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6,657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8,356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center"/>
              <w:rPr>
                <w:rFonts w:eastAsia="Times New Roman"/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8,287</w:t>
            </w:r>
          </w:p>
        </w:tc>
      </w:tr>
      <w:tr w:rsidR="001E667A">
        <w:trPr>
          <w:trHeight w:val="246"/>
        </w:trPr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Egyéb igazgatási kiadások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0,093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0,095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0,038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center"/>
              <w:rPr>
                <w:rFonts w:eastAsia="Times New Roman"/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0,008</w:t>
            </w:r>
          </w:p>
        </w:tc>
      </w:tr>
      <w:tr w:rsidR="001E667A">
        <w:trPr>
          <w:trHeight w:val="361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b/>
                <w:noProof/>
                <w:sz w:val="22"/>
              </w:rPr>
              <w:t>DG GROW ÖSSZESEN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line="276" w:lineRule="auto"/>
              <w:rPr>
                <w:rFonts w:eastAsia="Times New Roman"/>
                <w:noProof/>
                <w:sz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4,126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6,752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8,394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center"/>
              <w:rPr>
                <w:rFonts w:eastAsia="Times New Roman"/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8,295</w:t>
            </w:r>
          </w:p>
        </w:tc>
      </w:tr>
      <w:tr w:rsidR="001E667A">
        <w:trPr>
          <w:gridAfter w:val="6"/>
          <w:wAfter w:w="6314" w:type="dxa"/>
          <w:trHeight w:val="271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jc w:val="center"/>
              <w:rPr>
                <w:rFonts w:eastAsia="Times New Roman"/>
                <w:noProof/>
              </w:rPr>
            </w:pPr>
            <w:r>
              <w:rPr>
                <w:noProof/>
                <w:sz w:val="22"/>
              </w:rPr>
              <w:t>DG:</w:t>
            </w:r>
            <w:r>
              <w:rPr>
                <w:noProof/>
                <w:sz w:val="22"/>
              </w:rPr>
              <w:t xml:space="preserve"> JUST</w:t>
            </w:r>
          </w:p>
        </w:tc>
      </w:tr>
      <w:tr w:rsidR="001E667A">
        <w:trPr>
          <w:trHeight w:val="219"/>
        </w:trPr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Humán erőforrás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rFonts w:eastAsia="Times New Roman"/>
                <w:b/>
                <w:noProof/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0,069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0,069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0,069</w:t>
            </w:r>
          </w:p>
        </w:tc>
      </w:tr>
      <w:tr w:rsidR="001E667A">
        <w:trPr>
          <w:trHeight w:val="246"/>
        </w:trPr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Egyéb igazgatási kiadások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rFonts w:eastAsia="Times New Roman"/>
                <w:b/>
                <w:noProof/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rFonts w:eastAsia="Times New Roman"/>
                <w:b/>
                <w:noProof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right"/>
              <w:rPr>
                <w:rFonts w:eastAsia="Times New Roman"/>
                <w:b/>
                <w:noProof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20" w:after="20" w:line="276" w:lineRule="auto"/>
              <w:jc w:val="center"/>
              <w:rPr>
                <w:rFonts w:eastAsia="Times New Roman"/>
                <w:b/>
                <w:noProof/>
                <w:sz w:val="20"/>
              </w:rPr>
            </w:pPr>
          </w:p>
        </w:tc>
      </w:tr>
      <w:tr w:rsidR="001E667A">
        <w:trPr>
          <w:trHeight w:val="37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b/>
                <w:noProof/>
                <w:sz w:val="22"/>
              </w:rPr>
              <w:t>DG JUST ÖSSZESEN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rPr>
                <w:rFonts w:eastAsia="Times New Roman"/>
                <w:b/>
                <w:noProof/>
                <w:sz w:val="14"/>
              </w:rPr>
            </w:pPr>
            <w:r>
              <w:rPr>
                <w:b/>
                <w:noProof/>
                <w:sz w:val="18"/>
              </w:rPr>
              <w:t xml:space="preserve">Előirányzatok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60" w:after="60" w:line="276" w:lineRule="auto"/>
              <w:jc w:val="right"/>
              <w:rPr>
                <w:rFonts w:eastAsia="Times New Roman"/>
                <w:b/>
                <w:noProof/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0,069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center"/>
              <w:rPr>
                <w:rFonts w:eastAsia="Times New Roman"/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0,069</w:t>
            </w:r>
          </w:p>
        </w:tc>
      </w:tr>
    </w:tbl>
    <w:p w:rsidR="001E667A" w:rsidRDefault="001E667A">
      <w:pPr>
        <w:spacing w:before="0" w:after="0"/>
        <w:rPr>
          <w:rFonts w:eastAsia="Times New Roman"/>
          <w:b/>
          <w:noProof/>
        </w:rPr>
      </w:pPr>
    </w:p>
    <w:tbl>
      <w:tblPr>
        <w:tblW w:w="91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6"/>
        <w:gridCol w:w="2081"/>
        <w:gridCol w:w="837"/>
        <w:gridCol w:w="749"/>
        <w:gridCol w:w="855"/>
        <w:gridCol w:w="1603"/>
      </w:tblGrid>
      <w:tr w:rsidR="001E667A">
        <w:trPr>
          <w:trHeight w:val="40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C0C0C0" w:fill="auto"/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b/>
                <w:noProof/>
                <w:sz w:val="22"/>
              </w:rPr>
              <w:t>Előirányzatok ÖSSZESEN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40" w:after="40" w:line="276" w:lineRule="auto"/>
              <w:rPr>
                <w:rFonts w:eastAsia="Times New Roman"/>
                <w:noProof/>
              </w:rPr>
            </w:pPr>
            <w:r>
              <w:rPr>
                <w:noProof/>
                <w:sz w:val="18"/>
              </w:rPr>
              <w:t>(Összes kötelezettségvállalási előirányzat = Összes kifizetési előirányzat)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4,126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6,821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8,463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20" w:after="20" w:line="276" w:lineRule="auto"/>
              <w:jc w:val="center"/>
              <w:rPr>
                <w:rFonts w:eastAsia="Times New Roman"/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8,364</w:t>
            </w:r>
          </w:p>
        </w:tc>
      </w:tr>
    </w:tbl>
    <w:p w:rsidR="001E667A" w:rsidRDefault="001E667A">
      <w:pPr>
        <w:rPr>
          <w:rFonts w:eastAsia="Times New Roman"/>
          <w:noProof/>
          <w:sz w:val="20"/>
        </w:rPr>
      </w:pPr>
    </w:p>
    <w:p w:rsidR="001E667A" w:rsidRDefault="005F0856">
      <w:pPr>
        <w:rPr>
          <w:rFonts w:eastAsia="Times New Roman"/>
          <w:noProof/>
          <w:sz w:val="20"/>
          <w:szCs w:val="20"/>
          <w:u w:val="single"/>
        </w:rPr>
      </w:pPr>
      <w:r>
        <w:rPr>
          <w:noProof/>
          <w:sz w:val="20"/>
          <w:u w:val="single"/>
        </w:rPr>
        <w:t xml:space="preserve">A létrehozási szakaszban bevonandó munkatársakra vonatkozó becslés és az európai uniós termékmegfelelőségi hálózat összes munkatársa (a Bizottság által ellátott titkárság) </w:t>
      </w:r>
    </w:p>
    <w:tbl>
      <w:tblPr>
        <w:tblW w:w="837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1206"/>
        <w:gridCol w:w="1276"/>
        <w:gridCol w:w="1276"/>
        <w:gridCol w:w="1701"/>
      </w:tblGrid>
      <w:tr w:rsidR="001E667A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Tisztségcsoport és besorolási fokozat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2020. év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2021. év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2022. év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7A" w:rsidRDefault="005F0856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Kumulált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br/>
            </w:r>
            <w:r>
              <w:rPr>
                <w:noProof/>
                <w:color w:val="000000"/>
                <w:sz w:val="20"/>
              </w:rPr>
              <w:t>mennyiség</w:t>
            </w:r>
          </w:p>
        </w:tc>
      </w:tr>
      <w:tr w:rsidR="001E667A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AD 9–15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</w:t>
            </w:r>
          </w:p>
        </w:tc>
      </w:tr>
      <w:tr w:rsidR="001E667A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AD 5–12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41</w:t>
            </w:r>
          </w:p>
        </w:tc>
      </w:tr>
      <w:tr w:rsidR="001E667A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AD összesen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42</w:t>
            </w:r>
          </w:p>
        </w:tc>
      </w:tr>
      <w:tr w:rsidR="001E667A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AST 1-11 / AST/SC 1–6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10</w:t>
            </w:r>
          </w:p>
        </w:tc>
      </w:tr>
      <w:tr w:rsidR="001E667A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AST/SC összesen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10</w:t>
            </w:r>
          </w:p>
        </w:tc>
      </w:tr>
      <w:tr w:rsidR="001E667A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VÉGÖSSZEG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52</w:t>
            </w:r>
          </w:p>
        </w:tc>
      </w:tr>
    </w:tbl>
    <w:p w:rsidR="001E667A" w:rsidRDefault="005F0856">
      <w:pPr>
        <w:rPr>
          <w:rFonts w:eastAsia="Times New Roman"/>
          <w:noProof/>
          <w:sz w:val="20"/>
          <w:szCs w:val="20"/>
          <w:u w:val="single"/>
        </w:rPr>
      </w:pPr>
      <w:r>
        <w:rPr>
          <w:noProof/>
          <w:sz w:val="20"/>
          <w:u w:val="single"/>
        </w:rPr>
        <w:t xml:space="preserve">A létrehozási szakaszban bevonandó munkatársakra vonatkozó becslés és az európai uniós </w:t>
      </w:r>
      <w:r>
        <w:rPr>
          <w:noProof/>
          <w:sz w:val="20"/>
          <w:u w:val="single"/>
        </w:rPr>
        <w:t>termékmegfelelőségi hálózat összes munkatársa – külső személyzet</w:t>
      </w:r>
    </w:p>
    <w:tbl>
      <w:tblPr>
        <w:tblW w:w="837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1206"/>
        <w:gridCol w:w="1276"/>
        <w:gridCol w:w="1276"/>
        <w:gridCol w:w="1701"/>
      </w:tblGrid>
      <w:tr w:rsidR="001E667A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Szerződéses alkalmazottak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2020. év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2021. év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2022. év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7A" w:rsidRDefault="005F0856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Kumulált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br/>
            </w:r>
            <w:r>
              <w:rPr>
                <w:noProof/>
                <w:color w:val="000000"/>
                <w:sz w:val="20"/>
              </w:rPr>
              <w:t>mennyiség</w:t>
            </w:r>
          </w:p>
        </w:tc>
      </w:tr>
      <w:tr w:rsidR="001E667A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III/IV. tisztségcsoport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7</w:t>
            </w:r>
          </w:p>
        </w:tc>
      </w:tr>
      <w:tr w:rsidR="001E667A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Összesen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</w:t>
            </w:r>
          </w:p>
        </w:tc>
      </w:tr>
    </w:tbl>
    <w:p w:rsidR="001E667A" w:rsidRDefault="001E667A">
      <w:pPr>
        <w:rPr>
          <w:rFonts w:eastAsia="Times New Roman"/>
          <w:noProof/>
          <w:sz w:val="20"/>
          <w:szCs w:val="20"/>
          <w:u w:val="single"/>
        </w:rPr>
      </w:pP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1206"/>
        <w:gridCol w:w="1276"/>
        <w:gridCol w:w="1276"/>
        <w:gridCol w:w="1701"/>
      </w:tblGrid>
      <w:tr w:rsidR="001E667A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Kirendelt nemzeti szakértők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2020. év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2021. év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2022. év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Kumulált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br/>
            </w:r>
            <w:r>
              <w:rPr>
                <w:noProof/>
                <w:color w:val="000000"/>
                <w:sz w:val="20"/>
              </w:rPr>
              <w:t>mennyiség</w:t>
            </w:r>
          </w:p>
        </w:tc>
      </w:tr>
      <w:tr w:rsidR="001E667A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Összesen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</w:rPr>
              <w:t>pm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pm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pm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pm</w:t>
            </w:r>
          </w:p>
        </w:tc>
      </w:tr>
    </w:tbl>
    <w:p w:rsidR="001E667A" w:rsidRDefault="001E667A">
      <w:pPr>
        <w:rPr>
          <w:rFonts w:eastAsia="Times New Roman"/>
          <w:noProof/>
          <w:sz w:val="20"/>
        </w:rPr>
      </w:pPr>
    </w:p>
    <w:p w:rsidR="001E667A" w:rsidRDefault="005F0856">
      <w:pPr>
        <w:rPr>
          <w:noProof/>
        </w:rPr>
      </w:pPr>
      <w:r>
        <w:rPr>
          <w:noProof/>
        </w:rPr>
        <w:t>c) Összköltség (működési költségvetés, humán erőforrás és egyéb igazgatási kiadások (4(c) = 4(a) + 4(b))</w:t>
      </w:r>
    </w:p>
    <w:p w:rsidR="001E667A" w:rsidRDefault="005F0856">
      <w:pPr>
        <w:jc w:val="right"/>
        <w:rPr>
          <w:rFonts w:eastAsia="Times New Roman"/>
          <w:noProof/>
          <w:sz w:val="20"/>
        </w:rPr>
      </w:pPr>
      <w:r>
        <w:rPr>
          <w:noProof/>
          <w:sz w:val="20"/>
        </w:rPr>
        <w:t>millió EUR (három tizedesjegyig)</w:t>
      </w:r>
    </w:p>
    <w:tbl>
      <w:tblPr>
        <w:tblW w:w="9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1243"/>
        <w:gridCol w:w="425"/>
        <w:gridCol w:w="884"/>
        <w:gridCol w:w="791"/>
        <w:gridCol w:w="903"/>
        <w:gridCol w:w="1694"/>
      </w:tblGrid>
      <w:tr w:rsidR="001E667A">
        <w:trPr>
          <w:trHeight w:val="578"/>
        </w:trPr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67A" w:rsidRDefault="001E667A">
            <w:pPr>
              <w:spacing w:line="276" w:lineRule="auto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67A" w:rsidRDefault="001E667A">
            <w:pPr>
              <w:spacing w:line="276" w:lineRule="auto"/>
              <w:jc w:val="center"/>
              <w:rPr>
                <w:rFonts w:eastAsia="Times New Roman"/>
                <w:noProof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2020.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év</w:t>
            </w:r>
            <w:r>
              <w:rPr>
                <w:rStyle w:val="FootnoteReference"/>
                <w:noProof/>
              </w:rPr>
              <w:footnoteReference w:id="89"/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2021.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2022.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noProof/>
                <w:sz w:val="20"/>
              </w:rPr>
              <w:t>év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  <w:sz w:val="20"/>
              </w:rPr>
            </w:pPr>
            <w:r>
              <w:rPr>
                <w:b/>
                <w:noProof/>
                <w:sz w:val="18"/>
                <w:szCs w:val="18"/>
              </w:rPr>
              <w:t>2023-ban és azt követően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noProof/>
                <w:sz w:val="18"/>
              </w:rPr>
              <w:t>minden évben</w:t>
            </w:r>
          </w:p>
        </w:tc>
      </w:tr>
      <w:tr w:rsidR="001E667A">
        <w:trPr>
          <w:trHeight w:val="289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667A" w:rsidRDefault="005F0856">
            <w:pPr>
              <w:spacing w:line="276" w:lineRule="auto"/>
              <w:jc w:val="center"/>
              <w:rPr>
                <w:rFonts w:eastAsia="Times New Roman"/>
                <w:b/>
                <w:noProof/>
              </w:rPr>
            </w:pPr>
            <w:r>
              <w:rPr>
                <w:b/>
                <w:noProof/>
                <w:sz w:val="22"/>
              </w:rPr>
              <w:t xml:space="preserve">Előirányzatok ÖSSZESEN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Összes költség 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rPr>
                <w:rFonts w:eastAsia="Times New Roman"/>
                <w:noProof/>
                <w:sz w:val="14"/>
              </w:rPr>
            </w:pPr>
            <w:r>
              <w:rPr>
                <w:noProof/>
                <w:sz w:val="18"/>
              </w:rPr>
              <w:t>Kötelezettségvállalási előirányzatok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12,576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17,380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21,602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jc w:val="center"/>
              <w:rPr>
                <w:rFonts w:eastAsia="Times New Roman"/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22,003</w:t>
            </w:r>
          </w:p>
        </w:tc>
      </w:tr>
      <w:tr w:rsidR="001E667A">
        <w:trPr>
          <w:trHeight w:val="88"/>
        </w:trPr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1E667A">
            <w:pPr>
              <w:spacing w:before="0" w:after="0"/>
              <w:jc w:val="left"/>
              <w:rPr>
                <w:rFonts w:eastAsia="Times New Roman"/>
                <w:b/>
                <w:noProof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line="276" w:lineRule="auto"/>
              <w:rPr>
                <w:rFonts w:eastAsia="Times New Roman"/>
                <w:noProof/>
                <w:sz w:val="14"/>
              </w:rPr>
            </w:pPr>
            <w:r>
              <w:rPr>
                <w:noProof/>
                <w:sz w:val="18"/>
              </w:rPr>
              <w:t>Kifizetési előirányzatok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8,736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15,130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jc w:val="right"/>
              <w:rPr>
                <w:rFonts w:eastAsia="Times New Roman"/>
                <w:noProof/>
                <w:sz w:val="20"/>
              </w:rPr>
            </w:pPr>
            <w:r>
              <w:rPr>
                <w:noProof/>
                <w:sz w:val="20"/>
              </w:rPr>
              <w:t>20,012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7A" w:rsidRDefault="005F0856">
            <w:pPr>
              <w:spacing w:before="60" w:after="60" w:line="276" w:lineRule="auto"/>
              <w:jc w:val="center"/>
              <w:rPr>
                <w:rFonts w:eastAsia="Times New Roman"/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21,383</w:t>
            </w:r>
          </w:p>
        </w:tc>
      </w:tr>
    </w:tbl>
    <w:p w:rsidR="001E667A" w:rsidRDefault="001E667A">
      <w:pPr>
        <w:rPr>
          <w:noProof/>
        </w:rPr>
      </w:pPr>
    </w:p>
    <w:sectPr w:rsidR="001E667A" w:rsidSect="005F0856">
      <w:headerReference w:type="default" r:id="rId34"/>
      <w:footerReference w:type="default" r:id="rId35"/>
      <w:headerReference w:type="first" r:id="rId36"/>
      <w:footerReference w:type="first" r:id="rId37"/>
      <w:pgSz w:w="11907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7A" w:rsidRDefault="005F0856">
      <w:pPr>
        <w:spacing w:before="0" w:after="0"/>
      </w:pPr>
      <w:r>
        <w:separator/>
      </w:r>
    </w:p>
  </w:endnote>
  <w:endnote w:type="continuationSeparator" w:id="0">
    <w:p w:rsidR="001E667A" w:rsidRDefault="005F08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kashi"/>
    <w:charset w:val="00"/>
    <w:family w:val="roman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5F0856" w:rsidRDefault="005F0856" w:rsidP="005F0856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5F0856" w:rsidRDefault="005F0856" w:rsidP="005F0856">
    <w:pPr>
      <w:pStyle w:val="FooterLandscape"/>
      <w:rPr>
        <w:rFonts w:ascii="Arial" w:hAnsi="Arial" w:cs="Arial"/>
        <w:b/>
        <w:sz w:val="48"/>
      </w:rPr>
    </w:pPr>
    <w:r w:rsidRPr="005F0856">
      <w:rPr>
        <w:rFonts w:ascii="Arial" w:hAnsi="Arial" w:cs="Arial"/>
        <w:b/>
        <w:sz w:val="48"/>
      </w:rPr>
      <w:t>HU</w:t>
    </w:r>
    <w:r w:rsidRPr="005F0856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5F0856">
      <w:tab/>
    </w:r>
    <w:r w:rsidRPr="005F0856">
      <w:rPr>
        <w:rFonts w:ascii="Arial" w:hAnsi="Arial" w:cs="Arial"/>
        <w:b/>
        <w:sz w:val="48"/>
      </w:rPr>
      <w:t>HU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5F0856" w:rsidRDefault="005F0856" w:rsidP="005F0856">
    <w:pPr>
      <w:pStyle w:val="FooterLandscape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5F0856" w:rsidRDefault="005F0856" w:rsidP="005F0856">
    <w:pPr>
      <w:pStyle w:val="Footer"/>
      <w:rPr>
        <w:rFonts w:ascii="Arial" w:hAnsi="Arial" w:cs="Arial"/>
        <w:b/>
        <w:sz w:val="48"/>
      </w:rPr>
    </w:pPr>
    <w:r w:rsidRPr="005F0856">
      <w:rPr>
        <w:rFonts w:ascii="Arial" w:hAnsi="Arial" w:cs="Arial"/>
        <w:b/>
        <w:sz w:val="48"/>
      </w:rPr>
      <w:t>HU</w:t>
    </w:r>
    <w:r w:rsidRPr="005F0856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5F0856">
      <w:tab/>
    </w:r>
    <w:r w:rsidRPr="005F0856">
      <w:rPr>
        <w:rFonts w:ascii="Arial" w:hAnsi="Arial" w:cs="Arial"/>
        <w:b/>
        <w:sz w:val="48"/>
      </w:rPr>
      <w:t>HU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5F0856" w:rsidRDefault="005F0856" w:rsidP="005F08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7A" w:rsidRPr="005F0856" w:rsidRDefault="005F0856" w:rsidP="005F0856">
    <w:pPr>
      <w:pStyle w:val="Footer"/>
      <w:rPr>
        <w:rFonts w:ascii="Arial" w:hAnsi="Arial" w:cs="Arial"/>
        <w:b/>
        <w:sz w:val="48"/>
      </w:rPr>
    </w:pPr>
    <w:r w:rsidRPr="005F0856">
      <w:rPr>
        <w:rFonts w:ascii="Arial" w:hAnsi="Arial" w:cs="Arial"/>
        <w:b/>
        <w:sz w:val="48"/>
      </w:rPr>
      <w:t>HU</w:t>
    </w:r>
    <w:r w:rsidRPr="005F0856">
      <w:rPr>
        <w:rFonts w:ascii="Arial" w:hAnsi="Arial" w:cs="Arial"/>
        <w:b/>
        <w:sz w:val="48"/>
      </w:rPr>
      <w:tab/>
    </w:r>
    <w:r w:rsidRPr="005F0856">
      <w:rPr>
        <w:rFonts w:ascii="Arial" w:hAnsi="Arial" w:cs="Arial"/>
        <w:b/>
        <w:sz w:val="48"/>
      </w:rPr>
      <w:tab/>
    </w:r>
    <w:r w:rsidRPr="005F0856">
      <w:tab/>
    </w:r>
    <w:r w:rsidRPr="005F0856"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5F0856" w:rsidRDefault="005F0856" w:rsidP="005F085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5F0856" w:rsidRDefault="005F0856" w:rsidP="005F0856">
    <w:pPr>
      <w:pStyle w:val="Footer"/>
      <w:rPr>
        <w:rFonts w:ascii="Arial" w:hAnsi="Arial" w:cs="Arial"/>
        <w:b/>
        <w:sz w:val="48"/>
      </w:rPr>
    </w:pPr>
    <w:r w:rsidRPr="005F0856">
      <w:rPr>
        <w:rFonts w:ascii="Arial" w:hAnsi="Arial" w:cs="Arial"/>
        <w:b/>
        <w:sz w:val="48"/>
      </w:rPr>
      <w:t>HU</w:t>
    </w:r>
    <w:r w:rsidRPr="005F0856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5F0856">
      <w:tab/>
    </w:r>
    <w:r w:rsidRPr="005F0856"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5F0856" w:rsidRDefault="005F0856" w:rsidP="005F0856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5F0856" w:rsidRDefault="005F0856" w:rsidP="005F0856">
    <w:pPr>
      <w:pStyle w:val="FooterLandscape"/>
      <w:rPr>
        <w:rFonts w:ascii="Arial" w:hAnsi="Arial" w:cs="Arial"/>
        <w:b/>
        <w:sz w:val="48"/>
      </w:rPr>
    </w:pPr>
    <w:r w:rsidRPr="005F0856">
      <w:rPr>
        <w:rFonts w:ascii="Arial" w:hAnsi="Arial" w:cs="Arial"/>
        <w:b/>
        <w:sz w:val="48"/>
      </w:rPr>
      <w:t>HU</w:t>
    </w:r>
    <w:r w:rsidRPr="005F0856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5F0856">
      <w:tab/>
    </w:r>
    <w:r w:rsidRPr="005F0856">
      <w:rPr>
        <w:rFonts w:ascii="Arial" w:hAnsi="Arial" w:cs="Arial"/>
        <w:b/>
        <w:sz w:val="48"/>
      </w:rPr>
      <w:t>HU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5F0856" w:rsidRDefault="005F0856" w:rsidP="005F0856"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5F0856" w:rsidRDefault="005F0856" w:rsidP="005F0856">
    <w:pPr>
      <w:pStyle w:val="Footer"/>
      <w:rPr>
        <w:rFonts w:ascii="Arial" w:hAnsi="Arial" w:cs="Arial"/>
        <w:b/>
        <w:sz w:val="48"/>
      </w:rPr>
    </w:pPr>
    <w:r w:rsidRPr="005F0856">
      <w:rPr>
        <w:rFonts w:ascii="Arial" w:hAnsi="Arial" w:cs="Arial"/>
        <w:b/>
        <w:sz w:val="48"/>
      </w:rPr>
      <w:t>HU</w:t>
    </w:r>
    <w:r w:rsidRPr="005F0856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5F0856">
      <w:tab/>
    </w:r>
    <w:r w:rsidRPr="005F0856">
      <w:rPr>
        <w:rFonts w:ascii="Arial" w:hAnsi="Arial" w:cs="Arial"/>
        <w:b/>
        <w:sz w:val="48"/>
      </w:rPr>
      <w:t>HU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5F0856" w:rsidRDefault="005F0856" w:rsidP="005F0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7A" w:rsidRDefault="005F0856">
      <w:pPr>
        <w:spacing w:before="0" w:after="0"/>
      </w:pPr>
      <w:r>
        <w:separator/>
      </w:r>
    </w:p>
  </w:footnote>
  <w:footnote w:type="continuationSeparator" w:id="0">
    <w:p w:rsidR="001E667A" w:rsidRDefault="005F0856">
      <w:pPr>
        <w:spacing w:before="0" w:after="0"/>
      </w:pPr>
      <w:r>
        <w:continuationSeparator/>
      </w:r>
    </w:p>
  </w:footnote>
  <w:footnote w:id="1">
    <w:p w:rsidR="001E667A" w:rsidRDefault="005F0856">
      <w:pPr>
        <w:pStyle w:val="FootnoteText"/>
        <w:rPr>
          <w:rStyle w:val="FootnoteReference"/>
          <w:sz w:val="16"/>
          <w:szCs w:val="16"/>
        </w:rPr>
      </w:pPr>
      <w:r>
        <w:rPr>
          <w:rStyle w:val="FootnoteReference"/>
        </w:rPr>
        <w:footnoteRef/>
      </w:r>
      <w:r>
        <w:tab/>
      </w:r>
      <w:r>
        <w:rPr>
          <w:sz w:val="16"/>
        </w:rPr>
        <w:t>Jean-Claude Juncker: „Új kezdet Európa számára: a munkahelyteremtés, a növekedés, a méltányosság és a demokratikus változás programja”, Politikai iránymutatás a hivatalba lépő következő Európai Bizottság számára, Nyitóbeszéd az Európai Parlament plenáris ü</w:t>
      </w:r>
      <w:r>
        <w:rPr>
          <w:sz w:val="16"/>
        </w:rPr>
        <w:t xml:space="preserve">lésén, Strasbourg, 2014. július 15.: </w:t>
      </w:r>
      <w:hyperlink r:id="rId1">
        <w:r>
          <w:rPr>
            <w:sz w:val="16"/>
          </w:rPr>
          <w:t>http://ec.europa.eu/about/juncker-commission/priorities/index_en.htm</w:t>
        </w:r>
      </w:hyperlink>
      <w:r>
        <w:rPr>
          <w:sz w:val="16"/>
        </w:rPr>
        <w:t>.</w:t>
      </w:r>
    </w:p>
  </w:footnote>
  <w:footnote w:id="2">
    <w:p w:rsidR="001E667A" w:rsidRDefault="005F0856">
      <w:pPr>
        <w:pStyle w:val="FootnoteText"/>
        <w:rPr>
          <w:rStyle w:val="FootnoteReference"/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tab/>
      </w:r>
      <w:r>
        <w:rPr>
          <w:sz w:val="16"/>
        </w:rPr>
        <w:t>COM(2016) 710 final: https://ec.europa.eu/info/sites/info/f</w:t>
      </w:r>
      <w:r>
        <w:rPr>
          <w:sz w:val="16"/>
        </w:rPr>
        <w:t>iles/cwp_2017_hu.pdf</w:t>
      </w:r>
    </w:p>
  </w:footnote>
  <w:footnote w:id="3">
    <w:p w:rsidR="001E667A" w:rsidRDefault="005F085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ab/>
      </w:r>
      <w:r>
        <w:rPr>
          <w:sz w:val="16"/>
        </w:rPr>
        <w:t xml:space="preserve">Forrás: Eurostat. </w:t>
      </w:r>
    </w:p>
  </w:footnote>
  <w:footnote w:id="4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 xml:space="preserve">COM(2016) 710 final: </w:t>
      </w:r>
      <w:hyperlink r:id="rId2">
        <w:r>
          <w:rPr>
            <w:rStyle w:val="Hyperlink"/>
            <w:color w:val="auto"/>
            <w:sz w:val="16"/>
            <w:lang w:val="pt-PT"/>
          </w:rPr>
          <w:t>http://ec.europa.eu/atwork/key-documents/index_en.htm</w:t>
        </w:r>
      </w:hyperlink>
    </w:p>
  </w:footnote>
  <w:footnote w:id="5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765/2008/EK rendelete a termé</w:t>
      </w:r>
      <w:r>
        <w:rPr>
          <w:sz w:val="16"/>
          <w:lang w:val="pt-PT"/>
        </w:rPr>
        <w:t>kek forgalmazása tekintetében az akkreditálás és piacfelügyelet előírásainak megállapításáról és a 339/93/EGK rendelet hatályon kívül helyezéséről (HL L 218., 2008.8.13., 30. o.).</w:t>
      </w:r>
    </w:p>
  </w:footnote>
  <w:footnote w:id="6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768/2008/EK határozata a termékek forgalo</w:t>
      </w:r>
      <w:r>
        <w:rPr>
          <w:sz w:val="16"/>
          <w:lang w:val="pt-PT"/>
        </w:rPr>
        <w:t xml:space="preserve">mba hozatalának közös keretrendszeréről, valamint a 93/465/EGK tanácsi határozat hatályon kívül helyezéséről (HL L 218., 2008.8.13., 82. o.). </w:t>
      </w:r>
    </w:p>
  </w:footnote>
  <w:footnote w:id="7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COM(2013) 75 final: http://eur-lex.europa.eu/legal-content/HU/TXT/?uri=COM:2013:0075:FIN</w:t>
      </w:r>
    </w:p>
  </w:footnote>
  <w:footnote w:id="8">
    <w:p w:rsidR="001E667A" w:rsidRDefault="005F085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ab/>
      </w:r>
      <w:r>
        <w:rPr>
          <w:sz w:val="16"/>
        </w:rPr>
        <w:t>Az Európai Parlament</w:t>
      </w:r>
      <w:r>
        <w:rPr>
          <w:sz w:val="16"/>
        </w:rPr>
        <w:t xml:space="preserve"> és a Tanács 2001/95/EK irányelve (2001. december 3.) az általános termékbiztonságról (HL L 11., 2002.1.15., 4. o.).</w:t>
      </w:r>
    </w:p>
  </w:footnote>
  <w:footnote w:id="9">
    <w:p w:rsidR="001E667A" w:rsidRDefault="005F085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ab/>
      </w:r>
      <w:r>
        <w:rPr>
          <w:sz w:val="16"/>
        </w:rPr>
        <w:t>Az Európai Parlament és a Tanács 952/2013/EU rendelete (2013. október 9.) az Uniós Vámkódex létrehozásáról (HL L 269., 2013.10.10., 1. o.</w:t>
      </w:r>
      <w:r>
        <w:rPr>
          <w:sz w:val="16"/>
        </w:rPr>
        <w:t xml:space="preserve">). </w:t>
      </w:r>
    </w:p>
  </w:footnote>
  <w:footnote w:id="10">
    <w:p w:rsidR="001E667A" w:rsidRDefault="005F0856">
      <w:pPr>
        <w:pStyle w:val="FootnoteText"/>
        <w:jc w:val="left"/>
        <w:rPr>
          <w:sz w:val="16"/>
          <w:szCs w:val="16"/>
        </w:rPr>
      </w:pPr>
      <w:r>
        <w:rPr>
          <w:rStyle w:val="FootnoteReference"/>
        </w:rPr>
        <w:footnoteRef/>
      </w:r>
      <w:r>
        <w:tab/>
      </w:r>
      <w:r>
        <w:rPr>
          <w:sz w:val="16"/>
        </w:rPr>
        <w:t>A Bizottság közleménye: „Uniós jog: jobb eredmények elérése a jobb alkalmazás révén”, 2016.12.13., 5–6. oldal.</w:t>
      </w:r>
    </w:p>
  </w:footnote>
  <w:footnote w:id="11">
    <w:p w:rsidR="001E667A" w:rsidRDefault="005F085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ab/>
      </w:r>
      <w:r>
        <w:rPr>
          <w:sz w:val="16"/>
        </w:rPr>
        <w:t>Az Európai Parlament és a Tanács (EU) 2017/625 rendelete (2017. március 15.) az élelmiszer- és takarmányjog, valamint az állategészségügy</w:t>
      </w:r>
      <w:r>
        <w:rPr>
          <w:sz w:val="16"/>
        </w:rPr>
        <w:t>i és állatjóléti szabályok, a növényegészségügyi szabályok, és a növényvédő szerekre vonatkozó szabályok alkalmazásának biztosítása céljából végzett hatósági ellenőrzésekről és más hatósági tevékenységekről, továbbá a 999/2001/EK, a 396/2005/EK, az 1069/20</w:t>
      </w:r>
      <w:r>
        <w:rPr>
          <w:sz w:val="16"/>
        </w:rPr>
        <w:t>09/EK, az 1107/2009/EK, az 1151/2012/EU, a 652/2014/EU, az (EU) 2016/429 és az (EU) 2016/2031 európai parlamenti és tanácsi rendelet, az 1/2005/EK és az 1099/2009/EK tanácsi rendelet, valamint a 98/58/EK, az 1999/74/EK, a 2007/43/EK, a 2008/119/EK és a 200</w:t>
      </w:r>
      <w:r>
        <w:rPr>
          <w:sz w:val="16"/>
        </w:rPr>
        <w:t>8/120/EK tanácsi irányelv módosításáról, és a 854/2004/EK és a 882/2004/EK európai parlamenti és tanácsi rendelet, a 89/608/EGK, a 89/662/EGK, a 90/425/EGK, a 91/496/EGK, a 96/23/EK, a 96/93/EK és a 97/78/EK tanácsi irányelv és a 92/438/EGK tanácsi határoz</w:t>
      </w:r>
      <w:r>
        <w:rPr>
          <w:sz w:val="16"/>
        </w:rPr>
        <w:t>at hatályon kívül helyezéséről (a hatósági ellenőrzésekről szóló rendelet) (HL L 95., 2017.4.7., 1-142. o.).</w:t>
      </w:r>
    </w:p>
  </w:footnote>
  <w:footnote w:id="12">
    <w:p w:rsidR="001E667A" w:rsidRDefault="005F085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ab/>
      </w:r>
      <w:r>
        <w:rPr>
          <w:sz w:val="16"/>
        </w:rPr>
        <w:t>COM(2016)283 — Javaslat – Az Európai Parlament és a Tanács rendelete a fogyasztóvédelmi jogszabályok alkalmazásáért felelős nemzeti hatóságok köz</w:t>
      </w:r>
      <w:r>
        <w:rPr>
          <w:sz w:val="16"/>
        </w:rPr>
        <w:t>ötti együttműködésről.</w:t>
      </w:r>
    </w:p>
  </w:footnote>
  <w:footnote w:id="13">
    <w:p w:rsidR="001E667A" w:rsidRDefault="005F085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ab/>
      </w:r>
      <w:r>
        <w:rPr>
          <w:sz w:val="16"/>
        </w:rPr>
        <w:t>COM(2017)142 – Javaslat – Az Európai Parlament és a Tanács irányelve a tagállami versenyhatóságok helyzetének a hatékonyabb jogalkalmazás és a belső piac megfelelő működésének biztosítása céljából történő megerősítéséről.</w:t>
      </w:r>
    </w:p>
  </w:footnote>
  <w:footnote w:id="14">
    <w:p w:rsidR="001E667A" w:rsidRDefault="005F085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ab/>
      </w:r>
      <w:r>
        <w:rPr>
          <w:sz w:val="16"/>
        </w:rPr>
        <w:t>Az Európai Parlament és a Tanács (EU) 2017/745 rendelete (2017. április 5.) az orvostechnikai eszközökről, a 2001/83/EK irányelv, a 178/2002/EK rendelet és az 1223/2009/EK rendelet módosításáról, valamint a 90/385/EGK és a 93/42/EGK tanácsi irányelv hatály</w:t>
      </w:r>
      <w:r>
        <w:rPr>
          <w:sz w:val="16"/>
        </w:rPr>
        <w:t xml:space="preserve">on kívül helyezéséről (orvostechnikai eszközök ); Az Európai Parlament és a Tanács (EU) 2017/1369 rendelete (2017. július 4.) az energiacímkézés keretének meghatározásáról </w:t>
      </w:r>
      <w:r>
        <w:rPr>
          <w:rStyle w:val="Strong"/>
          <w:b w:val="0"/>
          <w:sz w:val="16"/>
        </w:rPr>
        <w:t>és a 2010/30/EU irányelv hatályon kívül helyezéséről (HL L </w:t>
      </w:r>
      <w:r>
        <w:rPr>
          <w:sz w:val="16"/>
        </w:rPr>
        <w:t>198., 2017.7.28., 1–23. o</w:t>
      </w:r>
      <w:r>
        <w:rPr>
          <w:sz w:val="16"/>
        </w:rPr>
        <w:t>.); COM(2016) 31 final – Javaslat: az Európai Parlament és a Tanács rendelete a gépjárművek és pótkocsijaik, valamint az ilyen járművek rendszereinek, alkatrészeinek és önálló műszaki egységeinek jóváhagyásáról és piaci felügyeletéről.</w:t>
      </w:r>
    </w:p>
  </w:footnote>
  <w:footnote w:id="15">
    <w:p w:rsidR="001E667A" w:rsidRDefault="005F085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ab/>
      </w:r>
      <w:r>
        <w:rPr>
          <w:sz w:val="16"/>
        </w:rPr>
        <w:t>Az Európai Parlame</w:t>
      </w:r>
      <w:r>
        <w:rPr>
          <w:sz w:val="16"/>
        </w:rPr>
        <w:t>nt és a Tanács (EU) 2016/679 rendelete (2016. április 27.) a természetes személyeknek a személyes adatok kezelése tekintetében történő védelméről és az ilyen adatok szabad áramlásáról, valamint a 95/46/EK irányelv hatályon kívül helyezéséről (általános ada</w:t>
      </w:r>
      <w:r>
        <w:rPr>
          <w:sz w:val="16"/>
        </w:rPr>
        <w:t>tvédelmi rendelet).</w:t>
      </w:r>
    </w:p>
  </w:footnote>
  <w:footnote w:id="16">
    <w:p w:rsidR="001E667A" w:rsidRDefault="005F0856">
      <w:pPr>
        <w:pStyle w:val="FootnoteText"/>
        <w:tabs>
          <w:tab w:val="left" w:pos="-16018"/>
        </w:tabs>
        <w:rPr>
          <w:sz w:val="16"/>
          <w:szCs w:val="16"/>
        </w:rPr>
      </w:pPr>
      <w:r>
        <w:rPr>
          <w:rStyle w:val="FootnoteReference"/>
        </w:rPr>
        <w:footnoteRef/>
      </w:r>
      <w:r>
        <w:tab/>
      </w:r>
      <w:r>
        <w:rPr>
          <w:sz w:val="16"/>
        </w:rPr>
        <w:t>COM(2016)157, SWD(2016)64 és 65.</w:t>
      </w:r>
    </w:p>
  </w:footnote>
  <w:footnote w:id="17">
    <w:p w:rsidR="001E667A" w:rsidRDefault="005F0856">
      <w:pPr>
        <w:pStyle w:val="FootnoteText"/>
        <w:tabs>
          <w:tab w:val="left" w:pos="709"/>
        </w:tabs>
        <w:rPr>
          <w:sz w:val="16"/>
          <w:szCs w:val="16"/>
        </w:rPr>
      </w:pPr>
      <w:r>
        <w:rPr>
          <w:rStyle w:val="FootnoteReference"/>
        </w:rPr>
        <w:footnoteRef/>
      </w:r>
      <w:r>
        <w:tab/>
      </w:r>
      <w:r>
        <w:rPr>
          <w:sz w:val="16"/>
        </w:rPr>
        <w:t>Az EU vámuniójának és a vámunió irányításának továbbfejlesztése, COM(2016)813, 2016.12.21.</w:t>
      </w:r>
    </w:p>
  </w:footnote>
  <w:footnote w:id="18">
    <w:p w:rsidR="001E667A" w:rsidRDefault="005F0856">
      <w:pPr>
        <w:pStyle w:val="FootnoteText"/>
        <w:tabs>
          <w:tab w:val="left" w:pos="709"/>
        </w:tabs>
        <w:rPr>
          <w:sz w:val="16"/>
          <w:szCs w:val="16"/>
        </w:rPr>
      </w:pPr>
      <w:r>
        <w:rPr>
          <w:rStyle w:val="FootnoteReference"/>
        </w:rPr>
        <w:footnoteRef/>
      </w:r>
      <w:r>
        <w:tab/>
      </w:r>
      <w:r>
        <w:rPr>
          <w:sz w:val="16"/>
        </w:rPr>
        <w:t xml:space="preserve">A globalizációban rejlő lehetőségek kiaknázásáról szóló vitaanyag 3.3. pontja, 2017. május 10.:  </w:t>
      </w:r>
      <w:hyperlink r:id="rId3" w:history="1">
        <w:r>
          <w:rPr>
            <w:rStyle w:val="Hyperlink"/>
            <w:color w:val="auto"/>
            <w:sz w:val="16"/>
            <w:szCs w:val="16"/>
          </w:rPr>
          <w:t>https://ec.europa.eu/commission/publications/reflection-paper-harnessing-globalisation_en</w:t>
        </w:r>
      </w:hyperlink>
    </w:p>
  </w:footnote>
  <w:footnote w:id="19">
    <w:p w:rsidR="001E667A" w:rsidRDefault="005F085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ab/>
      </w:r>
      <w:r>
        <w:rPr>
          <w:sz w:val="16"/>
        </w:rPr>
        <w:t>SWD(2017)469 – Bizottsági szolgálati munkadokumentum a termékek for</w:t>
      </w:r>
      <w:r>
        <w:rPr>
          <w:sz w:val="16"/>
        </w:rPr>
        <w:t>galmazása tekintetében az akkreditálás és piacfelügyelet előírásainak megállapításáról és a 339/93/EGK rendelet hatályon kívül helyezéséről szóló 765/2008/EK európai parlamenti és a tanácsi rendeletben (2008. július 9.) szereplő piacfelügyeleti rendelkezés</w:t>
      </w:r>
      <w:r>
        <w:rPr>
          <w:sz w:val="16"/>
        </w:rPr>
        <w:t>ek értékeléséről.</w:t>
      </w:r>
    </w:p>
  </w:footnote>
  <w:footnote w:id="20">
    <w:p w:rsidR="001E667A" w:rsidRDefault="005F085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ab/>
      </w:r>
      <w:r>
        <w:rPr>
          <w:sz w:val="16"/>
        </w:rPr>
        <w:t>SWD(2017)466, Bizottsági szolgálati munkadokumentum: az uniós harmonizációs jogszabályok végrehajtásáról szóló európai parlamenti és tanácsi rendeletre irányuló javaslatot kísérő hatásvizsgálat.</w:t>
      </w:r>
    </w:p>
  </w:footnote>
  <w:footnote w:id="21">
    <w:p w:rsidR="001E667A" w:rsidRDefault="005F0856">
      <w:pPr>
        <w:spacing w:before="0" w:after="0"/>
        <w:ind w:left="720" w:hanging="720"/>
        <w:rPr>
          <w:sz w:val="16"/>
          <w:szCs w:val="16"/>
        </w:rPr>
      </w:pPr>
      <w:r>
        <w:rPr>
          <w:rStyle w:val="FootnoteReference"/>
        </w:rPr>
        <w:footnoteRef/>
      </w:r>
      <w:r>
        <w:tab/>
      </w:r>
      <w:r>
        <w:rPr>
          <w:sz w:val="16"/>
        </w:rPr>
        <w:t>Az összefoglaló és a Szabályozói Ellenő</w:t>
      </w:r>
      <w:r>
        <w:rPr>
          <w:sz w:val="16"/>
        </w:rPr>
        <w:t>rzési Testület kedvező véleménye itt elérhető: [a linket be kell illeszteni].</w:t>
      </w:r>
    </w:p>
  </w:footnote>
  <w:footnote w:id="22">
    <w:p w:rsidR="001E667A" w:rsidRDefault="005F0856">
      <w:pPr>
        <w:pStyle w:val="NormalWeb"/>
        <w:spacing w:before="0" w:beforeAutospacing="0" w:after="0" w:afterAutospacing="0"/>
        <w:ind w:left="720" w:hanging="720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ab/>
      </w:r>
      <w:r>
        <w:rPr>
          <w:sz w:val="16"/>
        </w:rPr>
        <w:t xml:space="preserve">Az Európai Parlament és a Tanács 2004/42/EK irányelve a szerves oldószerek egyes festékekben, lakkokban és jármű utánfényezésére szolgáló termékekben történő felhasználása során keletkező illékony szerves vegyületek kibocsátásának korlátozásáról (HL </w:t>
      </w:r>
      <w:r>
        <w:rPr>
          <w:rStyle w:val="Emphasis"/>
          <w:i w:val="0"/>
          <w:sz w:val="16"/>
        </w:rPr>
        <w:t>L 143.</w:t>
      </w:r>
      <w:r>
        <w:rPr>
          <w:rStyle w:val="Emphasis"/>
          <w:i w:val="0"/>
          <w:sz w:val="16"/>
        </w:rPr>
        <w:t>, 2004.4.30., 87. o.).</w:t>
      </w:r>
    </w:p>
    <w:p w:rsidR="001E667A" w:rsidRDefault="001E667A">
      <w:pPr>
        <w:pStyle w:val="FootnoteText"/>
        <w:rPr>
          <w:sz w:val="16"/>
          <w:szCs w:val="16"/>
        </w:rPr>
      </w:pPr>
    </w:p>
  </w:footnote>
  <w:footnote w:id="23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HL C […], […], […] o.</w:t>
      </w:r>
    </w:p>
  </w:footnote>
  <w:footnote w:id="24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COM(2015)550 final, 2015. október 28.</w:t>
      </w:r>
    </w:p>
  </w:footnote>
  <w:footnote w:id="25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2001/95/EK irányelve (2001. december 3.) az általános termékbiztonságról (HL L 11., 2002.1.15., 4. o.).</w:t>
      </w:r>
    </w:p>
  </w:footnote>
  <w:footnote w:id="26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</w:t>
      </w:r>
      <w:r>
        <w:rPr>
          <w:sz w:val="16"/>
          <w:lang w:val="pt-PT"/>
        </w:rPr>
        <w:t>anács 765/2008/EK rendelete a termékek forgalmazása tekintetében az akkreditálás és piacfelügyelet előírásainak megállapításáról és a 339/93/EGK rendelet hatályon kívül helyezéséről (HL L 218., 2008.8.13., 30. o.).</w:t>
      </w:r>
    </w:p>
  </w:footnote>
  <w:footnote w:id="27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1258/2</w:t>
      </w:r>
      <w:r>
        <w:rPr>
          <w:sz w:val="16"/>
          <w:lang w:val="pt-PT"/>
        </w:rPr>
        <w:t>013/EU rendelete (2013. november 20.) a kábítószer-prekurzorokról szóló 273/2004/EK rendelet módosításáról</w:t>
      </w:r>
      <w:r>
        <w:rPr>
          <w:lang w:val="pt-PT"/>
        </w:rPr>
        <w:t xml:space="preserve"> (</w:t>
      </w:r>
      <w:r>
        <w:rPr>
          <w:sz w:val="16"/>
          <w:lang w:val="pt-PT"/>
        </w:rPr>
        <w:t>HL L 47., 2004.2.18., 1. o.).</w:t>
      </w:r>
    </w:p>
  </w:footnote>
  <w:footnote w:id="28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1223/2009/EK rendelete (2009. november 30.) a kozmetikai termékekről (HL L 342., 20</w:t>
      </w:r>
      <w:r>
        <w:rPr>
          <w:sz w:val="16"/>
          <w:lang w:val="pt-PT"/>
        </w:rPr>
        <w:t>09.12.22., 59. o.).</w:t>
      </w:r>
    </w:p>
  </w:footnote>
  <w:footnote w:id="29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(EU) 2017/745 rendelete (2017. április 5.) az orvostechnikai eszközökről, a 2001/83/EK irányelv, a 178/2002/EK rendelet és az 1223/2009/EK rendelet módosításáról, valamint a 90/385/EGK és a 93/42/EGK t</w:t>
      </w:r>
      <w:r>
        <w:rPr>
          <w:sz w:val="16"/>
          <w:lang w:val="pt-PT"/>
        </w:rPr>
        <w:t>anácsi irányelv hatályon kívül helyezéséről (HL L 117., 2017.5.5., 1. o.).</w:t>
      </w:r>
    </w:p>
  </w:footnote>
  <w:footnote w:id="30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 xml:space="preserve">Az Európai Parlament és a Tanács (EU) 2017/746 rendelete (2017. április 5.) az in vitro diagnosztikai orvostechnikai eszközökről, valamint a 98/79/EK irányelv és a 2010/227/EU </w:t>
      </w:r>
      <w:r>
        <w:rPr>
          <w:sz w:val="16"/>
          <w:lang w:val="pt-PT"/>
        </w:rPr>
        <w:t>bizottsági határozat hatályon kívül helyezéséről (HL L 117., 2017.5.5., 176. o.).</w:t>
      </w:r>
    </w:p>
  </w:footnote>
  <w:footnote w:id="31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273/2004/EK rendelete (2004. február 11.) a kábítószer-prekurzorokról (HL L 47., 2004.2.18., 1. o.).</w:t>
      </w:r>
    </w:p>
  </w:footnote>
  <w:footnote w:id="32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190</w:t>
      </w:r>
      <w:r>
        <w:rPr>
          <w:sz w:val="16"/>
          <w:lang w:val="pt-PT"/>
        </w:rPr>
        <w:t>7/2006/EK rendelete (2006. december 18.) a vegyi anyagok regisztrálásáról, értékeléséről, engedélyezéséről és korlátozásáról (REACH), az Európai Vegyianyag-ügynökség létrehozásáról, az 1999/45/EK irányelv módosításáról, valamint a 793/93/EGK tanácsi rendel</w:t>
      </w:r>
      <w:r>
        <w:rPr>
          <w:sz w:val="16"/>
          <w:lang w:val="pt-PT"/>
        </w:rPr>
        <w:t>et, az 1488/94/EK bizottsági rendelet, a 76/769/EGK tanácsi irányelv, a 91/155/EGK, a 93/67/EGK, a 93/105/EK és a 2000/21/EK bizottsági irányelv hatályon kívül helyezéséről (HL L 396., 2006.12.30., 1. o.).</w:t>
      </w:r>
    </w:p>
  </w:footnote>
  <w:footnote w:id="33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1272/2008/EK re</w:t>
      </w:r>
      <w:r>
        <w:rPr>
          <w:sz w:val="16"/>
          <w:lang w:val="pt-PT"/>
        </w:rPr>
        <w:t>ndelete (2008. december 16.) az anyagok és keverékek osztályozásáról, címkézéséről és csomagolásáról, a 67/548/EGK és az 1999/45/EK irányelv módosításáról és hatályon kívül helyezéséről, valamint az 1907/2006/EK rendelet módosításáról (HL L 353., 2008.12.3</w:t>
      </w:r>
      <w:r>
        <w:rPr>
          <w:sz w:val="16"/>
          <w:lang w:val="pt-PT"/>
        </w:rPr>
        <w:t>1., 1. o.).</w:t>
      </w:r>
    </w:p>
  </w:footnote>
  <w:footnote w:id="34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1222/2009/EK rendelete (2009. november 25.) a gumiabroncsok üzemanyag-hatékonyság és más lényeges paraméterek tekintetében történő címkézéséről (HL L 342., 2009.12.22., 46. o.).</w:t>
      </w:r>
    </w:p>
  </w:footnote>
  <w:footnote w:id="35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</w:t>
      </w:r>
      <w:r>
        <w:rPr>
          <w:sz w:val="16"/>
          <w:lang w:val="pt-PT"/>
        </w:rPr>
        <w:t>ács (EU) 2016/424 rendelete (2016. március 9.) a kötélpálya-létesítményekről és a 2000/9/EK irányelv hatályon kívül helyezéséről (HL L 81., 2016.3.31., 1. o.).</w:t>
      </w:r>
    </w:p>
  </w:footnote>
  <w:footnote w:id="36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(EU) 2016/425 rendelete (2016. március 9.) az egyéni védőeszk</w:t>
      </w:r>
      <w:r>
        <w:rPr>
          <w:sz w:val="16"/>
          <w:lang w:val="pt-PT"/>
        </w:rPr>
        <w:t>özökről és a 89/686/EGK tanácsi irányelv hatályon kívül helyezéséről (HL L 81., 2016.3.31., 51. o.).</w:t>
      </w:r>
    </w:p>
  </w:footnote>
  <w:footnote w:id="37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(EU) 2016/426 rendelete (2016. március 9.) a gáz halmazállapotú tüzelőanyag égetésével üzemelő berendezésekről és a 2009</w:t>
      </w:r>
      <w:r>
        <w:rPr>
          <w:sz w:val="16"/>
          <w:lang w:val="pt-PT"/>
        </w:rPr>
        <w:t>/142/EK irányelv hatályon kívül helyezéséről (HL L 81., 2016.3.31., 99. o.).</w:t>
      </w:r>
    </w:p>
  </w:footnote>
  <w:footnote w:id="38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 xml:space="preserve">Az Európai Parlament és a Tanács (EU) 2017/1369 rendelete (2017. július 4.) az energiacímkézés keretének meghatározásáról </w:t>
      </w:r>
      <w:r>
        <w:rPr>
          <w:rStyle w:val="Strong"/>
          <w:b w:val="0"/>
          <w:sz w:val="16"/>
          <w:lang w:val="pt-PT"/>
        </w:rPr>
        <w:t>és a 2010/30/EU irányelv hatályon kívül helyezéséről</w:t>
      </w:r>
      <w:r>
        <w:rPr>
          <w:sz w:val="16"/>
          <w:lang w:val="pt-PT"/>
        </w:rPr>
        <w:t xml:space="preserve"> (H</w:t>
      </w:r>
      <w:r>
        <w:rPr>
          <w:sz w:val="16"/>
          <w:lang w:val="pt-PT"/>
        </w:rPr>
        <w:t>L L 198., 2017.7.28., 1. o.).</w:t>
      </w:r>
    </w:p>
  </w:footnote>
  <w:footnote w:id="39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2006/42/EK irányelve (2006. május 17.) a gépekről és a 95/16/EK irányelv módosításáról (átdolgozás) (HL L 157., 2006.6.9., 24. o.).</w:t>
      </w:r>
    </w:p>
  </w:footnote>
  <w:footnote w:id="40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2006/66/EK irányelve (20</w:t>
      </w:r>
      <w:r>
        <w:rPr>
          <w:sz w:val="16"/>
          <w:lang w:val="pt-PT"/>
        </w:rPr>
        <w:t>06. szeptember 6.) az elemekről és akkumulátorokról, valamint a hulladékelemekről és -akkumulátorokról, továbbá a 91/157/EGK irányelv hatályon kívül helyezéséről (HL L 266., 2006.9.26., 1. o.).</w:t>
      </w:r>
    </w:p>
  </w:footnote>
  <w:footnote w:id="41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2009/48/EK irányelve (2009.</w:t>
      </w:r>
      <w:r>
        <w:rPr>
          <w:sz w:val="16"/>
          <w:lang w:val="pt-PT"/>
        </w:rPr>
        <w:t xml:space="preserve"> június 18.) a játékok biztonságáról (HL L 170., 2009.6.30., 1. o.).</w:t>
      </w:r>
    </w:p>
  </w:footnote>
  <w:footnote w:id="42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2010/35/EU irányelve (2010. június 16.) a szállítható nyomástartó berendezésekről és a 76/767/EGK, 84/525/EGK, 84/526/EGK, 84/527/EGK és az 1999/36/EK t</w:t>
      </w:r>
      <w:r>
        <w:rPr>
          <w:sz w:val="16"/>
          <w:lang w:val="pt-PT"/>
        </w:rPr>
        <w:t>anácsi irányelv hatályon kívül helyezéséről (HL L 165., 2010.6.30., 1. o.).</w:t>
      </w:r>
    </w:p>
  </w:footnote>
  <w:footnote w:id="43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2013/29/EU irányelve (2013. június 12.) a pirotechnikai termékek forgalmazására vonatkozó tagállami jogszabályok harmonizációjáról (átdolgozás) (</w:t>
      </w:r>
      <w:r>
        <w:rPr>
          <w:sz w:val="16"/>
          <w:lang w:val="pt-PT"/>
        </w:rPr>
        <w:t>HL L 178., 2013.6.28., 27. o.).</w:t>
      </w:r>
    </w:p>
  </w:footnote>
  <w:footnote w:id="44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2013/53/EU irányelve (2013. november 20.) a kedvtelési célú vízi járművekről és a motoros vízi sporteszközökről, valamint a 94/25/EK irányelv hatályon kívül helyezéséről (HL L 354., 2013.12</w:t>
      </w:r>
      <w:r>
        <w:rPr>
          <w:sz w:val="16"/>
          <w:lang w:val="pt-PT"/>
        </w:rPr>
        <w:t>.28., 90. o.).</w:t>
      </w:r>
    </w:p>
  </w:footnote>
  <w:footnote w:id="45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2014/28/EU irányelve (2014. február 26.) a polgári felhasználású robbanóanyagok forgalmazására és ellenőrzésére vonatkozó tagállami jogszabályok harmonizációjáról (átdolgozás) (HL L 96., 2014.3.29., 1. o.).</w:t>
      </w:r>
    </w:p>
  </w:footnote>
  <w:footnote w:id="46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2014/29/EU irányelve (2014. február 26.)az egyszerű nyomástartó edények forgalmazására vonatkozó tagállami jogszabályok harmonizációjáról (HL L 96., 2014.3.29., 45. o.).</w:t>
      </w:r>
    </w:p>
  </w:footnote>
  <w:footnote w:id="47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2014/30/EU irán</w:t>
      </w:r>
      <w:r>
        <w:rPr>
          <w:sz w:val="16"/>
          <w:lang w:val="pt-PT"/>
        </w:rPr>
        <w:t>yelve (2014. február 26.) az elektromágneses összeférhetőségre vonatkozó tagállami jogszabályok harmonizálásáról (átdolgozás) (HL L 96., 2014.3.29., 79. o.).</w:t>
      </w:r>
    </w:p>
  </w:footnote>
  <w:footnote w:id="48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 xml:space="preserve">Az Európai Parlament és a Tanács 2014/31/EU irányelve (2014. február 26.) a nem automatikus </w:t>
      </w:r>
      <w:r>
        <w:rPr>
          <w:sz w:val="16"/>
          <w:lang w:val="pt-PT"/>
        </w:rPr>
        <w:t>működésű mérlegek forgalmazására vonatkozó tagállami jogszabályok harmonizációjáról (átdolgozás) (HL L 96., 2014.3.29., 107. o.).</w:t>
      </w:r>
    </w:p>
  </w:footnote>
  <w:footnote w:id="49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 xml:space="preserve">Az Európai Parlament és a Tanács 2014/32/EU irányelve (2014. február 26.) a mérőműszerek forgalmazására vonatkozó tagállami </w:t>
      </w:r>
      <w:r>
        <w:rPr>
          <w:sz w:val="16"/>
          <w:lang w:val="pt-PT"/>
        </w:rPr>
        <w:t>jogszabályok harmonizálásáról (átdolgozás) (HL L 96., 2014.3.29., 149. o.).</w:t>
      </w:r>
    </w:p>
  </w:footnote>
  <w:footnote w:id="50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2014/33/EU irányelve (2014. február 26.) a felvonókra és a felvonókhoz készült biztonsági berendezésekre vonatkozó tagállami jogszabályok harmoni</w:t>
      </w:r>
      <w:r>
        <w:rPr>
          <w:sz w:val="16"/>
          <w:lang w:val="pt-PT"/>
        </w:rPr>
        <w:t>zációjáról (HL L 96., 2014.3.29., 251. o.).</w:t>
      </w:r>
    </w:p>
  </w:footnote>
  <w:footnote w:id="51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2014/34/EU irányelve (2014. február 26.) a robbanásveszélyes légkörben való használatra szánt felszerelésekre és védelmi rendszerekre vonatkozó tagállami jogszabályok harmonizác</w:t>
      </w:r>
      <w:r>
        <w:rPr>
          <w:sz w:val="16"/>
          <w:lang w:val="pt-PT"/>
        </w:rPr>
        <w:t>iójáról (átdolgozás) (HL L 96., 2014.3.29., 309. o.).</w:t>
      </w:r>
    </w:p>
  </w:footnote>
  <w:footnote w:id="52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 xml:space="preserve">Az Európai Parlament és a Tanács 2014/35/EU irányelve (2014. február 26.) a meghatározott feszültséghatáron belüli használatra tervezett elektromos berendezések forgalmazására vonatkozó tagállami </w:t>
      </w:r>
      <w:r>
        <w:rPr>
          <w:sz w:val="16"/>
          <w:lang w:val="pt-PT"/>
        </w:rPr>
        <w:t>jogszabályok harmonizációjáról (HL L 96., 2014.3.29., 357. o.).</w:t>
      </w:r>
    </w:p>
  </w:footnote>
  <w:footnote w:id="53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2014/68/EU irányelve (2014. május 15.) a nyomástartó berendezések forgalmazására vonatkozó tagállami jogszabályok harmonizációjáról (HL L 189., 2014.6.27., 1</w:t>
      </w:r>
      <w:r>
        <w:rPr>
          <w:sz w:val="16"/>
          <w:lang w:val="pt-PT"/>
        </w:rPr>
        <w:t>64. o.).</w:t>
      </w:r>
    </w:p>
  </w:footnote>
  <w:footnote w:id="54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2014/90/EU irányelve (2014. július 23.) a tengerészeti felszerelésekről és a 96/98/EK tanácsi irányelv hatályon kívül helyezéséről (HL L 257., 2014.8.28., 146. o.).</w:t>
      </w:r>
    </w:p>
  </w:footnote>
  <w:footnote w:id="55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2000/31/EK i</w:t>
      </w:r>
      <w:r>
        <w:rPr>
          <w:sz w:val="16"/>
          <w:lang w:val="pt-PT"/>
        </w:rPr>
        <w:t>rányelve a belső piacon az információs társadalommal összefüggő szolgáltatások, különösen az elektronikus kereskedelem, egyes jogi vonatkozásairól (Elektronikus kereskedelemről szóló irányelv) (HL L 178., 2000.7.17., 1. o.).</w:t>
      </w:r>
    </w:p>
  </w:footnote>
  <w:footnote w:id="56">
    <w:p w:rsidR="001E667A" w:rsidRDefault="005F0856">
      <w:pPr>
        <w:pStyle w:val="FootnoteText"/>
        <w:rPr>
          <w:sz w:val="16"/>
          <w:szCs w:val="16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</w:t>
      </w:r>
      <w:r>
        <w:rPr>
          <w:sz w:val="16"/>
          <w:lang w:val="pt-PT"/>
        </w:rPr>
        <w:t>ács (EU) […] rendelete a [...] (HL L [...], [...], [...] o.)</w:t>
      </w:r>
    </w:p>
  </w:footnote>
  <w:footnote w:id="57">
    <w:p w:rsidR="001E667A" w:rsidRDefault="005F0856">
      <w:pPr>
        <w:pStyle w:val="FootnoteText"/>
        <w:rPr>
          <w:sz w:val="16"/>
          <w:szCs w:val="16"/>
          <w:lang w:val="lv-LV"/>
        </w:rPr>
      </w:pPr>
      <w:r>
        <w:rPr>
          <w:rStyle w:val="FootnoteReference"/>
        </w:rPr>
        <w:footnoteRef/>
      </w:r>
      <w:r>
        <w:rPr>
          <w:lang w:val="pt-PT"/>
        </w:rPr>
        <w:tab/>
      </w:r>
      <w:r>
        <w:rPr>
          <w:sz w:val="16"/>
          <w:lang w:val="pt-PT"/>
        </w:rPr>
        <w:t>Az Európai Parlament és a Tanács (EU) 2016/679 rendelete (2016. április 27.) a természetes személyeknek a személyes adatok kezelése tekintetében történő védelméről és az ilyen adatok szabad ára</w:t>
      </w:r>
      <w:r>
        <w:rPr>
          <w:sz w:val="16"/>
          <w:lang w:val="pt-PT"/>
        </w:rPr>
        <w:t>mlásáról, valamint a 95/46/EK rendelet hatályon kívül helyezéséről (általános adatvédelmi rendelet) (HL L 119., 2016.5.4., 1. o.).</w:t>
      </w:r>
    </w:p>
  </w:footnote>
  <w:footnote w:id="58">
    <w:p w:rsidR="001E667A" w:rsidRDefault="005F0856">
      <w:pPr>
        <w:pStyle w:val="FootnoteText"/>
        <w:rPr>
          <w:sz w:val="16"/>
          <w:szCs w:val="16"/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ab/>
      </w:r>
      <w:r>
        <w:rPr>
          <w:sz w:val="16"/>
          <w:lang w:val="lv-LV"/>
        </w:rPr>
        <w:t>Az Európai Parlament és a Tanács 45/2001/EK rendelete (2000. december 18.) a személyes adatok közösségi intézmények és szer</w:t>
      </w:r>
      <w:r>
        <w:rPr>
          <w:sz w:val="16"/>
          <w:lang w:val="lv-LV"/>
        </w:rPr>
        <w:t>vek által történő feldolgozása tekintetében az egyének védelméről, valamint az ilyen adatok szabad áramlásáról (HL L 8., 2001.1.12., 1. o.).</w:t>
      </w:r>
    </w:p>
  </w:footnote>
  <w:footnote w:id="59">
    <w:p w:rsidR="001E667A" w:rsidRDefault="005F0856">
      <w:pPr>
        <w:pStyle w:val="FootnoteText"/>
        <w:rPr>
          <w:sz w:val="16"/>
          <w:szCs w:val="16"/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ab/>
      </w:r>
      <w:r>
        <w:rPr>
          <w:sz w:val="16"/>
          <w:lang w:val="lv-LV"/>
        </w:rPr>
        <w:t>HL L 123., 2016.5.12., 1. o.</w:t>
      </w:r>
    </w:p>
  </w:footnote>
  <w:footnote w:id="60">
    <w:p w:rsidR="001E667A" w:rsidRDefault="005F0856">
      <w:pPr>
        <w:pStyle w:val="FootnoteText"/>
        <w:rPr>
          <w:sz w:val="16"/>
          <w:szCs w:val="16"/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ab/>
      </w:r>
      <w:r>
        <w:rPr>
          <w:sz w:val="16"/>
          <w:lang w:val="lv-LV"/>
        </w:rPr>
        <w:t>Az Európai Parlament és a Tanács 182/2011/EU rendelete (2011. február 16.) a Bizot</w:t>
      </w:r>
      <w:r>
        <w:rPr>
          <w:sz w:val="16"/>
          <w:lang w:val="lv-LV"/>
        </w:rPr>
        <w:t>tság végrehajtási hatásköreinek gyakorlására vonatkozó tagállami ellenőrzési mechanizmusok szabályainak és általános elveinek megállapításáról (HL L 55., 2011.2.28., 13. o.).</w:t>
      </w:r>
    </w:p>
  </w:footnote>
  <w:footnote w:id="61">
    <w:p w:rsidR="001E667A" w:rsidRDefault="005F0856">
      <w:pPr>
        <w:pStyle w:val="FootnoteText"/>
        <w:rPr>
          <w:sz w:val="16"/>
          <w:szCs w:val="16"/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ab/>
      </w:r>
      <w:r>
        <w:rPr>
          <w:sz w:val="16"/>
          <w:lang w:val="lv-LV"/>
        </w:rPr>
        <w:t>Az Európai Parlament és a Tanács 966/2012/ EU, Euratom rendelete</w:t>
      </w:r>
      <w:r>
        <w:rPr>
          <w:rStyle w:val="Strong"/>
          <w:b w:val="0"/>
          <w:sz w:val="16"/>
          <w:lang w:val="lv-LV"/>
        </w:rPr>
        <w:t xml:space="preserve"> (2012. október</w:t>
      </w:r>
      <w:r>
        <w:rPr>
          <w:rStyle w:val="Strong"/>
          <w:b w:val="0"/>
          <w:sz w:val="16"/>
          <w:lang w:val="lv-LV"/>
        </w:rPr>
        <w:t xml:space="preserve"> 25.) az Unió általános költségvetésére alkalmazandó pénzügyi szabályokról és az 1605/2002/EK, Euratom tanácsi rendelet hatályon kívül helyezéséről </w:t>
      </w:r>
      <w:r>
        <w:rPr>
          <w:sz w:val="16"/>
          <w:lang w:val="lv-LV"/>
        </w:rPr>
        <w:t>(HL L 298., 2012.10.26., 1. o.).</w:t>
      </w:r>
    </w:p>
  </w:footnote>
  <w:footnote w:id="62">
    <w:p w:rsidR="001E667A" w:rsidRDefault="005F0856">
      <w:pPr>
        <w:pStyle w:val="FootnoteText"/>
        <w:rPr>
          <w:sz w:val="16"/>
          <w:szCs w:val="16"/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ab/>
      </w:r>
      <w:r>
        <w:rPr>
          <w:sz w:val="16"/>
          <w:lang w:val="lv-LV"/>
        </w:rPr>
        <w:t>Az Európai Parlament és a Tanács 883/2013/EU, Euratom rendelete (2013. sz</w:t>
      </w:r>
      <w:r>
        <w:rPr>
          <w:sz w:val="16"/>
          <w:lang w:val="lv-LV"/>
        </w:rPr>
        <w:t>eptember 11.) az Európai Csalás Elleni Hivatal (OLAF) által lefolytatott vizsgálatokról, valamint az 1073/1999/EK európai parlamenti és tanácsi rendelet és az 1074/1999/Euratom tanácsi rendelet hatályon kívül helyezéséről (HL L 248., 2013.9.18., 1. o.).</w:t>
      </w:r>
    </w:p>
  </w:footnote>
  <w:footnote w:id="63">
    <w:p w:rsidR="001E667A" w:rsidRDefault="005F0856">
      <w:pPr>
        <w:pStyle w:val="FootnoteText"/>
        <w:rPr>
          <w:sz w:val="16"/>
          <w:szCs w:val="16"/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ab/>
      </w:r>
      <w:r>
        <w:rPr>
          <w:sz w:val="16"/>
          <w:lang w:val="lv-LV"/>
        </w:rPr>
        <w:t>HL L 292., 1996.11.14., 2. o.</w:t>
      </w:r>
    </w:p>
  </w:footnote>
  <w:footnote w:id="64">
    <w:p w:rsidR="001E667A" w:rsidRDefault="005F0856">
      <w:pPr>
        <w:pStyle w:val="FootnoteText"/>
        <w:rPr>
          <w:sz w:val="16"/>
          <w:szCs w:val="16"/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ab/>
      </w:r>
      <w:r>
        <w:rPr>
          <w:sz w:val="16"/>
          <w:lang w:val="lv-LV"/>
        </w:rPr>
        <w:t>Tevékenységalapú irányítás: ABM (Activity Based Management), tevékenységalapú költségvetés-tervezés: ABB (Activity Based Budgeting).</w:t>
      </w:r>
    </w:p>
  </w:footnote>
  <w:footnote w:id="65">
    <w:p w:rsidR="001E667A" w:rsidRDefault="005F0856">
      <w:pPr>
        <w:pStyle w:val="FootnoteText"/>
        <w:rPr>
          <w:sz w:val="16"/>
          <w:szCs w:val="16"/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ab/>
      </w:r>
      <w:r>
        <w:rPr>
          <w:sz w:val="16"/>
          <w:lang w:val="lv-LV"/>
        </w:rPr>
        <w:t>A költségvetési rendelet 54. cikke (2) bekezdésének a) vagy b) pontja szerint.</w:t>
      </w:r>
    </w:p>
  </w:footnote>
  <w:footnote w:id="66">
    <w:p w:rsidR="001E667A" w:rsidRDefault="005F0856">
      <w:pPr>
        <w:pStyle w:val="FootnoteText"/>
        <w:rPr>
          <w:sz w:val="16"/>
          <w:szCs w:val="16"/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ab/>
      </w:r>
      <w:r>
        <w:rPr>
          <w:sz w:val="16"/>
          <w:lang w:val="lv-LV"/>
        </w:rPr>
        <w:t>Az egyes</w:t>
      </w:r>
      <w:r>
        <w:rPr>
          <w:sz w:val="16"/>
          <w:lang w:val="lv-LV"/>
        </w:rPr>
        <w:t xml:space="preserve"> irányítási módszerek ismertetése, valamint a költségvetési rendeletre való megfelelő hivatkozások megtalálhatók a Költségvetési Főigazgatóság honlapján: </w:t>
      </w:r>
      <w:hyperlink r:id="rId4" w:history="1">
        <w:r>
          <w:rPr>
            <w:rStyle w:val="Hyperlink"/>
            <w:sz w:val="16"/>
            <w:szCs w:val="16"/>
            <w:lang w:val="lv-LV"/>
          </w:rPr>
          <w:t>http://www.cc.cec/budg/man/budg</w:t>
        </w:r>
        <w:r>
          <w:rPr>
            <w:rStyle w:val="Hyperlink"/>
            <w:sz w:val="16"/>
            <w:szCs w:val="16"/>
            <w:lang w:val="lv-LV"/>
          </w:rPr>
          <w:t>manag/budgmanag_en.html</w:t>
        </w:r>
      </w:hyperlink>
    </w:p>
  </w:footnote>
  <w:footnote w:id="67">
    <w:p w:rsidR="001E667A" w:rsidRDefault="005F0856">
      <w:pPr>
        <w:pStyle w:val="FootnoteText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sz w:val="16"/>
          <w:lang w:val="de-DE"/>
        </w:rPr>
        <w:t>Diff. = Differenciált előirányzatok / Nem diff. = Nem differenciált előirányzatok.</w:t>
      </w:r>
    </w:p>
  </w:footnote>
  <w:footnote w:id="68">
    <w:p w:rsidR="001E667A" w:rsidRDefault="005F0856">
      <w:pPr>
        <w:pStyle w:val="FootnoteText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sz w:val="16"/>
          <w:lang w:val="de-DE"/>
        </w:rPr>
        <w:t xml:space="preserve">EFTA: Európai Szabadkereskedelmi Társulás. </w:t>
      </w:r>
    </w:p>
  </w:footnote>
  <w:footnote w:id="69">
    <w:p w:rsidR="001E667A" w:rsidRDefault="005F0856">
      <w:pPr>
        <w:pStyle w:val="FootnoteText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sz w:val="16"/>
          <w:lang w:val="de-DE"/>
        </w:rPr>
        <w:t>Tagjelölt országok és adott esetben a nyugat-balkáni potenciális tagjelölt országok.</w:t>
      </w:r>
    </w:p>
  </w:footnote>
  <w:footnote w:id="70">
    <w:p w:rsidR="001E667A" w:rsidRDefault="005F0856">
      <w:pPr>
        <w:pStyle w:val="FootnoteText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sz w:val="16"/>
          <w:lang w:val="de-DE"/>
        </w:rPr>
        <w:t xml:space="preserve">Az N. év a </w:t>
      </w:r>
      <w:r>
        <w:rPr>
          <w:sz w:val="16"/>
          <w:lang w:val="de-DE"/>
        </w:rPr>
        <w:t>javaslat/kezdeményezés végrehajtásának első éve.</w:t>
      </w:r>
    </w:p>
  </w:footnote>
  <w:footnote w:id="71">
    <w:p w:rsidR="001E667A" w:rsidRDefault="005F0856">
      <w:pPr>
        <w:pStyle w:val="FootnoteText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sz w:val="16"/>
          <w:lang w:val="de-DE"/>
        </w:rPr>
        <w:t>Technikai és/vagy igazgatási segítségnyújtás, valamint uniós programok és/vagy intézkedések végrehajtásához biztosított támogatási kiadások (korábban: BA-tételek), közvetett kutatás, közvetlen kutatás.</w:t>
      </w:r>
    </w:p>
  </w:footnote>
  <w:footnote w:id="72">
    <w:p w:rsidR="001E667A" w:rsidRDefault="005F0856">
      <w:pPr>
        <w:pStyle w:val="FootnoteText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sz w:val="16"/>
          <w:lang w:val="de-DE"/>
        </w:rPr>
        <w:t>A</w:t>
      </w:r>
      <w:r>
        <w:rPr>
          <w:sz w:val="16"/>
          <w:lang w:val="de-DE"/>
        </w:rPr>
        <w:t>z N. év a javaslat/kezdeményezés végrehajtásának első éve.</w:t>
      </w:r>
    </w:p>
  </w:footnote>
  <w:footnote w:id="73">
    <w:p w:rsidR="001E667A" w:rsidRDefault="005F0856">
      <w:pPr>
        <w:pStyle w:val="FootnoteText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sz w:val="16"/>
          <w:lang w:val="de-DE"/>
        </w:rPr>
        <w:t>Az N. év a javaslat/kezdeményezés végrehajtásának első éve.</w:t>
      </w:r>
    </w:p>
  </w:footnote>
  <w:footnote w:id="74">
    <w:p w:rsidR="001E667A" w:rsidRDefault="005F0856">
      <w:pPr>
        <w:pStyle w:val="FootnoteText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sz w:val="16"/>
          <w:lang w:val="de-DE"/>
        </w:rPr>
        <w:t>A teljesítés a nyújtandó termékekre és szolgáltatásokra vonatkozik (pl. finanszírozott diákcserék száma, épített utak hossza kilométe</w:t>
      </w:r>
      <w:r>
        <w:rPr>
          <w:sz w:val="16"/>
          <w:lang w:val="de-DE"/>
        </w:rPr>
        <w:t>rben stb.).</w:t>
      </w:r>
    </w:p>
  </w:footnote>
  <w:footnote w:id="75">
    <w:p w:rsidR="001E667A" w:rsidRDefault="005F0856">
      <w:pPr>
        <w:pStyle w:val="FootnoteText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sz w:val="16"/>
          <w:lang w:val="de-DE"/>
        </w:rPr>
        <w:t xml:space="preserve">Az 1.4.2. szakaszban „Konkrét célkitűzés(ek)…” </w:t>
      </w:r>
    </w:p>
  </w:footnote>
  <w:footnote w:id="76">
    <w:p w:rsidR="001E667A" w:rsidRDefault="005F0856">
      <w:pPr>
        <w:pStyle w:val="FootnoteText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sz w:val="16"/>
          <w:lang w:val="de-DE"/>
        </w:rPr>
        <w:t xml:space="preserve">Az 1.4.2. szakaszban „Konkrét célkitűzés(ek)…” </w:t>
      </w:r>
    </w:p>
  </w:footnote>
  <w:footnote w:id="77">
    <w:p w:rsidR="001E667A" w:rsidRDefault="005F0856">
      <w:pPr>
        <w:pStyle w:val="FootnoteText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sz w:val="16"/>
          <w:lang w:val="de-DE"/>
        </w:rPr>
        <w:t xml:space="preserve">Az 1.4.2. szakaszban „Konkrét célkitűzés(ek)…” </w:t>
      </w:r>
    </w:p>
  </w:footnote>
  <w:footnote w:id="78">
    <w:p w:rsidR="001E667A" w:rsidRDefault="005F0856">
      <w:pPr>
        <w:pStyle w:val="FootnoteText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sz w:val="16"/>
          <w:lang w:val="de-DE"/>
        </w:rPr>
        <w:t xml:space="preserve">Az 1.4.2. szakaszban „Konkrét célkitűzés(ek)…” </w:t>
      </w:r>
    </w:p>
  </w:footnote>
  <w:footnote w:id="79">
    <w:p w:rsidR="001E667A" w:rsidRDefault="005F0856">
      <w:pPr>
        <w:pStyle w:val="FootnoteText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sz w:val="16"/>
          <w:lang w:val="de-DE"/>
        </w:rPr>
        <w:t xml:space="preserve">Az N. év a javaslat/kezdeményezés </w:t>
      </w:r>
      <w:r>
        <w:rPr>
          <w:sz w:val="16"/>
          <w:lang w:val="de-DE"/>
        </w:rPr>
        <w:t>végrehajtásának első éve.</w:t>
      </w:r>
    </w:p>
  </w:footnote>
  <w:footnote w:id="80">
    <w:p w:rsidR="001E667A" w:rsidRDefault="005F0856">
      <w:pPr>
        <w:pStyle w:val="FootnoteText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sz w:val="16"/>
          <w:lang w:val="de-DE"/>
        </w:rPr>
        <w:t>Technikai és/vagy igazgatási segítségnyújtás, valamint uniós programok és/vagy intézkedések végrehajtásához biztosított támogatási kiadások (korábban: BA-tételek), közvetett kutatás, közvetlen kutatás.</w:t>
      </w:r>
    </w:p>
  </w:footnote>
  <w:footnote w:id="81">
    <w:p w:rsidR="001E667A" w:rsidRDefault="005F0856">
      <w:pPr>
        <w:pStyle w:val="FootnoteText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sz w:val="16"/>
          <w:lang w:val="de-DE"/>
        </w:rPr>
        <w:t>AC = szerződéses alkalma</w:t>
      </w:r>
      <w:r>
        <w:rPr>
          <w:sz w:val="16"/>
          <w:lang w:val="de-DE"/>
        </w:rPr>
        <w:t xml:space="preserve">zott; AL = helyi alkalmazott; END = kirendelt nemzeti szakértő; INT = kölcsönmunkaerő (átmeneti alkalmazott); JED = küldöttségi pályakezdő szakértő. </w:t>
      </w:r>
    </w:p>
  </w:footnote>
  <w:footnote w:id="82">
    <w:p w:rsidR="001E667A" w:rsidRDefault="005F0856">
      <w:pPr>
        <w:pStyle w:val="FootnoteText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sz w:val="16"/>
          <w:lang w:val="de-DE"/>
        </w:rPr>
        <w:t>Az operatív előirányzatokból finanszírozott külső munkatársakra vonatkozó részleges felső határérték (ko</w:t>
      </w:r>
      <w:r>
        <w:rPr>
          <w:sz w:val="16"/>
          <w:lang w:val="de-DE"/>
        </w:rPr>
        <w:t>rábban: BA-tételek).</w:t>
      </w:r>
    </w:p>
  </w:footnote>
  <w:footnote w:id="83">
    <w:p w:rsidR="001E667A" w:rsidRDefault="005F0856">
      <w:pPr>
        <w:pStyle w:val="FootnoteText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sz w:val="16"/>
          <w:lang w:val="de-DE"/>
        </w:rPr>
        <w:t>A tradicionális saját források (vámok, cukorilletékek) tekintetében nettó összegeket, vagyis a 25 %-kal (beszedési költségek) csökkentett bruttó összegeket kell megadni.</w:t>
      </w:r>
    </w:p>
  </w:footnote>
  <w:footnote w:id="84">
    <w:p w:rsidR="001E667A" w:rsidRDefault="005F0856">
      <w:pPr>
        <w:pStyle w:val="FootnoteText"/>
        <w:spacing w:after="120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sz w:val="16"/>
          <w:lang w:val="de-DE"/>
        </w:rPr>
        <w:t>AC = szerződéses alkalmazott; AL = helyi alkalmazott; END = k</w:t>
      </w:r>
      <w:r>
        <w:rPr>
          <w:sz w:val="16"/>
          <w:lang w:val="de-DE"/>
        </w:rPr>
        <w:t>irendelt nemzeti szakértő; INT = kölcsönmunkaerő (átmeneti alkalmazott); JED = küldöttségi pályakezdő szakértő.</w:t>
      </w:r>
    </w:p>
  </w:footnote>
  <w:footnote w:id="85">
    <w:p w:rsidR="001E667A" w:rsidRDefault="005F0856">
      <w:pPr>
        <w:pStyle w:val="FootnoteText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sz w:val="16"/>
          <w:lang w:val="de-DE"/>
        </w:rPr>
        <w:t>Nevezze meg a bizottság típusát és azt a csoportot, amelyhez a bizottság tartozik.</w:t>
      </w:r>
    </w:p>
  </w:footnote>
  <w:footnote w:id="86">
    <w:p w:rsidR="001E667A" w:rsidRDefault="005F0856">
      <w:pPr>
        <w:pStyle w:val="FootnoteText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sz w:val="16"/>
          <w:lang w:val="de-DE"/>
        </w:rPr>
        <w:t>IKT: Információs és kommunikációs technológiák: Az Inform</w:t>
      </w:r>
      <w:r>
        <w:rPr>
          <w:sz w:val="16"/>
          <w:lang w:val="de-DE"/>
        </w:rPr>
        <w:t>atikai Főigazgatósággal konzultálni kell.</w:t>
      </w:r>
    </w:p>
  </w:footnote>
  <w:footnote w:id="87">
    <w:p w:rsidR="001E667A" w:rsidRDefault="005F0856">
      <w:pPr>
        <w:pStyle w:val="FootnoteText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sz w:val="16"/>
          <w:lang w:val="de-DE"/>
        </w:rPr>
        <w:t>Az N. év a javaslat/kezdeményezés végrehajtásának első éve.</w:t>
      </w:r>
    </w:p>
  </w:footnote>
  <w:footnote w:id="88">
    <w:p w:rsidR="001E667A" w:rsidRDefault="005F0856">
      <w:pPr>
        <w:pStyle w:val="FootnoteText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sz w:val="16"/>
          <w:lang w:val="de-DE"/>
        </w:rPr>
        <w:t>A teljesítés a nyújtandó termékekre és szolgáltatásokra vonatkozik (pl. finanszírozott diákcserék száma, épített utak hossza kilométerben stb.).</w:t>
      </w:r>
    </w:p>
  </w:footnote>
  <w:footnote w:id="89">
    <w:p w:rsidR="001E667A" w:rsidRDefault="005F0856">
      <w:pPr>
        <w:pStyle w:val="FootnoteText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sz w:val="16"/>
          <w:lang w:val="de-DE"/>
        </w:rPr>
        <w:t xml:space="preserve">Az </w:t>
      </w:r>
      <w:r>
        <w:rPr>
          <w:sz w:val="16"/>
          <w:lang w:val="de-DE"/>
        </w:rPr>
        <w:t>N. év a javaslat/kezdeményezés végrehajtásának első éve.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5F0856" w:rsidRDefault="005F0856" w:rsidP="005F0856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5F0856" w:rsidRDefault="005F0856" w:rsidP="005F0856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5F0856" w:rsidRDefault="005F0856" w:rsidP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5F0856" w:rsidRDefault="005F0856" w:rsidP="005F08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5F0856" w:rsidRDefault="005F0856" w:rsidP="005F085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5F0856" w:rsidRDefault="005F0856" w:rsidP="005F0856"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5F0856" w:rsidRDefault="005F0856" w:rsidP="005F0856"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5F0856" w:rsidRDefault="005F0856" w:rsidP="005F0856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5F0856" w:rsidRDefault="005F0856" w:rsidP="005F0856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5F0856" w:rsidRDefault="005F0856" w:rsidP="005F0856">
    <w:pPr>
      <w:pStyle w:val="HeaderLandscap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5F0856" w:rsidRDefault="005F0856" w:rsidP="005F0856">
    <w:pPr>
      <w:pStyle w:val="HeaderLandscap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FFFFFF81"/>
    <w:multiLevelType w:val="singleLevel"/>
    <w:tmpl w:val="FFFFFF81"/>
    <w:lvl w:ilvl="0">
      <w:start w:val="1"/>
      <w:numFmt w:val="bullet"/>
      <w:pStyle w:val="ListBullet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FFFFF82"/>
    <w:lvl w:ilvl="0">
      <w:start w:val="1"/>
      <w:numFmt w:val="bullet"/>
      <w:pStyle w:val="ListBullet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FFFFFF83"/>
    <w:lvl w:ilvl="0">
      <w:start w:val="1"/>
      <w:numFmt w:val="bullet"/>
      <w:pStyle w:val="ListBullet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8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2C6A95"/>
    <w:multiLevelType w:val="singleLevel"/>
    <w:tmpl w:val="062C6A95"/>
    <w:lvl w:ilvl="0">
      <w:start w:val="1"/>
      <w:numFmt w:val="bullet"/>
      <w:pStyle w:val="ListBullet1"/>
      <w:lvlText w:val=""/>
      <w:lvlJc w:val="left"/>
      <w:pPr>
        <w:tabs>
          <w:tab w:val="left" w:pos="1134"/>
        </w:tabs>
        <w:ind w:left="1134" w:hanging="283"/>
      </w:pPr>
      <w:rPr>
        <w:rFonts w:ascii="Symbol" w:hAnsi="Symbol" w:hint="default"/>
      </w:rPr>
    </w:lvl>
  </w:abstractNum>
  <w:abstractNum w:abstractNumId="1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>
    <w:nsid w:val="358B6119"/>
    <w:multiLevelType w:val="multilevel"/>
    <w:tmpl w:val="358B6119"/>
    <w:lvl w:ilvl="0">
      <w:start w:val="1"/>
      <w:numFmt w:val="decimal"/>
      <w:pStyle w:val="ListNumber1"/>
      <w:lvlText w:val="(%1)"/>
      <w:lvlJc w:val="left"/>
      <w:pPr>
        <w:tabs>
          <w:tab w:val="left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left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left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left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7">
    <w:nsid w:val="43D92DF2"/>
    <w:multiLevelType w:val="multilevel"/>
    <w:tmpl w:val="43D92DF2"/>
    <w:lvl w:ilvl="0">
      <w:start w:val="1"/>
      <w:numFmt w:val="decimal"/>
      <w:pStyle w:val="ManualNum"/>
      <w:lvlText w:val="(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9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15"/>
  </w:num>
  <w:num w:numId="49">
    <w:abstractNumId w:val="24"/>
  </w:num>
  <w:num w:numId="50">
    <w:abstractNumId w:val="13"/>
  </w:num>
  <w:num w:numId="51">
    <w:abstractNumId w:val="16"/>
  </w:num>
  <w:num w:numId="52">
    <w:abstractNumId w:val="11"/>
  </w:num>
  <w:num w:numId="53">
    <w:abstractNumId w:val="23"/>
  </w:num>
  <w:num w:numId="54">
    <w:abstractNumId w:val="10"/>
  </w:num>
  <w:num w:numId="55">
    <w:abstractNumId w:val="18"/>
  </w:num>
  <w:num w:numId="56">
    <w:abstractNumId w:val="20"/>
  </w:num>
  <w:num w:numId="57">
    <w:abstractNumId w:val="21"/>
  </w:num>
  <w:num w:numId="58">
    <w:abstractNumId w:val="12"/>
  </w:num>
  <w:num w:numId="59">
    <w:abstractNumId w:val="19"/>
  </w:num>
  <w:num w:numId="60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8-02-21 14:29:4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57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29"/>
    <w:docVar w:name="DQCResult_UnknownFonts" w:val="0;0"/>
    <w:docVar w:name="DQCResult_UnknownStyles" w:val="0;6"/>
    <w:docVar w:name="DQCStatus" w:val="Yellow"/>
    <w:docVar w:name="DQCVersion" w:val="3"/>
    <w:docVar w:name="DQCWithWarnings" w:val="0"/>
    <w:docVar w:name="LW_CONST_RESTREINT_UE" w:val="RESTREINT UE/EU RESTRICTED"/>
    <w:docVar w:name="LW_CORRIGENDUM" w:val="CORRIGENDUM_x000b_This document corrects document COM(2017) 795 final of 19.12.2017._x000b_Concerns the Hungarian language version._x000b_The numbering of paragraphs has been corrected._x000b_The text shall read as follows:_x000b_"/>
    <w:docVar w:name="LW_COVERPAGE_EXISTS" w:val="True"/>
    <w:docVar w:name="LW_COVERPAGE_GUID" w:val="50C67FEF-37A5-420A-9007-25B5AD4EE111"/>
    <w:docVar w:name="LW_COVERPAGE_TYPE" w:val="1"/>
    <w:docVar w:name="LW_CROSSREFERENCE" w:val="{SWD(2017) 466 final}_x000d__x000a_{SWD(2017) 467 final}_x000d__x000a_{SWD(2017) 468 final}_x000d__x000a_{SWD(2017) 469 final}_x000d__x000a_{SWD(2017) 470 final}"/>
    <w:docVar w:name="LW_DocType" w:val="COM"/>
    <w:docVar w:name="LW_EMISSION" w:val="2018.2.21."/>
    <w:docVar w:name="LW_EMISSION_ISODATE" w:val="2018-02-21"/>
    <w:docVar w:name="LW_EMISSION_LOCATION" w:val="BRX"/>
    <w:docVar w:name="LW_EMISSION_PREFIX" w:val="Brüsszel,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(EGT-vonatkozású szöveg)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53"/>
    <w:docVar w:name="LW_REF.II.NEW.CP_YEAR" w:val="2017"/>
    <w:docVar w:name="LW_REF.INST.NEW" w:val="COM"/>
    <w:docVar w:name="LW_REF.INST.NEW_ADOPTED" w:val="final/2"/>
    <w:docVar w:name="LW_REF.INST.NEW_TEXT" w:val="(2017) 79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Javaslat"/>
    <w:docVar w:name="LW_SUPERTITRE" w:val="&lt;UNUSED&gt;"/>
    <w:docVar w:name="LW_TITRE.OBJ.CP" w:val="a termékekre vonatkozó uniós harmonizációs jogszabályok betartására és érvényesítésére vonatkozó szabályok és eljárások megállapításáról, valamint a 305/2011/EU, az 528/2012/EU, az (EU) 2016/424, az (EU) 2016/425, az (EU) 2016/426, az (EU) 2017/1369 európai parlamenti és tanácsi rendelet, valamint a 2004/42/EK, 2009/48/EK, a 2010/35/EU, a 2013/29/EU, a 2013/53/EU, a 2014/28/EU, a 2014/29/EU, a 2014/30/EU, a 2014/31/EU, a 2014/32/EU, a 2014/33/EU, a 2014/34/EU, a 2014/35/EU, a 2014/53/EU, a 2014/68/EU és a 2014/90/EU európai parlamenti és tanácsi irányelv módosításáról"/>
    <w:docVar w:name="LW_TYPE.DOC.CP" w:val="AZ EURÓPAI PARLAMENT ÉS A TANÁCS RENDELETE"/>
  </w:docVars>
  <w:rsids>
    <w:rsidRoot w:val="001E667A"/>
    <w:rsid w:val="001E667A"/>
    <w:rsid w:val="005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/>
    <w:lsdException w:name="caption" w:uiPriority="35" w:qFormat="1"/>
    <w:lsdException w:name="table of figures" w:qFormat="1"/>
    <w:lsdException w:name="envelope address" w:semiHidden="1"/>
    <w:lsdException w:name="envelope return" w:semiHidden="1"/>
    <w:lsdException w:name="footnote reference" w:qFormat="1"/>
    <w:lsdException w:name="annotation reference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qFormat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qFormat="1"/>
    <w:lsdException w:name="List Bullet 5" w:semiHidden="1"/>
    <w:lsdException w:name="List Number 2" w:qFormat="1"/>
    <w:lsdException w:name="List Number 3" w:qFormat="1"/>
    <w:lsdException w:name="List Number 4" w:qFormat="1"/>
    <w:lsdException w:name="List Number 5" w:uiPriority="0" w:unhideWhenUsed="0" w:qFormat="1"/>
    <w:lsdException w:name="Title" w:uiPriority="1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qFormat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qFormat="1"/>
    <w:lsdException w:name="Table Grid" w:semiHidden="1" w:uiPriority="59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5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5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5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5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List2">
    <w:name w:val="List 2"/>
    <w:basedOn w:val="Normal"/>
    <w:uiPriority w:val="99"/>
    <w:unhideWhenUsed/>
    <w:qFormat/>
    <w:pPr>
      <w:ind w:left="566" w:hanging="283"/>
      <w:contextualSpacing/>
    </w:p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qFormat/>
    <w:pPr>
      <w:numPr>
        <w:numId w:val="2"/>
      </w:numPr>
      <w:tabs>
        <w:tab w:val="clear" w:pos="643"/>
        <w:tab w:val="left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unhideWhenUsed/>
    <w:qFormat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qFormat/>
    <w:pPr>
      <w:numPr>
        <w:numId w:val="4"/>
      </w:numPr>
      <w:tabs>
        <w:tab w:val="clear" w:pos="1209"/>
        <w:tab w:val="left" w:pos="360"/>
      </w:tabs>
      <w:ind w:left="0" w:firstLine="0"/>
      <w:contextualSpacing/>
    </w:pPr>
  </w:style>
  <w:style w:type="paragraph" w:styleId="ListNumber">
    <w:name w:val="List Number"/>
    <w:basedOn w:val="Normal"/>
    <w:uiPriority w:val="99"/>
    <w:unhideWhenUsed/>
    <w:qFormat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qFormat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qFormat/>
    <w:pPr>
      <w:numPr>
        <w:numId w:val="8"/>
      </w:numPr>
      <w:contextualSpacing/>
    </w:pPr>
  </w:style>
  <w:style w:type="paragraph" w:styleId="ListNumber5">
    <w:name w:val="List Number 5"/>
    <w:basedOn w:val="Normal"/>
    <w:qFormat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after="0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nhideWhenUsed/>
    <w:qFormat/>
    <w:rPr>
      <w:color w:val="347C98"/>
      <w:u w:val="none"/>
      <w:shd w:val="clear" w:color="auto" w:fill="auto"/>
    </w:rPr>
  </w:style>
  <w:style w:type="character" w:styleId="PageNumber">
    <w:name w:val="page number"/>
    <w:qFormat/>
    <w:rPr>
      <w:rFonts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ListNumber1">
    <w:name w:val="List Number 1"/>
    <w:basedOn w:val="Text1"/>
    <w:uiPriority w:val="99"/>
    <w:qFormat/>
    <w:pPr>
      <w:numPr>
        <w:numId w:val="10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"/>
    <w:uiPriority w:val="99"/>
    <w:qFormat/>
    <w:pPr>
      <w:numPr>
        <w:ilvl w:val="1"/>
        <w:numId w:val="10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"/>
    <w:uiPriority w:val="99"/>
    <w:qFormat/>
    <w:pPr>
      <w:numPr>
        <w:ilvl w:val="2"/>
        <w:numId w:val="10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"/>
    <w:uiPriority w:val="99"/>
    <w:qFormat/>
    <w:pPr>
      <w:numPr>
        <w:ilvl w:val="3"/>
        <w:numId w:val="10"/>
      </w:numPr>
      <w:spacing w:before="0" w:after="240"/>
    </w:pPr>
    <w:rPr>
      <w:rFonts w:eastAsia="Times New Roman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hAnsi="Times New Roman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hAnsi="Times New Roman" w:cs="Times New Roman"/>
      <w:b/>
      <w:bCs/>
      <w:sz w:val="20"/>
      <w:szCs w:val="20"/>
      <w:lang w:val="en-GB"/>
    </w:rPr>
  </w:style>
  <w:style w:type="character" w:customStyle="1" w:styleId="Text1Char">
    <w:name w:val="Text 1 Char"/>
    <w:qFormat/>
    <w:rPr>
      <w:rFonts w:ascii="Times New Roman" w:hAnsi="Times New Roman" w:cs="Times New Roman"/>
      <w:bCs/>
      <w:sz w:val="23"/>
      <w:szCs w:val="23"/>
      <w:lang w:val="en-GB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qFormat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qFormat/>
    <w:rPr>
      <w:rFonts w:ascii="EUAlbertina" w:hAnsi="EUAlbertina" w:cstheme="minorBidi"/>
      <w:color w:val="auto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Times New Roman" w:hAnsi="Times New Roman" w:cs="Times New Roman"/>
      <w:sz w:val="24"/>
      <w:lang w:eastAsia="en-US"/>
    </w:rPr>
  </w:style>
  <w:style w:type="character" w:customStyle="1" w:styleId="tgc">
    <w:name w:val="_tgc"/>
    <w:basedOn w:val="DefaultParagraphFont"/>
    <w:qFormat/>
  </w:style>
  <w:style w:type="paragraph" w:customStyle="1" w:styleId="Normal1">
    <w:name w:val="Normal1"/>
    <w:basedOn w:val="Normal"/>
    <w:uiPriority w:val="99"/>
    <w:qFormat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doc-ti">
    <w:name w:val="doc-ti"/>
    <w:basedOn w:val="Normal"/>
    <w:uiPriority w:val="99"/>
    <w:qFormat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super">
    <w:name w:val="super"/>
    <w:basedOn w:val="DefaultParagraphFont"/>
    <w:qFormat/>
  </w:style>
  <w:style w:type="paragraph" w:customStyle="1" w:styleId="CM4">
    <w:name w:val="CM4"/>
    <w:basedOn w:val="Default"/>
    <w:next w:val="Default"/>
    <w:uiPriority w:val="99"/>
    <w:qFormat/>
    <w:rPr>
      <w:color w:val="auto"/>
    </w:rPr>
  </w:style>
  <w:style w:type="paragraph" w:customStyle="1" w:styleId="ManuakNum">
    <w:name w:val="Manuak Num"/>
    <w:basedOn w:val="Text1"/>
    <w:uiPriority w:val="99"/>
    <w:qFormat/>
  </w:style>
  <w:style w:type="paragraph" w:customStyle="1" w:styleId="ManualNum0">
    <w:name w:val="ManualNum"/>
    <w:basedOn w:val="ManuakNum"/>
    <w:uiPriority w:val="99"/>
    <w:qFormat/>
  </w:style>
  <w:style w:type="paragraph" w:customStyle="1" w:styleId="ti-art">
    <w:name w:val="ti-art"/>
    <w:basedOn w:val="Normal"/>
    <w:uiPriority w:val="99"/>
    <w:qFormat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sti-art">
    <w:name w:val="sti-art"/>
    <w:basedOn w:val="Normal"/>
    <w:uiPriority w:val="99"/>
    <w:qFormat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Normal2">
    <w:name w:val="Normal2"/>
    <w:basedOn w:val="Normal"/>
    <w:uiPriority w:val="99"/>
    <w:qFormat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t">
    <w:name w:val="st"/>
    <w:basedOn w:val="DefaultParagraphFont"/>
    <w:qFormat/>
  </w:style>
  <w:style w:type="paragraph" w:customStyle="1" w:styleId="ListDash2">
    <w:name w:val="List Dash 2"/>
    <w:basedOn w:val="Text2"/>
    <w:uiPriority w:val="99"/>
    <w:qFormat/>
    <w:pPr>
      <w:spacing w:before="0" w:after="240"/>
      <w:ind w:left="0"/>
    </w:pPr>
    <w:rPr>
      <w:rFonts w:eastAsia="Times New Roman"/>
      <w:szCs w:val="20"/>
    </w:rPr>
  </w:style>
  <w:style w:type="paragraph" w:customStyle="1" w:styleId="ManualNum">
    <w:name w:val="Manual Num"/>
    <w:basedOn w:val="Titrearticle"/>
    <w:uiPriority w:val="99"/>
    <w:qFormat/>
    <w:pPr>
      <w:numPr>
        <w:numId w:val="11"/>
      </w:numPr>
    </w:pPr>
  </w:style>
  <w:style w:type="character" w:customStyle="1" w:styleId="apple-converted-space">
    <w:name w:val="apple-converted-space"/>
    <w:basedOn w:val="DefaultParagraphFont"/>
    <w:qFormat/>
  </w:style>
  <w:style w:type="paragraph" w:customStyle="1" w:styleId="Normal3">
    <w:name w:val="Normal3"/>
    <w:basedOn w:val="Normal"/>
    <w:uiPriority w:val="99"/>
    <w:qFormat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  <w:style w:type="character" w:customStyle="1" w:styleId="semi-bold">
    <w:name w:val="semi-bold"/>
    <w:basedOn w:val="DefaultParagraphFont"/>
    <w:qFormat/>
  </w:style>
  <w:style w:type="paragraph" w:customStyle="1" w:styleId="FootenoteTe">
    <w:name w:val="FootenoteTe"/>
    <w:basedOn w:val="doc-ti"/>
    <w:uiPriority w:val="99"/>
    <w:qFormat/>
    <w:rPr>
      <w:sz w:val="20"/>
      <w:szCs w:val="20"/>
    </w:rPr>
  </w:style>
  <w:style w:type="paragraph" w:customStyle="1" w:styleId="ListBullet1">
    <w:name w:val="List Bullet 1"/>
    <w:basedOn w:val="Normal"/>
    <w:uiPriority w:val="99"/>
    <w:qFormat/>
    <w:pPr>
      <w:numPr>
        <w:numId w:val="12"/>
      </w:numPr>
    </w:pPr>
    <w:rPr>
      <w:rFonts w:eastAsia="Times New Roman"/>
      <w:lang w:eastAsia="de-DE"/>
    </w:rPr>
  </w:style>
  <w:style w:type="paragraph" w:customStyle="1" w:styleId="ListDash1">
    <w:name w:val="List Dash 1"/>
    <w:basedOn w:val="Normal"/>
    <w:uiPriority w:val="99"/>
    <w:qFormat/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uiPriority w:val="99"/>
    <w:qFormat/>
    <w:pPr>
      <w:tabs>
        <w:tab w:val="left" w:pos="1417"/>
      </w:tabs>
      <w:ind w:left="1417" w:hanging="708"/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uiPriority w:val="99"/>
    <w:qFormat/>
    <w:pPr>
      <w:tabs>
        <w:tab w:val="left" w:pos="2126"/>
      </w:tabs>
      <w:ind w:left="2126" w:hanging="709"/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uiPriority w:val="99"/>
    <w:qFormat/>
    <w:pPr>
      <w:tabs>
        <w:tab w:val="left" w:pos="2835"/>
      </w:tabs>
      <w:ind w:left="2835" w:hanging="709"/>
    </w:pPr>
    <w:rPr>
      <w:rFonts w:eastAsia="Times New Roman"/>
      <w:lang w:eastAsia="de-DE"/>
    </w:rPr>
  </w:style>
  <w:style w:type="paragraph" w:customStyle="1" w:styleId="ListDash3">
    <w:name w:val="List Dash 3"/>
    <w:basedOn w:val="ListDash2"/>
    <w:uiPriority w:val="99"/>
    <w:qFormat/>
  </w:style>
  <w:style w:type="paragraph" w:customStyle="1" w:styleId="ListNumber0Level3">
    <w:name w:val="List Number 0 (Level 3)"/>
    <w:basedOn w:val="ListNumber1Level3"/>
    <w:uiPriority w:val="99"/>
    <w:qFormat/>
  </w:style>
  <w:style w:type="paragraph" w:customStyle="1" w:styleId="Text10">
    <w:name w:val="Text1"/>
    <w:basedOn w:val="Point2letter"/>
    <w:qFormat/>
  </w:style>
  <w:style w:type="paragraph" w:customStyle="1" w:styleId="Sous-titreobjet">
    <w:name w:val="Sous-titre objet"/>
    <w:basedOn w:val="Normal"/>
    <w:qFormat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  <w:qFormat/>
  </w:style>
  <w:style w:type="paragraph" w:customStyle="1" w:styleId="TOCHeading1">
    <w:name w:val="TOC Heading1"/>
    <w:basedOn w:val="Normal"/>
    <w:next w:val="Normal"/>
    <w:uiPriority w:val="39"/>
    <w:unhideWhenUsed/>
    <w:qFormat/>
    <w:pPr>
      <w:spacing w:after="240"/>
      <w:jc w:val="center"/>
    </w:pPr>
    <w:rPr>
      <w:b/>
      <w:sz w:val="28"/>
    </w:rPr>
  </w:style>
  <w:style w:type="paragraph" w:styleId="Revision">
    <w:name w:val="Revision"/>
    <w:hidden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99"/>
    <w:unhideWhenUsed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pPr>
      <w:spacing w:before="0" w:after="0"/>
      <w:jc w:val="left"/>
    </w:pPr>
    <w:rPr>
      <w:rFonts w:ascii="Calibri" w:eastAsia="Times New Roman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="Times New Roman" w:hAnsi="Calibri" w:cs="Times New Roman"/>
      <w:szCs w:val="21"/>
      <w:lang w:eastAsia="en-US"/>
    </w:rPr>
  </w:style>
  <w:style w:type="paragraph" w:customStyle="1" w:styleId="Nromal">
    <w:name w:val="Nromal"/>
    <w:basedOn w:val="ManualNumPar1"/>
  </w:style>
  <w:style w:type="paragraph" w:styleId="Header">
    <w:name w:val="header"/>
    <w:basedOn w:val="Normal"/>
    <w:link w:val="HeaderChar"/>
    <w:uiPriority w:val="99"/>
    <w:unhideWhenUsed/>
    <w:rsid w:val="005F0856"/>
    <w:pPr>
      <w:tabs>
        <w:tab w:val="center" w:pos="4535"/>
        <w:tab w:val="right" w:pos="9071"/>
      </w:tabs>
      <w:spacing w:before="0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F0856"/>
    <w:rPr>
      <w:rFonts w:ascii="Times New Roman" w:hAnsi="Times New Roman" w:cs="Times New Roman"/>
      <w:sz w:val="24"/>
      <w:lang w:val="hu-HU" w:eastAsia="en-US"/>
    </w:rPr>
  </w:style>
  <w:style w:type="paragraph" w:styleId="Footer">
    <w:name w:val="footer"/>
    <w:basedOn w:val="Normal"/>
    <w:link w:val="FooterChar"/>
    <w:uiPriority w:val="99"/>
    <w:unhideWhenUsed/>
    <w:rsid w:val="005F085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0856"/>
    <w:rPr>
      <w:rFonts w:ascii="Times New Roman" w:hAnsi="Times New Roman" w:cs="Times New Roman"/>
      <w:sz w:val="24"/>
      <w:lang w:val="hu-H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5F0856"/>
    <w:pPr>
      <w:tabs>
        <w:tab w:val="center" w:pos="7285"/>
        <w:tab w:val="right" w:pos="14003"/>
      </w:tabs>
      <w:spacing w:before="0"/>
    </w:pPr>
    <w:rPr>
      <w:lang w:eastAsia="en-US"/>
    </w:rPr>
  </w:style>
  <w:style w:type="paragraph" w:customStyle="1" w:styleId="FooterLandscape">
    <w:name w:val="FooterLandscape"/>
    <w:basedOn w:val="Normal"/>
    <w:rsid w:val="005F085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5F08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/>
    </w:rPr>
  </w:style>
  <w:style w:type="paragraph" w:customStyle="1" w:styleId="FooterSensitivity">
    <w:name w:val="Footer Sensitivity"/>
    <w:basedOn w:val="Normal"/>
    <w:rsid w:val="005F08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47"/>
      </w:numPr>
    </w:pPr>
  </w:style>
  <w:style w:type="paragraph" w:customStyle="1" w:styleId="Tiret1">
    <w:name w:val="Tiret 1"/>
    <w:basedOn w:val="Point1"/>
    <w:pPr>
      <w:numPr>
        <w:numId w:val="48"/>
      </w:numPr>
    </w:pPr>
  </w:style>
  <w:style w:type="paragraph" w:customStyle="1" w:styleId="Tiret2">
    <w:name w:val="Tiret 2"/>
    <w:basedOn w:val="Point2"/>
    <w:pPr>
      <w:numPr>
        <w:numId w:val="49"/>
      </w:numPr>
    </w:pPr>
  </w:style>
  <w:style w:type="paragraph" w:customStyle="1" w:styleId="Tiret3">
    <w:name w:val="Tiret 3"/>
    <w:basedOn w:val="Point3"/>
    <w:pPr>
      <w:numPr>
        <w:numId w:val="50"/>
      </w:numPr>
    </w:pPr>
  </w:style>
  <w:style w:type="paragraph" w:customStyle="1" w:styleId="Tiret4">
    <w:name w:val="Tiret 4"/>
    <w:basedOn w:val="Point4"/>
    <w:pPr>
      <w:numPr>
        <w:numId w:val="5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5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5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5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5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54"/>
      </w:numPr>
    </w:pPr>
  </w:style>
  <w:style w:type="paragraph" w:customStyle="1" w:styleId="Point1number">
    <w:name w:val="Point 1 (number)"/>
    <w:basedOn w:val="Normal"/>
    <w:pPr>
      <w:numPr>
        <w:ilvl w:val="2"/>
        <w:numId w:val="54"/>
      </w:numPr>
    </w:pPr>
  </w:style>
  <w:style w:type="paragraph" w:customStyle="1" w:styleId="Point2number">
    <w:name w:val="Point 2 (number)"/>
    <w:basedOn w:val="Normal"/>
    <w:pPr>
      <w:numPr>
        <w:ilvl w:val="4"/>
        <w:numId w:val="54"/>
      </w:numPr>
    </w:pPr>
  </w:style>
  <w:style w:type="paragraph" w:customStyle="1" w:styleId="Point3number">
    <w:name w:val="Point 3 (number)"/>
    <w:basedOn w:val="Normal"/>
    <w:pPr>
      <w:numPr>
        <w:ilvl w:val="6"/>
        <w:numId w:val="54"/>
      </w:numPr>
    </w:pPr>
  </w:style>
  <w:style w:type="paragraph" w:customStyle="1" w:styleId="Point0letter">
    <w:name w:val="Point 0 (letter)"/>
    <w:basedOn w:val="Normal"/>
    <w:pPr>
      <w:numPr>
        <w:ilvl w:val="1"/>
        <w:numId w:val="54"/>
      </w:numPr>
    </w:pPr>
  </w:style>
  <w:style w:type="paragraph" w:customStyle="1" w:styleId="Point1letter">
    <w:name w:val="Point 1 (letter)"/>
    <w:basedOn w:val="Normal"/>
    <w:pPr>
      <w:numPr>
        <w:ilvl w:val="3"/>
        <w:numId w:val="54"/>
      </w:numPr>
    </w:pPr>
  </w:style>
  <w:style w:type="paragraph" w:customStyle="1" w:styleId="Point2letter">
    <w:name w:val="Point 2 (letter)"/>
    <w:basedOn w:val="Normal"/>
    <w:pPr>
      <w:numPr>
        <w:ilvl w:val="5"/>
        <w:numId w:val="54"/>
      </w:numPr>
    </w:pPr>
  </w:style>
  <w:style w:type="paragraph" w:customStyle="1" w:styleId="Point3letter">
    <w:name w:val="Point 3 (letter)"/>
    <w:basedOn w:val="Normal"/>
    <w:pPr>
      <w:numPr>
        <w:ilvl w:val="7"/>
        <w:numId w:val="54"/>
      </w:numPr>
    </w:pPr>
  </w:style>
  <w:style w:type="paragraph" w:customStyle="1" w:styleId="Point4letter">
    <w:name w:val="Point 4 (letter)"/>
    <w:basedOn w:val="Normal"/>
    <w:pPr>
      <w:numPr>
        <w:ilvl w:val="8"/>
        <w:numId w:val="54"/>
      </w:numPr>
    </w:pPr>
  </w:style>
  <w:style w:type="paragraph" w:customStyle="1" w:styleId="Bullet0">
    <w:name w:val="Bullet 0"/>
    <w:basedOn w:val="Normal"/>
    <w:pPr>
      <w:numPr>
        <w:numId w:val="55"/>
      </w:numPr>
    </w:pPr>
  </w:style>
  <w:style w:type="paragraph" w:customStyle="1" w:styleId="Bullet1">
    <w:name w:val="Bullet 1"/>
    <w:basedOn w:val="Normal"/>
    <w:pPr>
      <w:numPr>
        <w:numId w:val="56"/>
      </w:numPr>
    </w:pPr>
  </w:style>
  <w:style w:type="paragraph" w:customStyle="1" w:styleId="Bullet2">
    <w:name w:val="Bullet 2"/>
    <w:basedOn w:val="Normal"/>
    <w:pPr>
      <w:numPr>
        <w:numId w:val="57"/>
      </w:numPr>
    </w:pPr>
  </w:style>
  <w:style w:type="paragraph" w:customStyle="1" w:styleId="Bullet3">
    <w:name w:val="Bullet 3"/>
    <w:basedOn w:val="Normal"/>
    <w:pPr>
      <w:numPr>
        <w:numId w:val="58"/>
      </w:numPr>
    </w:pPr>
  </w:style>
  <w:style w:type="paragraph" w:customStyle="1" w:styleId="Bullet4">
    <w:name w:val="Bullet 4"/>
    <w:basedOn w:val="Normal"/>
    <w:pPr>
      <w:numPr>
        <w:numId w:val="5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6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/>
    <w:lsdException w:name="caption" w:uiPriority="35" w:qFormat="1"/>
    <w:lsdException w:name="table of figures" w:qFormat="1"/>
    <w:lsdException w:name="envelope address" w:semiHidden="1"/>
    <w:lsdException w:name="envelope return" w:semiHidden="1"/>
    <w:lsdException w:name="footnote reference" w:qFormat="1"/>
    <w:lsdException w:name="annotation reference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qFormat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qFormat="1"/>
    <w:lsdException w:name="List Bullet 5" w:semiHidden="1"/>
    <w:lsdException w:name="List Number 2" w:qFormat="1"/>
    <w:lsdException w:name="List Number 3" w:qFormat="1"/>
    <w:lsdException w:name="List Number 4" w:qFormat="1"/>
    <w:lsdException w:name="List Number 5" w:uiPriority="0" w:unhideWhenUsed="0" w:qFormat="1"/>
    <w:lsdException w:name="Title" w:uiPriority="1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qFormat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qFormat="1"/>
    <w:lsdException w:name="Table Grid" w:semiHidden="1" w:uiPriority="59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5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5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5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5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List2">
    <w:name w:val="List 2"/>
    <w:basedOn w:val="Normal"/>
    <w:uiPriority w:val="99"/>
    <w:unhideWhenUsed/>
    <w:qFormat/>
    <w:pPr>
      <w:ind w:left="566" w:hanging="283"/>
      <w:contextualSpacing/>
    </w:p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qFormat/>
    <w:pPr>
      <w:numPr>
        <w:numId w:val="2"/>
      </w:numPr>
      <w:tabs>
        <w:tab w:val="clear" w:pos="643"/>
        <w:tab w:val="left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unhideWhenUsed/>
    <w:qFormat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qFormat/>
    <w:pPr>
      <w:numPr>
        <w:numId w:val="4"/>
      </w:numPr>
      <w:tabs>
        <w:tab w:val="clear" w:pos="1209"/>
        <w:tab w:val="left" w:pos="360"/>
      </w:tabs>
      <w:ind w:left="0" w:firstLine="0"/>
      <w:contextualSpacing/>
    </w:pPr>
  </w:style>
  <w:style w:type="paragraph" w:styleId="ListNumber">
    <w:name w:val="List Number"/>
    <w:basedOn w:val="Normal"/>
    <w:uiPriority w:val="99"/>
    <w:unhideWhenUsed/>
    <w:qFormat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qFormat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qFormat/>
    <w:pPr>
      <w:numPr>
        <w:numId w:val="8"/>
      </w:numPr>
      <w:contextualSpacing/>
    </w:pPr>
  </w:style>
  <w:style w:type="paragraph" w:styleId="ListNumber5">
    <w:name w:val="List Number 5"/>
    <w:basedOn w:val="Normal"/>
    <w:qFormat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after="0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nhideWhenUsed/>
    <w:qFormat/>
    <w:rPr>
      <w:color w:val="347C98"/>
      <w:u w:val="none"/>
      <w:shd w:val="clear" w:color="auto" w:fill="auto"/>
    </w:rPr>
  </w:style>
  <w:style w:type="character" w:styleId="PageNumber">
    <w:name w:val="page number"/>
    <w:qFormat/>
    <w:rPr>
      <w:rFonts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ListNumber1">
    <w:name w:val="List Number 1"/>
    <w:basedOn w:val="Text1"/>
    <w:uiPriority w:val="99"/>
    <w:qFormat/>
    <w:pPr>
      <w:numPr>
        <w:numId w:val="10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"/>
    <w:uiPriority w:val="99"/>
    <w:qFormat/>
    <w:pPr>
      <w:numPr>
        <w:ilvl w:val="1"/>
        <w:numId w:val="10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"/>
    <w:uiPriority w:val="99"/>
    <w:qFormat/>
    <w:pPr>
      <w:numPr>
        <w:ilvl w:val="2"/>
        <w:numId w:val="10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"/>
    <w:uiPriority w:val="99"/>
    <w:qFormat/>
    <w:pPr>
      <w:numPr>
        <w:ilvl w:val="3"/>
        <w:numId w:val="10"/>
      </w:numPr>
      <w:spacing w:before="0" w:after="240"/>
    </w:pPr>
    <w:rPr>
      <w:rFonts w:eastAsia="Times New Roman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hAnsi="Times New Roman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hAnsi="Times New Roman" w:cs="Times New Roman"/>
      <w:b/>
      <w:bCs/>
      <w:sz w:val="20"/>
      <w:szCs w:val="20"/>
      <w:lang w:val="en-GB"/>
    </w:rPr>
  </w:style>
  <w:style w:type="character" w:customStyle="1" w:styleId="Text1Char">
    <w:name w:val="Text 1 Char"/>
    <w:qFormat/>
    <w:rPr>
      <w:rFonts w:ascii="Times New Roman" w:hAnsi="Times New Roman" w:cs="Times New Roman"/>
      <w:bCs/>
      <w:sz w:val="23"/>
      <w:szCs w:val="23"/>
      <w:lang w:val="en-GB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qFormat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qFormat/>
    <w:rPr>
      <w:rFonts w:ascii="EUAlbertina" w:hAnsi="EUAlbertina" w:cstheme="minorBidi"/>
      <w:color w:val="auto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Times New Roman" w:hAnsi="Times New Roman" w:cs="Times New Roman"/>
      <w:sz w:val="24"/>
      <w:lang w:eastAsia="en-US"/>
    </w:rPr>
  </w:style>
  <w:style w:type="character" w:customStyle="1" w:styleId="tgc">
    <w:name w:val="_tgc"/>
    <w:basedOn w:val="DefaultParagraphFont"/>
    <w:qFormat/>
  </w:style>
  <w:style w:type="paragraph" w:customStyle="1" w:styleId="Normal1">
    <w:name w:val="Normal1"/>
    <w:basedOn w:val="Normal"/>
    <w:uiPriority w:val="99"/>
    <w:qFormat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doc-ti">
    <w:name w:val="doc-ti"/>
    <w:basedOn w:val="Normal"/>
    <w:uiPriority w:val="99"/>
    <w:qFormat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super">
    <w:name w:val="super"/>
    <w:basedOn w:val="DefaultParagraphFont"/>
    <w:qFormat/>
  </w:style>
  <w:style w:type="paragraph" w:customStyle="1" w:styleId="CM4">
    <w:name w:val="CM4"/>
    <w:basedOn w:val="Default"/>
    <w:next w:val="Default"/>
    <w:uiPriority w:val="99"/>
    <w:qFormat/>
    <w:rPr>
      <w:color w:val="auto"/>
    </w:rPr>
  </w:style>
  <w:style w:type="paragraph" w:customStyle="1" w:styleId="ManuakNum">
    <w:name w:val="Manuak Num"/>
    <w:basedOn w:val="Text1"/>
    <w:uiPriority w:val="99"/>
    <w:qFormat/>
  </w:style>
  <w:style w:type="paragraph" w:customStyle="1" w:styleId="ManualNum0">
    <w:name w:val="ManualNum"/>
    <w:basedOn w:val="ManuakNum"/>
    <w:uiPriority w:val="99"/>
    <w:qFormat/>
  </w:style>
  <w:style w:type="paragraph" w:customStyle="1" w:styleId="ti-art">
    <w:name w:val="ti-art"/>
    <w:basedOn w:val="Normal"/>
    <w:uiPriority w:val="99"/>
    <w:qFormat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sti-art">
    <w:name w:val="sti-art"/>
    <w:basedOn w:val="Normal"/>
    <w:uiPriority w:val="99"/>
    <w:qFormat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Normal2">
    <w:name w:val="Normal2"/>
    <w:basedOn w:val="Normal"/>
    <w:uiPriority w:val="99"/>
    <w:qFormat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t">
    <w:name w:val="st"/>
    <w:basedOn w:val="DefaultParagraphFont"/>
    <w:qFormat/>
  </w:style>
  <w:style w:type="paragraph" w:customStyle="1" w:styleId="ListDash2">
    <w:name w:val="List Dash 2"/>
    <w:basedOn w:val="Text2"/>
    <w:uiPriority w:val="99"/>
    <w:qFormat/>
    <w:pPr>
      <w:spacing w:before="0" w:after="240"/>
      <w:ind w:left="0"/>
    </w:pPr>
    <w:rPr>
      <w:rFonts w:eastAsia="Times New Roman"/>
      <w:szCs w:val="20"/>
    </w:rPr>
  </w:style>
  <w:style w:type="paragraph" w:customStyle="1" w:styleId="ManualNum">
    <w:name w:val="Manual Num"/>
    <w:basedOn w:val="Titrearticle"/>
    <w:uiPriority w:val="99"/>
    <w:qFormat/>
    <w:pPr>
      <w:numPr>
        <w:numId w:val="11"/>
      </w:numPr>
    </w:pPr>
  </w:style>
  <w:style w:type="character" w:customStyle="1" w:styleId="apple-converted-space">
    <w:name w:val="apple-converted-space"/>
    <w:basedOn w:val="DefaultParagraphFont"/>
    <w:qFormat/>
  </w:style>
  <w:style w:type="paragraph" w:customStyle="1" w:styleId="Normal3">
    <w:name w:val="Normal3"/>
    <w:basedOn w:val="Normal"/>
    <w:uiPriority w:val="99"/>
    <w:qFormat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  <w:style w:type="character" w:customStyle="1" w:styleId="semi-bold">
    <w:name w:val="semi-bold"/>
    <w:basedOn w:val="DefaultParagraphFont"/>
    <w:qFormat/>
  </w:style>
  <w:style w:type="paragraph" w:customStyle="1" w:styleId="FootenoteTe">
    <w:name w:val="FootenoteTe"/>
    <w:basedOn w:val="doc-ti"/>
    <w:uiPriority w:val="99"/>
    <w:qFormat/>
    <w:rPr>
      <w:sz w:val="20"/>
      <w:szCs w:val="20"/>
    </w:rPr>
  </w:style>
  <w:style w:type="paragraph" w:customStyle="1" w:styleId="ListBullet1">
    <w:name w:val="List Bullet 1"/>
    <w:basedOn w:val="Normal"/>
    <w:uiPriority w:val="99"/>
    <w:qFormat/>
    <w:pPr>
      <w:numPr>
        <w:numId w:val="12"/>
      </w:numPr>
    </w:pPr>
    <w:rPr>
      <w:rFonts w:eastAsia="Times New Roman"/>
      <w:lang w:eastAsia="de-DE"/>
    </w:rPr>
  </w:style>
  <w:style w:type="paragraph" w:customStyle="1" w:styleId="ListDash1">
    <w:name w:val="List Dash 1"/>
    <w:basedOn w:val="Normal"/>
    <w:uiPriority w:val="99"/>
    <w:qFormat/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uiPriority w:val="99"/>
    <w:qFormat/>
    <w:pPr>
      <w:tabs>
        <w:tab w:val="left" w:pos="1417"/>
      </w:tabs>
      <w:ind w:left="1417" w:hanging="708"/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uiPriority w:val="99"/>
    <w:qFormat/>
    <w:pPr>
      <w:tabs>
        <w:tab w:val="left" w:pos="2126"/>
      </w:tabs>
      <w:ind w:left="2126" w:hanging="709"/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uiPriority w:val="99"/>
    <w:qFormat/>
    <w:pPr>
      <w:tabs>
        <w:tab w:val="left" w:pos="2835"/>
      </w:tabs>
      <w:ind w:left="2835" w:hanging="709"/>
    </w:pPr>
    <w:rPr>
      <w:rFonts w:eastAsia="Times New Roman"/>
      <w:lang w:eastAsia="de-DE"/>
    </w:rPr>
  </w:style>
  <w:style w:type="paragraph" w:customStyle="1" w:styleId="ListDash3">
    <w:name w:val="List Dash 3"/>
    <w:basedOn w:val="ListDash2"/>
    <w:uiPriority w:val="99"/>
    <w:qFormat/>
  </w:style>
  <w:style w:type="paragraph" w:customStyle="1" w:styleId="ListNumber0Level3">
    <w:name w:val="List Number 0 (Level 3)"/>
    <w:basedOn w:val="ListNumber1Level3"/>
    <w:uiPriority w:val="99"/>
    <w:qFormat/>
  </w:style>
  <w:style w:type="paragraph" w:customStyle="1" w:styleId="Text10">
    <w:name w:val="Text1"/>
    <w:basedOn w:val="Point2letter"/>
    <w:qFormat/>
  </w:style>
  <w:style w:type="paragraph" w:customStyle="1" w:styleId="Sous-titreobjet">
    <w:name w:val="Sous-titre objet"/>
    <w:basedOn w:val="Normal"/>
    <w:qFormat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  <w:qFormat/>
  </w:style>
  <w:style w:type="paragraph" w:customStyle="1" w:styleId="TOCHeading1">
    <w:name w:val="TOC Heading1"/>
    <w:basedOn w:val="Normal"/>
    <w:next w:val="Normal"/>
    <w:uiPriority w:val="39"/>
    <w:unhideWhenUsed/>
    <w:qFormat/>
    <w:pPr>
      <w:spacing w:after="240"/>
      <w:jc w:val="center"/>
    </w:pPr>
    <w:rPr>
      <w:b/>
      <w:sz w:val="28"/>
    </w:rPr>
  </w:style>
  <w:style w:type="paragraph" w:styleId="Revision">
    <w:name w:val="Revision"/>
    <w:hidden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99"/>
    <w:unhideWhenUsed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pPr>
      <w:spacing w:before="0" w:after="0"/>
      <w:jc w:val="left"/>
    </w:pPr>
    <w:rPr>
      <w:rFonts w:ascii="Calibri" w:eastAsia="Times New Roman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="Times New Roman" w:hAnsi="Calibri" w:cs="Times New Roman"/>
      <w:szCs w:val="21"/>
      <w:lang w:eastAsia="en-US"/>
    </w:rPr>
  </w:style>
  <w:style w:type="paragraph" w:customStyle="1" w:styleId="Nromal">
    <w:name w:val="Nromal"/>
    <w:basedOn w:val="ManualNumPar1"/>
  </w:style>
  <w:style w:type="paragraph" w:styleId="Header">
    <w:name w:val="header"/>
    <w:basedOn w:val="Normal"/>
    <w:link w:val="HeaderChar"/>
    <w:uiPriority w:val="99"/>
    <w:unhideWhenUsed/>
    <w:rsid w:val="005F0856"/>
    <w:pPr>
      <w:tabs>
        <w:tab w:val="center" w:pos="4535"/>
        <w:tab w:val="right" w:pos="9071"/>
      </w:tabs>
      <w:spacing w:before="0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F0856"/>
    <w:rPr>
      <w:rFonts w:ascii="Times New Roman" w:hAnsi="Times New Roman" w:cs="Times New Roman"/>
      <w:sz w:val="24"/>
      <w:lang w:val="hu-HU" w:eastAsia="en-US"/>
    </w:rPr>
  </w:style>
  <w:style w:type="paragraph" w:styleId="Footer">
    <w:name w:val="footer"/>
    <w:basedOn w:val="Normal"/>
    <w:link w:val="FooterChar"/>
    <w:uiPriority w:val="99"/>
    <w:unhideWhenUsed/>
    <w:rsid w:val="005F085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0856"/>
    <w:rPr>
      <w:rFonts w:ascii="Times New Roman" w:hAnsi="Times New Roman" w:cs="Times New Roman"/>
      <w:sz w:val="24"/>
      <w:lang w:val="hu-H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5F0856"/>
    <w:pPr>
      <w:tabs>
        <w:tab w:val="center" w:pos="7285"/>
        <w:tab w:val="right" w:pos="14003"/>
      </w:tabs>
      <w:spacing w:before="0"/>
    </w:pPr>
    <w:rPr>
      <w:lang w:eastAsia="en-US"/>
    </w:rPr>
  </w:style>
  <w:style w:type="paragraph" w:customStyle="1" w:styleId="FooterLandscape">
    <w:name w:val="FooterLandscape"/>
    <w:basedOn w:val="Normal"/>
    <w:rsid w:val="005F085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5F08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/>
    </w:rPr>
  </w:style>
  <w:style w:type="paragraph" w:customStyle="1" w:styleId="FooterSensitivity">
    <w:name w:val="Footer Sensitivity"/>
    <w:basedOn w:val="Normal"/>
    <w:rsid w:val="005F08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47"/>
      </w:numPr>
    </w:pPr>
  </w:style>
  <w:style w:type="paragraph" w:customStyle="1" w:styleId="Tiret1">
    <w:name w:val="Tiret 1"/>
    <w:basedOn w:val="Point1"/>
    <w:pPr>
      <w:numPr>
        <w:numId w:val="48"/>
      </w:numPr>
    </w:pPr>
  </w:style>
  <w:style w:type="paragraph" w:customStyle="1" w:styleId="Tiret2">
    <w:name w:val="Tiret 2"/>
    <w:basedOn w:val="Point2"/>
    <w:pPr>
      <w:numPr>
        <w:numId w:val="49"/>
      </w:numPr>
    </w:pPr>
  </w:style>
  <w:style w:type="paragraph" w:customStyle="1" w:styleId="Tiret3">
    <w:name w:val="Tiret 3"/>
    <w:basedOn w:val="Point3"/>
    <w:pPr>
      <w:numPr>
        <w:numId w:val="50"/>
      </w:numPr>
    </w:pPr>
  </w:style>
  <w:style w:type="paragraph" w:customStyle="1" w:styleId="Tiret4">
    <w:name w:val="Tiret 4"/>
    <w:basedOn w:val="Point4"/>
    <w:pPr>
      <w:numPr>
        <w:numId w:val="5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5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5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5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5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54"/>
      </w:numPr>
    </w:pPr>
  </w:style>
  <w:style w:type="paragraph" w:customStyle="1" w:styleId="Point1number">
    <w:name w:val="Point 1 (number)"/>
    <w:basedOn w:val="Normal"/>
    <w:pPr>
      <w:numPr>
        <w:ilvl w:val="2"/>
        <w:numId w:val="54"/>
      </w:numPr>
    </w:pPr>
  </w:style>
  <w:style w:type="paragraph" w:customStyle="1" w:styleId="Point2number">
    <w:name w:val="Point 2 (number)"/>
    <w:basedOn w:val="Normal"/>
    <w:pPr>
      <w:numPr>
        <w:ilvl w:val="4"/>
        <w:numId w:val="54"/>
      </w:numPr>
    </w:pPr>
  </w:style>
  <w:style w:type="paragraph" w:customStyle="1" w:styleId="Point3number">
    <w:name w:val="Point 3 (number)"/>
    <w:basedOn w:val="Normal"/>
    <w:pPr>
      <w:numPr>
        <w:ilvl w:val="6"/>
        <w:numId w:val="54"/>
      </w:numPr>
    </w:pPr>
  </w:style>
  <w:style w:type="paragraph" w:customStyle="1" w:styleId="Point0letter">
    <w:name w:val="Point 0 (letter)"/>
    <w:basedOn w:val="Normal"/>
    <w:pPr>
      <w:numPr>
        <w:ilvl w:val="1"/>
        <w:numId w:val="54"/>
      </w:numPr>
    </w:pPr>
  </w:style>
  <w:style w:type="paragraph" w:customStyle="1" w:styleId="Point1letter">
    <w:name w:val="Point 1 (letter)"/>
    <w:basedOn w:val="Normal"/>
    <w:pPr>
      <w:numPr>
        <w:ilvl w:val="3"/>
        <w:numId w:val="54"/>
      </w:numPr>
    </w:pPr>
  </w:style>
  <w:style w:type="paragraph" w:customStyle="1" w:styleId="Point2letter">
    <w:name w:val="Point 2 (letter)"/>
    <w:basedOn w:val="Normal"/>
    <w:pPr>
      <w:numPr>
        <w:ilvl w:val="5"/>
        <w:numId w:val="54"/>
      </w:numPr>
    </w:pPr>
  </w:style>
  <w:style w:type="paragraph" w:customStyle="1" w:styleId="Point3letter">
    <w:name w:val="Point 3 (letter)"/>
    <w:basedOn w:val="Normal"/>
    <w:pPr>
      <w:numPr>
        <w:ilvl w:val="7"/>
        <w:numId w:val="54"/>
      </w:numPr>
    </w:pPr>
  </w:style>
  <w:style w:type="paragraph" w:customStyle="1" w:styleId="Point4letter">
    <w:name w:val="Point 4 (letter)"/>
    <w:basedOn w:val="Normal"/>
    <w:pPr>
      <w:numPr>
        <w:ilvl w:val="8"/>
        <w:numId w:val="54"/>
      </w:numPr>
    </w:pPr>
  </w:style>
  <w:style w:type="paragraph" w:customStyle="1" w:styleId="Bullet0">
    <w:name w:val="Bullet 0"/>
    <w:basedOn w:val="Normal"/>
    <w:pPr>
      <w:numPr>
        <w:numId w:val="55"/>
      </w:numPr>
    </w:pPr>
  </w:style>
  <w:style w:type="paragraph" w:customStyle="1" w:styleId="Bullet1">
    <w:name w:val="Bullet 1"/>
    <w:basedOn w:val="Normal"/>
    <w:pPr>
      <w:numPr>
        <w:numId w:val="56"/>
      </w:numPr>
    </w:pPr>
  </w:style>
  <w:style w:type="paragraph" w:customStyle="1" w:styleId="Bullet2">
    <w:name w:val="Bullet 2"/>
    <w:basedOn w:val="Normal"/>
    <w:pPr>
      <w:numPr>
        <w:numId w:val="57"/>
      </w:numPr>
    </w:pPr>
  </w:style>
  <w:style w:type="paragraph" w:customStyle="1" w:styleId="Bullet3">
    <w:name w:val="Bullet 3"/>
    <w:basedOn w:val="Normal"/>
    <w:pPr>
      <w:numPr>
        <w:numId w:val="58"/>
      </w:numPr>
    </w:pPr>
  </w:style>
  <w:style w:type="paragraph" w:customStyle="1" w:styleId="Bullet4">
    <w:name w:val="Bullet 4"/>
    <w:basedOn w:val="Normal"/>
    <w:pPr>
      <w:numPr>
        <w:numId w:val="5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6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://eur-lex.europa.eu/legal-content/HU/TXT/?uri=CELEX:02009R1223-20160812&amp;from=EN" TargetMode="External"/><Relationship Id="rId26" Type="http://schemas.openxmlformats.org/officeDocument/2006/relationships/footer" Target="footer8.xm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34" Type="http://schemas.openxmlformats.org/officeDocument/2006/relationships/header" Target="header10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eur-lex.europa.eu/legal-content/HU/TXT/?uri=CELEX:02009R1223-20160812&amp;from=EN" TargetMode="External"/><Relationship Id="rId25" Type="http://schemas.openxmlformats.org/officeDocument/2006/relationships/header" Target="header6.xml"/><Relationship Id="rId33" Type="http://schemas.openxmlformats.org/officeDocument/2006/relationships/hyperlink" Target="https://myintracomm.ec.europa.eu/budgweb/EN/pre/legalbasis/Pages/pre-040-020_preparation.aspx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footer" Target="footer13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oter" Target="footer9.xml"/><Relationship Id="rId36" Type="http://schemas.openxmlformats.org/officeDocument/2006/relationships/header" Target="header11.xml"/><Relationship Id="rId10" Type="http://schemas.openxmlformats.org/officeDocument/2006/relationships/image" Target="media/image1.emf"/><Relationship Id="rId19" Type="http://schemas.openxmlformats.org/officeDocument/2006/relationships/footer" Target="footer4.xml"/><Relationship Id="rId31" Type="http://schemas.openxmlformats.org/officeDocument/2006/relationships/header" Target="header9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7.xml"/><Relationship Id="rId30" Type="http://schemas.openxmlformats.org/officeDocument/2006/relationships/footer" Target="footer10.xml"/><Relationship Id="rId35" Type="http://schemas.openxmlformats.org/officeDocument/2006/relationships/footer" Target="footer1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commission/publications/reflection-paper-harnessing-globalisation_en" TargetMode="External"/><Relationship Id="rId2" Type="http://schemas.openxmlformats.org/officeDocument/2006/relationships/hyperlink" Target="http://ec.europa.eu/atwork/key-documents/index_en.htm" TargetMode="External"/><Relationship Id="rId1" Type="http://schemas.openxmlformats.org/officeDocument/2006/relationships/hyperlink" Target="http://ec.europa.eu/about/juncker-commission/priorities/index_en.htm" TargetMode="External"/><Relationship Id="rId4" Type="http://schemas.openxmlformats.org/officeDocument/2006/relationships/hyperlink" Target="http://www.cc.cec/budg/man/budgmanag/budgmanag_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60BE22-B4BA-4E95-B442-B69EFFE5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3</Pages>
  <Words>24221</Words>
  <Characters>176335</Characters>
  <Application>Microsoft Office Word</Application>
  <DocSecurity>0</DocSecurity>
  <Lines>4640</Lines>
  <Paragraphs>1856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DOMINGUEZ AGUIRRE Ana (SG)</cp:lastModifiedBy>
  <cp:revision>20</cp:revision>
  <cp:lastPrinted>2017-12-11T14:39:00Z</cp:lastPrinted>
  <dcterms:created xsi:type="dcterms:W3CDTF">2018-02-14T10:38:00Z</dcterms:created>
  <dcterms:modified xsi:type="dcterms:W3CDTF">2018-02-21T13:37:00Z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SJ-023</vt:lpwstr>
  </property>
  <property fmtid="{D5CDD505-2E9C-101B-9397-08002B2CF9AE}" pid="9" name="Level of sensitivity">
    <vt:lpwstr>Standard treatment</vt:lpwstr>
  </property>
  <property fmtid="{D5CDD505-2E9C-101B-9397-08002B2CF9AE}" pid="10" name="KSOProductBuildVer">
    <vt:lpwstr>1033-10.2.0.5978</vt:lpwstr>
  </property>
  <property fmtid="{D5CDD505-2E9C-101B-9397-08002B2CF9AE}" pid="11" name="DQCStatus">
    <vt:lpwstr>Yellow (DQC version 03)</vt:lpwstr>
  </property>
</Properties>
</file>