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58D" w:rsidRDefault="00D1585A" w:rsidP="00D1585A">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3A5F0A16-55BC-4DE7-A9A6-533C3FBF0C4F" style="width:450.8pt;height:571pt">
            <v:imagedata r:id="rId13" o:title=""/>
          </v:shape>
        </w:pict>
      </w:r>
    </w:p>
    <w:p w:rsidR="00F4358D" w:rsidRDefault="00F4358D">
      <w:pPr>
        <w:rPr>
          <w:noProof/>
        </w:rPr>
        <w:sectPr w:rsidR="00F4358D" w:rsidSect="00D1585A">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1"/>
          <w:cols w:space="720"/>
          <w:docGrid w:linePitch="360"/>
        </w:sectPr>
      </w:pPr>
    </w:p>
    <w:p w:rsidR="00F4358D" w:rsidRDefault="00D1585A">
      <w:pPr>
        <w:pStyle w:val="Exposdesmotifstitre"/>
        <w:rPr>
          <w:noProof/>
        </w:rPr>
      </w:pPr>
      <w:bookmarkStart w:id="0" w:name="_Toc492216444"/>
      <w:bookmarkStart w:id="1" w:name="_GoBack"/>
      <w:bookmarkEnd w:id="1"/>
      <w:r>
        <w:rPr>
          <w:noProof/>
        </w:rPr>
        <w:lastRenderedPageBreak/>
        <w:t>SELETUSKIRI</w:t>
      </w:r>
      <w:bookmarkEnd w:id="0"/>
    </w:p>
    <w:p w:rsidR="00F4358D" w:rsidRDefault="00D1585A">
      <w:pPr>
        <w:pStyle w:val="ManualHeading1"/>
        <w:rPr>
          <w:noProof/>
        </w:rPr>
      </w:pPr>
      <w:bookmarkStart w:id="2" w:name="_Toc492216445"/>
      <w:r>
        <w:t>1.</w:t>
      </w:r>
      <w:r>
        <w:tab/>
      </w:r>
      <w:r>
        <w:rPr>
          <w:noProof/>
        </w:rPr>
        <w:t>ETTEPANEKU TAUST</w:t>
      </w:r>
      <w:bookmarkEnd w:id="2"/>
    </w:p>
    <w:p w:rsidR="00F4358D" w:rsidRDefault="00D1585A">
      <w:pPr>
        <w:pStyle w:val="ManualHeading2"/>
        <w:rPr>
          <w:rFonts w:eastAsia="Arial Unicode MS"/>
          <w:noProof/>
        </w:rPr>
      </w:pPr>
      <w:bookmarkStart w:id="3" w:name="_Toc492216446"/>
      <w:r>
        <w:rPr>
          <w:noProof/>
        </w:rPr>
        <w:t>•</w:t>
      </w:r>
      <w:r>
        <w:rPr>
          <w:noProof/>
        </w:rPr>
        <w:tab/>
        <w:t>Ettepaneku põhjused ja eesmärgid</w:t>
      </w:r>
      <w:bookmarkEnd w:id="3"/>
    </w:p>
    <w:p w:rsidR="00F4358D" w:rsidRDefault="00D1585A">
      <w:pPr>
        <w:spacing w:after="180"/>
        <w:rPr>
          <w:noProof/>
          <w:szCs w:val="24"/>
        </w:rPr>
      </w:pPr>
      <w:r>
        <w:rPr>
          <w:noProof/>
        </w:rPr>
        <w:t>Euroopa Liit on võtnud mitmeid meetmeid, et suurendada oma vastupidavusvõimet ja</w:t>
      </w:r>
      <w:r>
        <w:rPr>
          <w:noProof/>
        </w:rPr>
        <w:t xml:space="preserve"> valmisolekut küberturvalisuse valdkonnas. 2013. aastal vastu võetud esimeses Euroopa Liidu küberjulgeoleku strateegias</w:t>
      </w:r>
      <w:r>
        <w:rPr>
          <w:rStyle w:val="FootnoteReference"/>
          <w:noProof/>
        </w:rPr>
        <w:footnoteReference w:id="2"/>
      </w:r>
      <w:r>
        <w:rPr>
          <w:noProof/>
        </w:rPr>
        <w:t xml:space="preserve"> sätestati strateegilised eesmärgid ja konkreetsed meetmed, et saavutada vastupidavusvõime, vähendada küberkuritegevust, töötada välja k</w:t>
      </w:r>
      <w:r>
        <w:rPr>
          <w:noProof/>
        </w:rPr>
        <w:t>überkaitse põhimõtted ja suutlikkus, arendada tööstuslikke ja tehnoloogilisi ressursse ning luua ELi jaoks ühtne rahvusvaheline küberruumi poliitika. Selles kontekstis on hiljem toimunud olulisi arenguid, sealhulgas eelkõige Euroopa Liidu Võrgu- ja Infotur</w:t>
      </w:r>
      <w:r>
        <w:rPr>
          <w:noProof/>
        </w:rPr>
        <w:t>beametile (edaspidi „ENISA“) teise mandaadi andmine</w:t>
      </w:r>
      <w:r>
        <w:rPr>
          <w:rStyle w:val="FootnoteReference"/>
          <w:noProof/>
        </w:rPr>
        <w:footnoteReference w:id="3"/>
      </w:r>
      <w:r>
        <w:rPr>
          <w:noProof/>
        </w:rPr>
        <w:t xml:space="preserve"> ning </w:t>
      </w:r>
      <w:r>
        <w:rPr>
          <w:b/>
          <w:noProof/>
        </w:rPr>
        <w:t>võrgu ja infosüsteemide turvalisuse direktiivi</w:t>
      </w:r>
      <w:r>
        <w:rPr>
          <w:rStyle w:val="FootnoteReference"/>
          <w:noProof/>
        </w:rPr>
        <w:footnoteReference w:id="4"/>
      </w:r>
      <w:r>
        <w:rPr>
          <w:noProof/>
        </w:rPr>
        <w:t xml:space="preserve"> (edaspidi „võrgu- ja infoturbe direktiiv“) vastuvõtmine, mis on käesoleva ettepaneku alus.</w:t>
      </w:r>
    </w:p>
    <w:p w:rsidR="00F4358D" w:rsidRDefault="00D1585A">
      <w:pPr>
        <w:spacing w:after="180"/>
        <w:rPr>
          <w:noProof/>
          <w:szCs w:val="24"/>
        </w:rPr>
      </w:pPr>
      <w:r>
        <w:rPr>
          <w:noProof/>
        </w:rPr>
        <w:t xml:space="preserve">Lisaks sellele </w:t>
      </w:r>
      <w:r>
        <w:rPr>
          <w:b/>
          <w:noProof/>
        </w:rPr>
        <w:t>võttis Euroopa Komisjon 2016. aastal vastu t</w:t>
      </w:r>
      <w:r>
        <w:rPr>
          <w:b/>
          <w:noProof/>
        </w:rPr>
        <w:t>eatise „Euroopa kübervastupidavusvõime süsteemi tugevdamine ning konkurentsivõimelise ja uuendusliku küberjulgeolekutööstuse soodustamine“</w:t>
      </w:r>
      <w:r>
        <w:rPr>
          <w:noProof/>
        </w:rPr>
        <w:t>,</w:t>
      </w:r>
      <w:r>
        <w:rPr>
          <w:rStyle w:val="FootnoteReference"/>
          <w:noProof/>
        </w:rPr>
        <w:footnoteReference w:id="5"/>
      </w:r>
      <w:r>
        <w:rPr>
          <w:noProof/>
        </w:rPr>
        <w:t xml:space="preserve"> milles teatati täiendavatest meetmetest, et suurendada koostööd, teavitamist ja teadmiste jagamist ning suurendada </w:t>
      </w:r>
      <w:r>
        <w:rPr>
          <w:noProof/>
        </w:rPr>
        <w:t>ELi vastupidavusvõimet ja valmisolekut, võttes arvesse ka suuremahuliste intsidentide ja üleeuroopalise küberturvalisuse kriisi tekkimise võimalust. Selles kontekstis teatas komisjon, et ta korraldab Euroopa Parlamendi ja nõukogu määruse (EL) nr 526/2013 (</w:t>
      </w:r>
      <w:r>
        <w:rPr>
          <w:noProof/>
        </w:rPr>
        <w:t xml:space="preserve">mis käsitleb Euroopa Liidu Võrgu- ja Infoturbeametit (ENISA) ning millega tunnistatakse kehtetuks määrus (EÜ) nr 460/2004, edaspidi „ENISA määrus“) </w:t>
      </w:r>
      <w:r>
        <w:rPr>
          <w:b/>
          <w:noProof/>
        </w:rPr>
        <w:t>hindamise</w:t>
      </w:r>
      <w:r>
        <w:rPr>
          <w:noProof/>
        </w:rPr>
        <w:t xml:space="preserve"> ja </w:t>
      </w:r>
      <w:r>
        <w:rPr>
          <w:b/>
          <w:noProof/>
        </w:rPr>
        <w:t>läbivaatamise</w:t>
      </w:r>
      <w:r>
        <w:rPr>
          <w:noProof/>
        </w:rPr>
        <w:t>. Hindamise tulemusena võidakse ametit reformida ning suurendada selle suutlikkust</w:t>
      </w:r>
      <w:r>
        <w:rPr>
          <w:noProof/>
        </w:rPr>
        <w:t xml:space="preserve"> ja võimet toetada liikmesriike jätkusuutlikul viisil. Seega saaks amet hindamise tulemusena operatiivsema ja kesksema rolli küberturvalisuse vastupidavusvõime saavutamisel ning ameti uues mandaadis võetaks arvesse selle uusi kohustusi võrgu- ja infoturbe </w:t>
      </w:r>
      <w:r>
        <w:rPr>
          <w:noProof/>
        </w:rPr>
        <w:t>direktiivi alusel.</w:t>
      </w:r>
    </w:p>
    <w:p w:rsidR="00F4358D" w:rsidRDefault="00D1585A">
      <w:pPr>
        <w:rPr>
          <w:noProof/>
          <w:szCs w:val="24"/>
        </w:rPr>
      </w:pPr>
      <w:r>
        <w:rPr>
          <w:noProof/>
        </w:rPr>
        <w:t xml:space="preserve">Võrgu- ja infoturbe direktiiv on esimene oluline etapp, et edendada riskijuhtimise kultuuri, kehtestades turvanõuded juriidilise kohustusena peamistele majandustegevuses osalejatele, eelkõige olulisi teenuseid osutavatele operaatoritele </w:t>
      </w:r>
      <w:r>
        <w:rPr>
          <w:noProof/>
        </w:rPr>
        <w:t>(edaspidi „oluliste teenuste operaator“) ja peamiste digitaalsete teenuste osutajatele (edaspidi „digitaalse teenuse osutaja“). Kuna turvanõuded on üliolulised, et kaitsta ühiskonna üha suuremast digitaaltehnoloogiale üleminekust saadavat kasu, ja võttes a</w:t>
      </w:r>
      <w:r>
        <w:rPr>
          <w:noProof/>
        </w:rPr>
        <w:t>rvesse ühendatud seadmete kiiret levikut (asjade internet), esitatakse 2016. aasta teatises ka mõte luua IKT toodete ja teenuste turvalisuse sertifitseerimise raamistik, et suurendada usaldust ja turvalisust digitaalsel ühtsel turul. IKT küberturvalisuse s</w:t>
      </w:r>
      <w:r>
        <w:rPr>
          <w:noProof/>
        </w:rPr>
        <w:t>ertifitseerimine muutub eriti oluliseks, võttes arvesse kõrgetasemelist küberturvalisust eeldava tehnoloogia suuremat kasutamist, näiteks internetiühendusega ja automatiseeritud autod, e-tervis ning tööstuslikud automatiseeritud juhtimissüsteemid.</w:t>
      </w:r>
    </w:p>
    <w:p w:rsidR="00F4358D" w:rsidRDefault="00D1585A">
      <w:pPr>
        <w:rPr>
          <w:noProof/>
          <w:szCs w:val="24"/>
        </w:rPr>
      </w:pPr>
      <w:r>
        <w:rPr>
          <w:noProof/>
        </w:rPr>
        <w:lastRenderedPageBreak/>
        <w:t>Neid pol</w:t>
      </w:r>
      <w:r>
        <w:rPr>
          <w:noProof/>
        </w:rPr>
        <w:t xml:space="preserve">iitikameetmeid ja teadaandeid toetati veelgi </w:t>
      </w:r>
      <w:r>
        <w:rPr>
          <w:b/>
          <w:noProof/>
        </w:rPr>
        <w:t>nõukogu</w:t>
      </w:r>
      <w:r>
        <w:rPr>
          <w:noProof/>
        </w:rPr>
        <w:t xml:space="preserve"> 2016. aasta </w:t>
      </w:r>
      <w:r>
        <w:rPr>
          <w:b/>
          <w:noProof/>
        </w:rPr>
        <w:t>järeldustes</w:t>
      </w:r>
      <w:r>
        <w:rPr>
          <w:noProof/>
        </w:rPr>
        <w:t>, milles kinnitati, et „küberohud ja -haavatavused arenevad edasi ja muutuvad intensiivsemaks, mis nõuab jätkuvat ja tihedamat koostööd, eriti laiaulatuslike piiriüleste küberintsi</w:t>
      </w:r>
      <w:r>
        <w:rPr>
          <w:noProof/>
        </w:rPr>
        <w:t>dentide käsitlemisel“. Järeldustes kinnitati, et ENISA määrus on üks ELi kübervastupidavusvõime raamistiku põhielementidest,</w:t>
      </w:r>
      <w:r>
        <w:rPr>
          <w:rStyle w:val="FootnoteReference"/>
          <w:noProof/>
        </w:rPr>
        <w:footnoteReference w:id="6"/>
      </w:r>
      <w:r>
        <w:rPr>
          <w:noProof/>
        </w:rPr>
        <w:t xml:space="preserve"> ning kutsuti komisjoni üles võtma täiendavaid meetmeid, et tegeleda sertifitseerimise küsimusega Euroopa tasandil.</w:t>
      </w:r>
    </w:p>
    <w:p w:rsidR="00F4358D" w:rsidRDefault="00D1585A">
      <w:pPr>
        <w:rPr>
          <w:noProof/>
          <w:szCs w:val="24"/>
        </w:rPr>
      </w:pPr>
      <w:r>
        <w:rPr>
          <w:noProof/>
        </w:rPr>
        <w:t>Sertifitseerimi</w:t>
      </w:r>
      <w:r>
        <w:rPr>
          <w:noProof/>
        </w:rPr>
        <w:t>ssüsteemi loomiseks oleks vaja luua ELi tasandil nõuetekohane juhtimissüsteem, sealhulgas sõltumatu ELi ameti kaudu antavate oskusteadmiste abil. Selles kontekstis määratakse käesoleva ettepanekuga kindlaks, et ENISA kui küberturvalisuse küsimustes pädev E</w:t>
      </w:r>
      <w:r>
        <w:rPr>
          <w:noProof/>
        </w:rPr>
        <w:t>Li tasandi amet peaks hakkama täitma seda ülesannet, et tuua kokku sertifitseerimise valdkonnas pädevad liikmesriikide asutused ja nende tööd koordineerida.</w:t>
      </w:r>
    </w:p>
    <w:p w:rsidR="00F4358D" w:rsidRDefault="00D1585A">
      <w:pPr>
        <w:spacing w:after="180"/>
        <w:rPr>
          <w:noProof/>
          <w:szCs w:val="24"/>
        </w:rPr>
      </w:pPr>
      <w:r>
        <w:rPr>
          <w:noProof/>
        </w:rPr>
        <w:t xml:space="preserve">Komisjon täpsustas oma </w:t>
      </w:r>
      <w:r>
        <w:rPr>
          <w:b/>
          <w:noProof/>
        </w:rPr>
        <w:t>2017. aasta mai digitaalse ühtse turu strateegia vahekokkuvõtet</w:t>
      </w:r>
      <w:r>
        <w:rPr>
          <w:noProof/>
        </w:rPr>
        <w:t xml:space="preserve"> käsitlevas t</w:t>
      </w:r>
      <w:r>
        <w:rPr>
          <w:noProof/>
        </w:rPr>
        <w:t>eatises veelgi, et ta vaatab ENISA mandaadi läbi 2017. aasta septembriks. Selle eesmärk on määrata kindlaks ENISA roll muutunud küberturvalisuse keskkonnas ja töötada välja küberturvalisuse standardeid, sertifitseerimist ja märgistamist käsitlevad meetmed,</w:t>
      </w:r>
      <w:r>
        <w:rPr>
          <w:noProof/>
        </w:rPr>
        <w:t xml:space="preserve"> et parandada IKT-põhiste süsteemide, sealhulgas ühendatud seadmete küberturvalisust</w:t>
      </w:r>
      <w:r>
        <w:rPr>
          <w:rStyle w:val="FootnoteReference"/>
          <w:noProof/>
        </w:rPr>
        <w:footnoteReference w:id="7"/>
      </w:r>
      <w:r>
        <w:rPr>
          <w:noProof/>
        </w:rPr>
        <w:t xml:space="preserve">. 2017. aasta juunis toimunud </w:t>
      </w:r>
      <w:r>
        <w:rPr>
          <w:b/>
          <w:noProof/>
        </w:rPr>
        <w:t>Euroopa Ülemkogu järeldustes</w:t>
      </w:r>
      <w:r>
        <w:rPr>
          <w:rStyle w:val="FootnoteReference"/>
          <w:noProof/>
        </w:rPr>
        <w:footnoteReference w:id="8"/>
      </w:r>
      <w:r>
        <w:rPr>
          <w:noProof/>
        </w:rPr>
        <w:t xml:space="preserve"> tunnustati komisjoni kavatsust vaadata septembris läbi küberjulgeoleku strateegia ning esitada enne 2017. aasta</w:t>
      </w:r>
      <w:r>
        <w:rPr>
          <w:noProof/>
        </w:rPr>
        <w:t xml:space="preserve"> lõppu ettepanekud täiendavate sihipäraste meetmete võtmiseks.</w:t>
      </w:r>
    </w:p>
    <w:p w:rsidR="00F4358D" w:rsidRDefault="00D1585A">
      <w:pPr>
        <w:spacing w:after="0"/>
        <w:contextualSpacing/>
        <w:rPr>
          <w:noProof/>
          <w:szCs w:val="24"/>
        </w:rPr>
      </w:pPr>
      <w:r>
        <w:rPr>
          <w:noProof/>
        </w:rPr>
        <w:t>Väljapakutud määruses sätestatakse terviklik meetmete komplekt, mis tugineb varasematele meetmetele ja edendab järgmisi üksteist toetavaid erieesmärke:</w:t>
      </w:r>
    </w:p>
    <w:p w:rsidR="00F4358D" w:rsidRDefault="00D1585A">
      <w:pPr>
        <w:pStyle w:val="Bullet0"/>
        <w:numPr>
          <w:ilvl w:val="0"/>
          <w:numId w:val="78"/>
        </w:numPr>
        <w:rPr>
          <w:noProof/>
        </w:rPr>
      </w:pPr>
      <w:r>
        <w:rPr>
          <w:noProof/>
        </w:rPr>
        <w:t xml:space="preserve">arendada liikmesriikide ja ettevõtjate </w:t>
      </w:r>
      <w:r>
        <w:rPr>
          <w:b/>
          <w:noProof/>
        </w:rPr>
        <w:t>suutlikkust ja valmisolekut</w:t>
      </w:r>
      <w:r>
        <w:rPr>
          <w:noProof/>
        </w:rPr>
        <w:t>;</w:t>
      </w:r>
    </w:p>
    <w:p w:rsidR="00F4358D" w:rsidRDefault="00D1585A">
      <w:pPr>
        <w:pStyle w:val="Bullet0"/>
        <w:rPr>
          <w:noProof/>
        </w:rPr>
      </w:pPr>
      <w:r>
        <w:rPr>
          <w:noProof/>
        </w:rPr>
        <w:t>parandada k</w:t>
      </w:r>
      <w:r>
        <w:rPr>
          <w:b/>
          <w:noProof/>
        </w:rPr>
        <w:t>oostööd ja koordineerimist</w:t>
      </w:r>
      <w:r>
        <w:rPr>
          <w:noProof/>
        </w:rPr>
        <w:t xml:space="preserve"> liikmesriikides ning ELi institutsioonides, organites ja asutustes;</w:t>
      </w:r>
    </w:p>
    <w:p w:rsidR="00F4358D" w:rsidRDefault="00D1585A">
      <w:pPr>
        <w:pStyle w:val="Bullet0"/>
        <w:rPr>
          <w:noProof/>
        </w:rPr>
      </w:pPr>
      <w:r>
        <w:rPr>
          <w:noProof/>
        </w:rPr>
        <w:t xml:space="preserve">suurendada </w:t>
      </w:r>
      <w:r>
        <w:rPr>
          <w:b/>
          <w:noProof/>
        </w:rPr>
        <w:t>ELi tasandil suutlikkust täiendada liikmesriikide võetavaid meetmeid</w:t>
      </w:r>
      <w:r>
        <w:rPr>
          <w:noProof/>
        </w:rPr>
        <w:t>, eelkõige piirüleste küberkriiside puhul;</w:t>
      </w:r>
    </w:p>
    <w:p w:rsidR="00F4358D" w:rsidRDefault="00D1585A">
      <w:pPr>
        <w:pStyle w:val="Bullet0"/>
        <w:rPr>
          <w:noProof/>
        </w:rPr>
      </w:pPr>
      <w:r>
        <w:rPr>
          <w:noProof/>
        </w:rPr>
        <w:t xml:space="preserve">suurendada kodanike ja ettevõtjate </w:t>
      </w:r>
      <w:r>
        <w:rPr>
          <w:b/>
          <w:noProof/>
        </w:rPr>
        <w:t>teadlikkust</w:t>
      </w:r>
      <w:r>
        <w:rPr>
          <w:noProof/>
        </w:rPr>
        <w:t xml:space="preserve"> küberturvalisusega seotud küsimustest; </w:t>
      </w:r>
    </w:p>
    <w:p w:rsidR="00F4358D" w:rsidRDefault="00D1585A">
      <w:pPr>
        <w:pStyle w:val="Bullet0"/>
        <w:rPr>
          <w:noProof/>
        </w:rPr>
      </w:pPr>
      <w:r>
        <w:rPr>
          <w:noProof/>
        </w:rPr>
        <w:t xml:space="preserve">suurendada IKT toodete ja teenuste </w:t>
      </w:r>
      <w:r>
        <w:rPr>
          <w:b/>
          <w:noProof/>
        </w:rPr>
        <w:t>küberturvalisuse alase usaldusväärsuse</w:t>
      </w:r>
      <w:r>
        <w:rPr>
          <w:rStyle w:val="FootnoteReference"/>
          <w:noProof/>
        </w:rPr>
        <w:footnoteReference w:id="9"/>
      </w:r>
      <w:r>
        <w:rPr>
          <w:noProof/>
        </w:rPr>
        <w:t xml:space="preserve"> üldist </w:t>
      </w:r>
      <w:r>
        <w:rPr>
          <w:b/>
          <w:noProof/>
        </w:rPr>
        <w:t>läbipaistvust</w:t>
      </w:r>
      <w:r>
        <w:rPr>
          <w:noProof/>
        </w:rPr>
        <w:t>, et tugevdada usaldust digitaalse ühtse turu ja digitaalse uuendustegevu</w:t>
      </w:r>
      <w:r>
        <w:rPr>
          <w:noProof/>
        </w:rPr>
        <w:t>se vastu, ning</w:t>
      </w:r>
    </w:p>
    <w:p w:rsidR="00F4358D" w:rsidRDefault="00D1585A">
      <w:pPr>
        <w:pStyle w:val="Bullet0"/>
        <w:rPr>
          <w:noProof/>
        </w:rPr>
      </w:pPr>
      <w:r>
        <w:rPr>
          <w:noProof/>
        </w:rPr>
        <w:t xml:space="preserve">vältida </w:t>
      </w:r>
      <w:r>
        <w:rPr>
          <w:b/>
          <w:noProof/>
        </w:rPr>
        <w:t>sertifitseerimiskavade killustatust</w:t>
      </w:r>
      <w:r>
        <w:rPr>
          <w:noProof/>
        </w:rPr>
        <w:t xml:space="preserve"> ELis ning nendega seotud turvanõuete ja hindamiskriteeriumide killustatust liikmesriikides ja sektorites.</w:t>
      </w:r>
    </w:p>
    <w:p w:rsidR="00F4358D" w:rsidRDefault="00F4358D">
      <w:pPr>
        <w:autoSpaceDE w:val="0"/>
        <w:autoSpaceDN w:val="0"/>
        <w:adjustRightInd w:val="0"/>
        <w:spacing w:after="0"/>
        <w:rPr>
          <w:noProof/>
          <w:szCs w:val="24"/>
        </w:rPr>
      </w:pPr>
    </w:p>
    <w:p w:rsidR="00F4358D" w:rsidRDefault="00D1585A">
      <w:pPr>
        <w:spacing w:after="0"/>
        <w:contextualSpacing/>
        <w:rPr>
          <w:noProof/>
          <w:szCs w:val="24"/>
        </w:rPr>
      </w:pPr>
      <w:r>
        <w:rPr>
          <w:noProof/>
        </w:rPr>
        <w:t>Seletuskirja järgmises osas selgitatakse üksikasjalikumalt selle algatuse põhjusi seoses E</w:t>
      </w:r>
      <w:r>
        <w:rPr>
          <w:noProof/>
        </w:rPr>
        <w:t xml:space="preserve">NISA ja küberturvalisuse sertifitseerimise jaoks välja pakutud meetmetega. </w:t>
      </w:r>
    </w:p>
    <w:p w:rsidR="00F4358D" w:rsidRDefault="00F4358D">
      <w:pPr>
        <w:rPr>
          <w:b/>
          <w:noProof/>
          <w:szCs w:val="24"/>
        </w:rPr>
      </w:pPr>
    </w:p>
    <w:p w:rsidR="00F4358D" w:rsidRDefault="00D1585A">
      <w:pPr>
        <w:spacing w:before="0" w:after="200" w:line="276" w:lineRule="auto"/>
        <w:jc w:val="left"/>
        <w:rPr>
          <w:b/>
          <w:noProof/>
          <w:szCs w:val="24"/>
        </w:rPr>
      </w:pPr>
      <w:r>
        <w:rPr>
          <w:noProof/>
        </w:rPr>
        <w:lastRenderedPageBreak/>
        <w:br w:type="page"/>
      </w:r>
    </w:p>
    <w:p w:rsidR="00F4358D" w:rsidRDefault="00D1585A">
      <w:pPr>
        <w:rPr>
          <w:b/>
          <w:noProof/>
          <w:szCs w:val="24"/>
        </w:rPr>
      </w:pPr>
      <w:r>
        <w:rPr>
          <w:b/>
          <w:noProof/>
        </w:rPr>
        <w:t>ENISA</w:t>
      </w:r>
    </w:p>
    <w:p w:rsidR="00F4358D" w:rsidRDefault="00D1585A">
      <w:pPr>
        <w:rPr>
          <w:noProof/>
          <w:szCs w:val="24"/>
        </w:rPr>
      </w:pPr>
      <w:r>
        <w:rPr>
          <w:noProof/>
        </w:rPr>
        <w:t>ENISA on eksperdikeskus, mille eesmärk on täiustada võrgu- ja infoturvet liidus ning toetada liikmesriikide suutlikkuse arendamist.</w:t>
      </w:r>
    </w:p>
    <w:p w:rsidR="00F4358D" w:rsidRDefault="00D1585A">
      <w:pPr>
        <w:rPr>
          <w:noProof/>
          <w:szCs w:val="24"/>
        </w:rPr>
      </w:pPr>
      <w:r>
        <w:rPr>
          <w:noProof/>
        </w:rPr>
        <w:t>ENISA loodi 2004. aastal,</w:t>
      </w:r>
      <w:r>
        <w:rPr>
          <w:rStyle w:val="FootnoteReference"/>
          <w:noProof/>
        </w:rPr>
        <w:footnoteReference w:id="10"/>
      </w:r>
      <w:r>
        <w:rPr>
          <w:noProof/>
        </w:rPr>
        <w:t xml:space="preserve"> et aidata ka</w:t>
      </w:r>
      <w:r>
        <w:rPr>
          <w:noProof/>
        </w:rPr>
        <w:t>asa üldise eesmärgi saavutamisele, milleks on tagada ELis võrgu- ja infoturbe kõrge tase. 2013. aastal anti ametile määrusega (EL) nr 526/2013 uus seitsmeaastane mandaat kuni 2020. aastani. Amet asub Kreekas, selle juhatuse asukoht on Irákleios (Kreetal) j</w:t>
      </w:r>
      <w:r>
        <w:rPr>
          <w:noProof/>
        </w:rPr>
        <w:t>a peamine tegevuskoht Ateenas.</w:t>
      </w:r>
    </w:p>
    <w:p w:rsidR="00F4358D" w:rsidRDefault="00D1585A">
      <w:pPr>
        <w:rPr>
          <w:noProof/>
          <w:szCs w:val="24"/>
        </w:rPr>
      </w:pPr>
      <w:r>
        <w:rPr>
          <w:noProof/>
        </w:rPr>
        <w:t>ENISA on teiste ELi ametitega võrreldes väike amet, millel on väike eelarve ja töötajate arv. Selle mandaat on tähtajaline.</w:t>
      </w:r>
    </w:p>
    <w:p w:rsidR="00F4358D" w:rsidRDefault="00D1585A">
      <w:pPr>
        <w:spacing w:after="180"/>
        <w:rPr>
          <w:noProof/>
          <w:szCs w:val="24"/>
        </w:rPr>
      </w:pPr>
      <w:r>
        <w:rPr>
          <w:noProof/>
        </w:rPr>
        <w:t xml:space="preserve">ENISA toetab Euroopa Liidu institutsioone, liikmesriike ja äriringkondi </w:t>
      </w:r>
      <w:r>
        <w:rPr>
          <w:b/>
          <w:noProof/>
        </w:rPr>
        <w:t>võrgu- ja infoturbe probleemi</w:t>
      </w:r>
      <w:r>
        <w:rPr>
          <w:b/>
          <w:noProof/>
        </w:rPr>
        <w:t>dega tegelemisel, neile reageerimisel ja eelkõige nende vältimisel</w:t>
      </w:r>
      <w:r>
        <w:rPr>
          <w:noProof/>
        </w:rPr>
        <w:t>. Ta teeb seda, võttes mitmeid meetmeid oma strateegias kindlaks määratud viies tegevusvaldkonnas</w:t>
      </w:r>
      <w:r>
        <w:rPr>
          <w:rStyle w:val="FootnoteReference"/>
          <w:noProof/>
        </w:rPr>
        <w:footnoteReference w:id="11"/>
      </w:r>
      <w:r>
        <w:rPr>
          <w:noProof/>
        </w:rPr>
        <w:t>:</w:t>
      </w:r>
    </w:p>
    <w:p w:rsidR="00F4358D" w:rsidRDefault="00D1585A">
      <w:pPr>
        <w:pStyle w:val="Bullet1"/>
        <w:numPr>
          <w:ilvl w:val="0"/>
          <w:numId w:val="79"/>
        </w:numPr>
        <w:rPr>
          <w:noProof/>
        </w:rPr>
      </w:pPr>
      <w:r>
        <w:rPr>
          <w:noProof/>
        </w:rPr>
        <w:t>oskusteadmised: peamistes võrgu- ja infoturbe küsimustes teabe ja oskusteadmiste jagamine;</w:t>
      </w:r>
    </w:p>
    <w:p w:rsidR="00F4358D" w:rsidRDefault="00D1585A">
      <w:pPr>
        <w:pStyle w:val="Bullet1"/>
        <w:rPr>
          <w:noProof/>
        </w:rPr>
      </w:pPr>
      <w:r>
        <w:rPr>
          <w:noProof/>
        </w:rPr>
        <w:t>poliitika: toetus liidu poliitika kujundamisele ja rakendamisele;</w:t>
      </w:r>
    </w:p>
    <w:p w:rsidR="00F4358D" w:rsidRDefault="00D1585A">
      <w:pPr>
        <w:pStyle w:val="Bullet1"/>
        <w:rPr>
          <w:noProof/>
        </w:rPr>
      </w:pPr>
      <w:r>
        <w:rPr>
          <w:noProof/>
        </w:rPr>
        <w:t>suutlikkus: toetus suutlikkuse arendamisele kogu liidus (näiteks koolituste, soovituste ja teadlikkuse suurendamise tegevuste abil);</w:t>
      </w:r>
    </w:p>
    <w:p w:rsidR="00F4358D" w:rsidRDefault="00D1585A">
      <w:pPr>
        <w:pStyle w:val="Bullet1"/>
        <w:rPr>
          <w:noProof/>
        </w:rPr>
      </w:pPr>
      <w:r>
        <w:rPr>
          <w:noProof/>
        </w:rPr>
        <w:t>kogukond: võrgu- ja infoturbe kogukonna edendamine (näit</w:t>
      </w:r>
      <w:r>
        <w:rPr>
          <w:noProof/>
        </w:rPr>
        <w:t>eks toetus infoturbeintsidentidega tegelevatele rühmadele (edaspidi „CERT“), üleeuroopaliste küberõppuste koordineerimine);</w:t>
      </w:r>
    </w:p>
    <w:p w:rsidR="00F4358D" w:rsidRDefault="00D1585A">
      <w:pPr>
        <w:pStyle w:val="Bullet1"/>
        <w:rPr>
          <w:noProof/>
        </w:rPr>
      </w:pPr>
      <w:r>
        <w:rPr>
          <w:noProof/>
        </w:rPr>
        <w:t>võimaldamine (näiteks suhtlus sidusrühmadega ja rahvusvahelised suhted).</w:t>
      </w:r>
    </w:p>
    <w:p w:rsidR="00F4358D" w:rsidRDefault="00F4358D">
      <w:pPr>
        <w:spacing w:after="0"/>
        <w:ind w:left="714"/>
        <w:rPr>
          <w:noProof/>
          <w:szCs w:val="24"/>
        </w:rPr>
      </w:pPr>
    </w:p>
    <w:p w:rsidR="00F4358D" w:rsidRDefault="00D1585A">
      <w:pPr>
        <w:spacing w:after="180"/>
        <w:rPr>
          <w:noProof/>
          <w:szCs w:val="24"/>
        </w:rPr>
      </w:pPr>
      <w:r>
        <w:rPr>
          <w:noProof/>
        </w:rPr>
        <w:t>ELi kaasseadusandjad otsustasid võrgu- ja infoturbe direkt</w:t>
      </w:r>
      <w:r>
        <w:rPr>
          <w:noProof/>
        </w:rPr>
        <w:t>iivi üle peetavate läbirääkimiste käigus anda ENISA-le olulise rolli selle direktiivi rakendamisel. Eelkõige tagab amet sekretariaaditeenused CSIRTide võrgustikule (mis luuakse, et edendada liikmesriikide vahel kiiret ja tõhusat operatiivkoostööd konkreets</w:t>
      </w:r>
      <w:r>
        <w:rPr>
          <w:noProof/>
        </w:rPr>
        <w:t>ete küberturvalisuse intsidentide puhul ja jagada teavet riskide kohta) ja aitab koostöörühmal täita oma ülesandeid. Lisaks selle nõutakse direktiivis, et ENISA abistaks liikmesriike ja komisjoni, pakkudes neile oma oskusteadmisi ja andes nõu ning toetades</w:t>
      </w:r>
      <w:r>
        <w:rPr>
          <w:noProof/>
        </w:rPr>
        <w:t xml:space="preserve"> parimate tavade vahetamist.</w:t>
      </w:r>
    </w:p>
    <w:p w:rsidR="00F4358D" w:rsidRDefault="00D1585A">
      <w:pPr>
        <w:spacing w:after="180"/>
        <w:rPr>
          <w:noProof/>
          <w:szCs w:val="24"/>
        </w:rPr>
      </w:pPr>
      <w:r>
        <w:rPr>
          <w:noProof/>
        </w:rPr>
        <w:t>Komisjon on teinud ENISA määruse kohaselt ameti hindamise, mis hõlmab sõltumatut uuringut ja avalikku konsultatsiooni. Hindamise käigus analüüsiti ameti asjakohasust, mõju, tulemuslikkust, tõhusust, sidusust ja sellest saadavat</w:t>
      </w:r>
      <w:r>
        <w:rPr>
          <w:noProof/>
        </w:rPr>
        <w:t xml:space="preserve"> ELi lisaväärtust seoses ameti tulemuste, juhtimise, asutusesisese organisatsioonilise struktuuri ja töötavadega ajavahemikus 2013–2016.</w:t>
      </w:r>
    </w:p>
    <w:p w:rsidR="00F4358D" w:rsidRDefault="00D1585A">
      <w:pPr>
        <w:spacing w:after="180"/>
        <w:rPr>
          <w:noProof/>
          <w:szCs w:val="24"/>
        </w:rPr>
      </w:pPr>
      <w:r>
        <w:rPr>
          <w:noProof/>
        </w:rPr>
        <w:t>ENISA üldisele tulemuslikkusele andis positiivse hinnangu enamik avalikule konsultatsioonile vastanutest</w:t>
      </w:r>
      <w:r>
        <w:rPr>
          <w:rStyle w:val="FootnoteReference"/>
          <w:noProof/>
        </w:rPr>
        <w:footnoteReference w:id="12"/>
      </w:r>
      <w:r>
        <w:rPr>
          <w:noProof/>
        </w:rPr>
        <w:t xml:space="preserve"> (74 %). Enamik vastanutest oli ka seisukohal, et ENISA saavutab oma erinevaid eesmärke (vähemalt 63 % iga eesmärgi puhul). ENISA teenuseid ja tooteid kasutavad korrapäraselt (kord kuus või sagedamini) peaaegu pooled vastanutest (46 %) ning neid hinnatakse</w:t>
      </w:r>
      <w:r>
        <w:rPr>
          <w:noProof/>
        </w:rPr>
        <w:t xml:space="preserve"> seetõttu, et neid pakub ELi tasandi asutus (83 %) ja need on kvaliteetsed (62 %).</w:t>
      </w:r>
    </w:p>
    <w:p w:rsidR="00F4358D" w:rsidRDefault="00D1585A">
      <w:pPr>
        <w:spacing w:after="180"/>
        <w:rPr>
          <w:noProof/>
          <w:szCs w:val="24"/>
        </w:rPr>
      </w:pPr>
      <w:r>
        <w:rPr>
          <w:noProof/>
        </w:rPr>
        <w:t>Samas oli valdav enamik vastanutest (88 %) seisukohal, et ELi tasandil praegu saadaval olevad vahendid ja mehhanismid ei ole piisavad, et tegeleda praeguste küberturvalisuse</w:t>
      </w:r>
      <w:r>
        <w:rPr>
          <w:noProof/>
        </w:rPr>
        <w:t xml:space="preserve"> probleemidega, või sobivad selleks ainult osaliselt. Valdav enamik vastanutest (98 %) märkis, et nende küsimustega peaks tegelema ELi asutus, ning 99 % vastanutest pidas ENISAt selle jaoks õigeks organisatsiooniks. Lisaks sellele oli 67,5 % vastanutest se</w:t>
      </w:r>
      <w:r>
        <w:rPr>
          <w:noProof/>
        </w:rPr>
        <w:t>isukohal, et ENISA võiks osaleda IT toodete ja teenuste turvalisuse sertifitseerimise ühtlustatud raamistiku loomises.</w:t>
      </w:r>
    </w:p>
    <w:p w:rsidR="00F4358D" w:rsidRDefault="00D1585A">
      <w:pPr>
        <w:rPr>
          <w:noProof/>
          <w:szCs w:val="24"/>
        </w:rPr>
      </w:pPr>
      <w:r>
        <w:rPr>
          <w:noProof/>
        </w:rPr>
        <w:t>Üldise hindamise käigus (mis ei põhine ainult avalikul konsultatsioonil vaid ka mitmel individuaalsel küsitlusel, täiendavatel sihtotstar</w:t>
      </w:r>
      <w:r>
        <w:rPr>
          <w:noProof/>
        </w:rPr>
        <w:t>belistel uuringutel ja seminaridel) jõuti järgmistele järeldustele.</w:t>
      </w:r>
    </w:p>
    <w:p w:rsidR="00F4358D" w:rsidRDefault="00D1585A">
      <w:pPr>
        <w:pStyle w:val="Bullet0"/>
        <w:rPr>
          <w:noProof/>
        </w:rPr>
      </w:pPr>
      <w:r>
        <w:rPr>
          <w:noProof/>
        </w:rPr>
        <w:t>ENISA eesmärgid on ka praegu asjakohased. Tehnoloogia kiire arengu ja muutvate ohtude kontekstis ning suurenevaid ülemaailmseid küberturvalisuse riske arvesse võttes on selgelt vaja edenda</w:t>
      </w:r>
      <w:r>
        <w:rPr>
          <w:noProof/>
        </w:rPr>
        <w:t>da ja tugevdada ELi kõrgetasemelisi tehnilisi oskusteadmisi küberturvalisuse valdkonnas. Tuleb suurendada liikmesriikide suutlikkust mõista ohte ja neile reageerida ning sidusrühmad peavad tegema koostööd temaatiliste valdkondade ja institutsioonide ülesel</w:t>
      </w:r>
      <w:r>
        <w:rPr>
          <w:noProof/>
        </w:rPr>
        <w:t>t.</w:t>
      </w:r>
    </w:p>
    <w:p w:rsidR="00F4358D" w:rsidRDefault="00D1585A">
      <w:pPr>
        <w:pStyle w:val="Bullet0"/>
        <w:rPr>
          <w:noProof/>
        </w:rPr>
      </w:pPr>
      <w:r>
        <w:rPr>
          <w:noProof/>
        </w:rPr>
        <w:t>Ameti väikesest eelarvest hoolimata on see olnud operatiivselt tõhus oma ressursside kasutamisel ja ülesannete täitmisel. Nii Ateenas kui ka Irákleios paiknemine on siiski tekitanud täiendavaid halduskulusid.</w:t>
      </w:r>
    </w:p>
    <w:p w:rsidR="00F4358D" w:rsidRDefault="00D1585A">
      <w:pPr>
        <w:pStyle w:val="Bullet0"/>
        <w:rPr>
          <w:noProof/>
        </w:rPr>
      </w:pPr>
      <w:r>
        <w:rPr>
          <w:noProof/>
        </w:rPr>
        <w:t>Tõhususe seisukohast on ENISA täitnud oma ee</w:t>
      </w:r>
      <w:r>
        <w:rPr>
          <w:noProof/>
        </w:rPr>
        <w:t>smärgid osaliselt. Amet on edukalt aidanud parandada võrgu- ja infoturvet Euroopas, pakkudes suutlikkuse arendamist 28 liikmesriigis,</w:t>
      </w:r>
      <w:r>
        <w:rPr>
          <w:rStyle w:val="FootnoteReference"/>
          <w:noProof/>
        </w:rPr>
        <w:footnoteReference w:id="13"/>
      </w:r>
      <w:r>
        <w:rPr>
          <w:noProof/>
        </w:rPr>
        <w:t xml:space="preserve"> tõhustades koostööd liikmesriikide ning võrgu- ja infoturbe sidusrühmade vahel ning jagades oskusteadmisi, kujundades kog</w:t>
      </w:r>
      <w:r>
        <w:rPr>
          <w:noProof/>
        </w:rPr>
        <w:t>ukonda ja toetades tegevuspõhimõtete väljatöötamist. Kokkuvõttes keskendus ENISA põhjalikult oma tööprogrammi täitmisele ja oli oma sidusrühmadele usaldusväärne partner valdkonnas, mille puhul on selle tähtsat piiriülest mõju tunnustatud alles hiljuti.</w:t>
      </w:r>
    </w:p>
    <w:p w:rsidR="00F4358D" w:rsidRDefault="00D1585A">
      <w:pPr>
        <w:pStyle w:val="Bullet0"/>
        <w:rPr>
          <w:noProof/>
        </w:rPr>
      </w:pPr>
      <w:r>
        <w:rPr>
          <w:noProof/>
        </w:rPr>
        <w:t>ENI</w:t>
      </w:r>
      <w:r>
        <w:rPr>
          <w:noProof/>
        </w:rPr>
        <w:t>SA suutis avaldada vähemalt teatavas ulatuses mõju väga mahukas võrgu- ja infoturbe valdkonnas, aga ei olnud täiesti edukas tugeva kaubamärgi väljakujundamisel ning piisava märgatavuse saamisel, et olla tunnustatud peamise eksperdikeskusena Euroopas. Selle</w:t>
      </w:r>
      <w:r>
        <w:rPr>
          <w:noProof/>
        </w:rPr>
        <w:t xml:space="preserve"> põhjus seisneb ENISA ulatuslikus mandaadis, mille jaoks ei eraldatud proportsionaalselt piisavalt ressursse. Lisaks sellele on ENISA ainus ELi amet, millel on tähtajaline mandaat, mis piirab tema võimet koostada pikaajalist strateegiat ja toetada oma sidu</w:t>
      </w:r>
      <w:r>
        <w:rPr>
          <w:noProof/>
        </w:rPr>
        <w:t>srühmi jätkusuutlikul viisil. See on ka vastuolus võrgu- ja infoturbe direktiivi sätetega, mis annavad ENISA-le ülesanded, millel ei ole lõppkuupäeva. Hindamise käigus leiti, et see piiratud tulemuslikkus on osaliselt põhjustatud tuginemisest asutusesisest</w:t>
      </w:r>
      <w:r>
        <w:rPr>
          <w:noProof/>
        </w:rPr>
        <w:t>e oskusteadmiste asemel suurel määral asutusevälistele oskusteadmistele ning spetsialistide värbamise ja tööl hoidmisega seotud probleemidest.</w:t>
      </w:r>
    </w:p>
    <w:p w:rsidR="00F4358D" w:rsidRDefault="00D1585A">
      <w:pPr>
        <w:pStyle w:val="Bullet0"/>
        <w:rPr>
          <w:noProof/>
        </w:rPr>
      </w:pPr>
      <w:r>
        <w:rPr>
          <w:noProof/>
        </w:rPr>
        <w:t>Hindamise tulemusena järeldati, et ENISA lisaväärtus seisneb peamiselt ameti võimes tõhustada koostööd liikmesrii</w:t>
      </w:r>
      <w:r>
        <w:rPr>
          <w:noProof/>
        </w:rPr>
        <w:t>kide vahel ning eelkõige asjaomaste võrgu- ja infoturbe kogukondadega (eriti CSIRTidega). ELi tasandil ei ole ühtegi teist osalejat, kes toetaks sedavõrd laialdast võrgu- ja infoturbe sidusrühmade võrgustikku. Samas kuna ENISA peab määrama oma tegevuse jao</w:t>
      </w:r>
      <w:r>
        <w:rPr>
          <w:noProof/>
        </w:rPr>
        <w:t>ks rangeid prioriteete, lähtub selle tööprogramm peamiselt liikmesriikide vajadustest. Seetõttu ei tegele ta piisavalt teiste sidusrühmade, eelkõige tööstusvaldkonna vajadustega. Samuti peab amet sellest tulenevalt täitma oma peamiste sidusrühmade vajadusi</w:t>
      </w:r>
      <w:r>
        <w:rPr>
          <w:noProof/>
        </w:rPr>
        <w:t xml:space="preserve"> ja ei saa avaldada suuremat mõju. Seega andis amet erinevat lisaväärtust lähtuvalt oma sidusrühmade erinevatest vajadustest ja võimest neile reageerida (näiteks suured liikmesriigid võrreldes väikeste liikmesriikidega ja liikmesriigid võrreldes tööstusval</w:t>
      </w:r>
      <w:r>
        <w:rPr>
          <w:noProof/>
        </w:rPr>
        <w:t>dkonnaga).</w:t>
      </w:r>
    </w:p>
    <w:p w:rsidR="00F4358D" w:rsidRDefault="00D1585A">
      <w:pPr>
        <w:rPr>
          <w:noProof/>
          <w:szCs w:val="24"/>
        </w:rPr>
      </w:pPr>
      <w:r>
        <w:rPr>
          <w:noProof/>
        </w:rPr>
        <w:t>Kokkuvõttes nähtus sidusrühmadega konsulteerimise ja hindamise tulemustest, et ENISA ressursse ja mandaati tuleb kohandada, et amet saaks nõuetekohaselt täita oma osa praegustele ja tulevastele probleemidele reageerimisel.</w:t>
      </w:r>
    </w:p>
    <w:p w:rsidR="00F4358D" w:rsidRDefault="00D1585A">
      <w:pPr>
        <w:spacing w:after="0"/>
        <w:rPr>
          <w:rFonts w:eastAsia="Calibri"/>
          <w:noProof/>
          <w:szCs w:val="24"/>
        </w:rPr>
      </w:pPr>
      <w:r>
        <w:rPr>
          <w:noProof/>
        </w:rPr>
        <w:t xml:space="preserve">Neid tulemusi arvesse </w:t>
      </w:r>
      <w:r>
        <w:rPr>
          <w:noProof/>
        </w:rPr>
        <w:t>võttes vaadatakse käesolevas ettepanekus läbi ENISA praegune mandaat ning määratakse kindlaks uued ülesanded eesmärgiga toetada tulemuslikult ja tõhusalt liikmesriikide, ELi institutsioonide ja muude sidusrühmade jõupingutusi Euroopa Liidus turvalise küber</w:t>
      </w:r>
      <w:r>
        <w:rPr>
          <w:noProof/>
        </w:rPr>
        <w:t>ruumi tagamiseks. Uue välja pakutud mandaadi eesmärk on anda ametile tugevam ja kesksem osa, eelkõige toetades ka liikmesriike aktiivsemalt võrgu- ja infoturbe direktiivi rakendamisel ning konkreetsete ohtude vastases võitluses (tegevussuutlikkus) ning saa</w:t>
      </w:r>
      <w:r>
        <w:rPr>
          <w:noProof/>
        </w:rPr>
        <w:t>des liikmesriike ja komisjoni küberturvalisuse sertifitseerimise valdkonnas toetavaks eksperdikeskuseks. Käesoleva ettepanekuga tehtaks järgmised muudatused.</w:t>
      </w:r>
    </w:p>
    <w:p w:rsidR="00F4358D" w:rsidRDefault="00D1585A">
      <w:pPr>
        <w:pStyle w:val="Bullet0"/>
        <w:rPr>
          <w:noProof/>
        </w:rPr>
      </w:pPr>
      <w:r>
        <w:rPr>
          <w:noProof/>
        </w:rPr>
        <w:t>ENISA saaks alalise mandaadi ja seega kindla tuleviku. Mandaati, eesmärke ja ülesandeid tuleks sii</w:t>
      </w:r>
      <w:r>
        <w:rPr>
          <w:noProof/>
        </w:rPr>
        <w:t>ski korrapäraselt läbi vaadata.</w:t>
      </w:r>
    </w:p>
    <w:p w:rsidR="00F4358D" w:rsidRDefault="00D1585A">
      <w:pPr>
        <w:pStyle w:val="Bullet0"/>
        <w:rPr>
          <w:noProof/>
        </w:rPr>
      </w:pPr>
      <w:r>
        <w:rPr>
          <w:noProof/>
        </w:rPr>
        <w:t>Välja pakutud mandaadi puhul täpsustatakse veelgi ENISA rolli küberturvalisuse ELi ametina ja ELi küberturvalisuse ökosüsteemi võrdlusalusena, kes tegutseb tihedas koostöös kõnealuse ökosüsteemi kõigi teiste asjaomaste asutu</w:t>
      </w:r>
      <w:r>
        <w:rPr>
          <w:noProof/>
        </w:rPr>
        <w:t>stega.</w:t>
      </w:r>
    </w:p>
    <w:p w:rsidR="00F4358D" w:rsidRDefault="00D1585A">
      <w:pPr>
        <w:pStyle w:val="Bullet0"/>
        <w:rPr>
          <w:noProof/>
        </w:rPr>
      </w:pPr>
      <w:r>
        <w:rPr>
          <w:noProof/>
        </w:rPr>
        <w:t>Ameti korraldus ja juhtimine, mida peeti hindamise käigus positiivseks, vaadatakse piiratud ulatuses läbi, eelkõige veendumaks, et ameti töös kajastuvad paremini laiema sidusrühmade kogukonna vajadused.</w:t>
      </w:r>
    </w:p>
    <w:p w:rsidR="00F4358D" w:rsidRDefault="00D1585A">
      <w:pPr>
        <w:pStyle w:val="Bullet0"/>
        <w:rPr>
          <w:noProof/>
        </w:rPr>
      </w:pPr>
      <w:r>
        <w:rPr>
          <w:noProof/>
        </w:rPr>
        <w:t>Mandaadi soovituslik ulatus piiritletakse, tug</w:t>
      </w:r>
      <w:r>
        <w:rPr>
          <w:noProof/>
        </w:rPr>
        <w:t>evdades neid valdkondi, kus amet on näidanud selget lisaväärtust, ja lisades valdkonnad, kus vajatakse tuge, võttes arvesse uusi poliitilisi prioriteete ja vahendeid, eelkõige võrgu- ja infoturbe direktiivi, Euroopa Liidu küberjulgeoleku strateegia läbivaa</w:t>
      </w:r>
      <w:r>
        <w:rPr>
          <w:noProof/>
        </w:rPr>
        <w:t>tamist, tulevast ELi küberturvalisuse tegevuskava küberkriiside valdkonnas tehtava koostöö jaoks ning IKT turvalisuse sertifitseerimist.</w:t>
      </w:r>
    </w:p>
    <w:p w:rsidR="00F4358D" w:rsidRDefault="00D1585A">
      <w:pPr>
        <w:pStyle w:val="Bullet1"/>
        <w:rPr>
          <w:noProof/>
        </w:rPr>
      </w:pPr>
      <w:r>
        <w:rPr>
          <w:b/>
          <w:noProof/>
        </w:rPr>
        <w:t xml:space="preserve">ELi põhimõtete arendamine ja rakendamine: </w:t>
      </w:r>
      <w:r>
        <w:rPr>
          <w:noProof/>
        </w:rPr>
        <w:t>ENISA-le antaks ülesandeks aidata enesealgatuslikult kaasa poliitikakujundami</w:t>
      </w:r>
      <w:r>
        <w:rPr>
          <w:noProof/>
        </w:rPr>
        <w:t xml:space="preserve">sele võrgu- ja infoturbe valdkonnas ning erinevates valdkondades (näiteks energeetika, transport ja rahandus) tehtud teistele poliitilistele algatustele, millel on küberturvalisuse elemente. Selleks peaks tal olema tugev nõustav roll, mida ta saaks täita, </w:t>
      </w:r>
      <w:r>
        <w:rPr>
          <w:noProof/>
        </w:rPr>
        <w:t>esitades sõltumatuid arvamusi ja tehes ettevalmistavat tööd tegevuspõhimõtete ja õigusaktide väljatöötamiseks ning ajakohastamiseks. ENISA toetaks ka ELi põhimõtteid ja õigusakte elektroonilise side, elektroonilise identiteedi ja usaldusteenuste valdkonnas</w:t>
      </w:r>
      <w:r>
        <w:rPr>
          <w:noProof/>
        </w:rPr>
        <w:t>, et suurendada küberturvalisust. Rakendamise etapis ning eelkõige võrgu- ja infoturbe koostöörühma kontekstis aitaks ENISA liikmesriikidel võtta kasutusele lähenemisviisi, mille alusel rakendataks võrgu- ja infoturbe direktiivi ning teisi asjaomaseid tege</w:t>
      </w:r>
      <w:r>
        <w:rPr>
          <w:noProof/>
        </w:rPr>
        <w:t>vuspõhimõtteid ja õigusakte ühtselt piiride ja valdkondade üleselt. Selleks et toetada küberturvalisuse valdkonna tegevuspõhimõtete ja õigusaktide korrapärast läbivaatamist, esitab ENISA ka korrapäraseid aruandeid ELi õigusraamistiku rakendamise olukorra k</w:t>
      </w:r>
      <w:r>
        <w:rPr>
          <w:noProof/>
        </w:rPr>
        <w:t>ohta.</w:t>
      </w:r>
    </w:p>
    <w:p w:rsidR="00F4358D" w:rsidRDefault="00D1585A">
      <w:pPr>
        <w:pStyle w:val="Bullet1"/>
        <w:rPr>
          <w:noProof/>
        </w:rPr>
      </w:pPr>
      <w:r>
        <w:rPr>
          <w:b/>
          <w:noProof/>
        </w:rPr>
        <w:t>Suutlikkuse arendamine:</w:t>
      </w:r>
      <w:r>
        <w:rPr>
          <w:noProof/>
        </w:rPr>
        <w:t xml:space="preserve"> ENISA aitab suurendada ELi ja riigi ametiasutuste suutlikkust ja oskusteadmisi, sealhulgas intsidentidele reageerimise ning küberturvalisusega seotud regulatiivsete meetmete järelevalve valdkonnas. Ametilt nõutakse ka seda, et</w:t>
      </w:r>
      <w:r>
        <w:rPr>
          <w:noProof/>
        </w:rPr>
        <w:t xml:space="preserve"> ta aitaks luua erinevates valdkondades teabe jagamise ja analüüsimise keskused (ISACid), tutvustades parimaid tavasid ja andes suuniseid saadaolevate vahendite ja menetluste kohta ning tegeledes nõuetekohaselt teabe jagamisega seotud regulatiivsete küsimu</w:t>
      </w:r>
      <w:r>
        <w:rPr>
          <w:noProof/>
        </w:rPr>
        <w:t>stega.</w:t>
      </w:r>
    </w:p>
    <w:p w:rsidR="00F4358D" w:rsidRDefault="00D1585A">
      <w:pPr>
        <w:pStyle w:val="Bullet1"/>
        <w:rPr>
          <w:noProof/>
        </w:rPr>
      </w:pPr>
      <w:r>
        <w:rPr>
          <w:b/>
          <w:noProof/>
        </w:rPr>
        <w:t>Teadmised, teave ja teadlikkuse suurendamine:</w:t>
      </w:r>
      <w:r>
        <w:rPr>
          <w:noProof/>
        </w:rPr>
        <w:t xml:space="preserve"> ENISAst saaks ELi teabekeskus. See tähendaks parimate tavade ja algatuste edendamist ning jagamist ELis, koondades ELi ning riiklikelt institutsioonidelt, asutustelt ja organitelt saadud küberturvalisust</w:t>
      </w:r>
      <w:r>
        <w:rPr>
          <w:noProof/>
        </w:rPr>
        <w:t xml:space="preserve"> käsitleva teabe. Amet annaks ka nõuandeid ja suuniseid ning tutvustaks parimaid tavasid elutähtsa taristu turvalisuse valdkonnas. Pärast olulisi piiriüleseid küberturvalisuse intsidente koostaks ENISA ka aruanded, et anda suuniseid ettevõtjatele ja kodani</w:t>
      </w:r>
      <w:r>
        <w:rPr>
          <w:noProof/>
        </w:rPr>
        <w:t>kele kogu ELis. Selle töövoo raames korraldataks ka koostöös liikmesriikide ametiasutustega korrapäraselt teadlikkuse suurendamise tegevusi.</w:t>
      </w:r>
    </w:p>
    <w:p w:rsidR="00F4358D" w:rsidRDefault="00D1585A">
      <w:pPr>
        <w:pStyle w:val="Bullet1"/>
        <w:rPr>
          <w:noProof/>
        </w:rPr>
      </w:pPr>
      <w:r>
        <w:rPr>
          <w:b/>
          <w:noProof/>
        </w:rPr>
        <w:t>Turuga seotud ülesanded (standardimine ja küberturvalisuse sertifitseerimine):</w:t>
      </w:r>
      <w:r>
        <w:rPr>
          <w:noProof/>
        </w:rPr>
        <w:t xml:space="preserve"> ENISA täidaks mitmeid ülesandeid, tä</w:t>
      </w:r>
      <w:r>
        <w:rPr>
          <w:noProof/>
        </w:rPr>
        <w:t>psemalt toetaks siseturgu ja küberturvalisuse turu vaatlusrühma, analüüsides küberturvalisuse turu asjaomaseid suundumusi, et reageerida paremini nõudlusele ja pakkumisele, ning toetades ELi poliitika kujundamist IKT standardimise ja IKT küberturvalisuse s</w:t>
      </w:r>
      <w:r>
        <w:rPr>
          <w:noProof/>
        </w:rPr>
        <w:t>ertifitseerimise valdkonnas. Standardimise valdkonnas aitaks ENISA täpsemalt koostada ja võtta kasutusele küberturvalisuse standardeid. ENISA täidaks ka tulevase sertifitseerimisraamistiku (vt jaotis allpool) kontekstis ette nähtud ülesandeid.</w:t>
      </w:r>
    </w:p>
    <w:p w:rsidR="00F4358D" w:rsidRDefault="00D1585A">
      <w:pPr>
        <w:pStyle w:val="Bullet1"/>
        <w:rPr>
          <w:noProof/>
        </w:rPr>
      </w:pPr>
      <w:r>
        <w:rPr>
          <w:b/>
          <w:noProof/>
        </w:rPr>
        <w:t>Teadusuuring</w:t>
      </w:r>
      <w:r>
        <w:rPr>
          <w:b/>
          <w:noProof/>
        </w:rPr>
        <w:t xml:space="preserve">ud ja innovatsioon: </w:t>
      </w:r>
      <w:r>
        <w:rPr>
          <w:noProof/>
        </w:rPr>
        <w:t>ENISA kasutaks oma oskusteadmisi, et nõustada ELi ja riigi ametiasutusi teadus- ja arendustegevuse valdkonnas prioriteetide määramisel, sealhulgas küberturvalisuse alase lepingulise avaliku ja erasektori partnerluse kontekstis. Teadusuu</w:t>
      </w:r>
      <w:r>
        <w:rPr>
          <w:noProof/>
        </w:rPr>
        <w:t>ringute valdkonnas ENISA antud nõuandeid kasutataks järgmise mitmeaastase finantsraamistiku alusel uue Euroopa küberturvalisuse uurimis- ja pädevuskeskuse huvides. ENISA osaleks komisjoni taotluse korral ka ELi teadusuuringute ja innovatsiooni rahastamispr</w:t>
      </w:r>
      <w:r>
        <w:rPr>
          <w:noProof/>
        </w:rPr>
        <w:t>ogrammide rakendamises.</w:t>
      </w:r>
    </w:p>
    <w:p w:rsidR="00F4358D" w:rsidRDefault="00D1585A">
      <w:pPr>
        <w:pStyle w:val="Bullet1"/>
        <w:rPr>
          <w:noProof/>
        </w:rPr>
      </w:pPr>
      <w:r>
        <w:rPr>
          <w:b/>
          <w:noProof/>
        </w:rPr>
        <w:t>Operatiivkoostöö ja kriisiohjamine:</w:t>
      </w:r>
      <w:r>
        <w:rPr>
          <w:noProof/>
        </w:rPr>
        <w:t xml:space="preserve"> see töövoog peaks põhinema olemasoleva vältimise tegevussuutlikkuse tugevdamisel, eelkõige täiustades üleeuroopalisi küberturvalisuse õppusi (Cyber Europe), muutes need iga-aastasteks, ning toetad</w:t>
      </w:r>
      <w:r>
        <w:rPr>
          <w:noProof/>
        </w:rPr>
        <w:t>es operatiivkoostööd CSIRTide võrgustiku sekretariaadina (võrgu- ja infoturbe direktiivi nõuete kohaselt), tagades muu hulgas, et CSIRTide võrgustiku IT taristu ja sidekanalid toimivad hästi. Selles kontekstis on vajalik struktureeritud koostöö CERT-EU, kü</w:t>
      </w:r>
      <w:r>
        <w:rPr>
          <w:noProof/>
        </w:rPr>
        <w:t>berkuritegevuse vastase võitluse Euroopa keskuse ja teiste asjaomaste ELi asutustega. Lisaks sellele peaks CERT-EUga füüsiliselt lähestikku tehtav struktureeritud koostöö võimaldama anda oluliste intsidentide korral tehnilist abi ja toetada intsidentide an</w:t>
      </w:r>
      <w:r>
        <w:rPr>
          <w:noProof/>
        </w:rPr>
        <w:t>alüüsi. Vastava taotluse esitanud liikmesriigid saaksid abi intsidentidega tegelemiseks ning toetust nõrkuste, moonutuste ja intsidentide analüüsimiseks, et tugevdada oma vältimis- ja reageerimissuutlikkust.</w:t>
      </w:r>
    </w:p>
    <w:p w:rsidR="00F4358D" w:rsidRDefault="00D1585A">
      <w:pPr>
        <w:pStyle w:val="Bullet1"/>
        <w:rPr>
          <w:rFonts w:eastAsia="Calibri"/>
          <w:noProof/>
        </w:rPr>
      </w:pPr>
      <w:r>
        <w:rPr>
          <w:noProof/>
        </w:rPr>
        <w:t xml:space="preserve">ENISA-l oleks ka osa </w:t>
      </w:r>
      <w:r>
        <w:rPr>
          <w:b/>
          <w:noProof/>
        </w:rPr>
        <w:t>ELi küberturvalisuse tegevu</w:t>
      </w:r>
      <w:r>
        <w:rPr>
          <w:b/>
          <w:noProof/>
        </w:rPr>
        <w:t>skavas</w:t>
      </w:r>
      <w:r>
        <w:rPr>
          <w:noProof/>
        </w:rPr>
        <w:t>, mida tutvustatakse selle paketi osana ja milles esitatakse komisjoni soovitused liikmesriikidele, et reageerida koordineeritud viisil suurtele piiriülestele küberturvalisuse intsidentidele ja kriisidele ELi tasandil</w:t>
      </w:r>
      <w:r>
        <w:rPr>
          <w:rStyle w:val="FootnoteReference"/>
          <w:noProof/>
        </w:rPr>
        <w:footnoteReference w:id="14"/>
      </w:r>
      <w:r>
        <w:rPr>
          <w:noProof/>
        </w:rPr>
        <w:t>. ENISA edendaks hädaolukordadel</w:t>
      </w:r>
      <w:r>
        <w:rPr>
          <w:noProof/>
        </w:rPr>
        <w:t>e reageerimise käigus individuaalsete liikmesriikide vahelist koostööd, analüüsides ja koondades riiklikke olukorraaruandeid lähtuvalt teabest, mille liikmesriigid ja muud üksused on ametile vabatahtlikult esitanud.</w:t>
      </w:r>
    </w:p>
    <w:p w:rsidR="00F4358D" w:rsidRDefault="00F4358D">
      <w:pPr>
        <w:contextualSpacing/>
        <w:rPr>
          <w:noProof/>
          <w:szCs w:val="24"/>
        </w:rPr>
      </w:pPr>
    </w:p>
    <w:p w:rsidR="00F4358D" w:rsidRDefault="00D1585A">
      <w:pPr>
        <w:pStyle w:val="Bullet0"/>
        <w:rPr>
          <w:b/>
          <w:noProof/>
        </w:rPr>
      </w:pPr>
      <w:r>
        <w:rPr>
          <w:b/>
          <w:noProof/>
        </w:rPr>
        <w:t>IKT toodete ja teenuste küberturvalisus</w:t>
      </w:r>
      <w:r>
        <w:rPr>
          <w:b/>
          <w:noProof/>
        </w:rPr>
        <w:t>e sertifitseerimine</w:t>
      </w:r>
    </w:p>
    <w:p w:rsidR="00F4358D" w:rsidRDefault="00D1585A">
      <w:pPr>
        <w:rPr>
          <w:noProof/>
        </w:rPr>
      </w:pPr>
      <w:r>
        <w:rPr>
          <w:noProof/>
        </w:rPr>
        <w:t xml:space="preserve">Selleks et luua ja säilitada usaldust ja turvalisust, tuleb IKT toodetesse ja teenustesse otseselt inkorporeerida turvaomadused nende tehnilise projekteerimise ja arendamise algetappides (sisseprojekteeritud turve). Lisaks sellele peab </w:t>
      </w:r>
      <w:r>
        <w:rPr>
          <w:noProof/>
        </w:rPr>
        <w:t>klientidel ja kasutajatel olema võimalik kindlaks teha nende hangitud või ostetud toodete ja teenuste turvalisuse alase usaldusväärsuse tase.</w:t>
      </w:r>
    </w:p>
    <w:p w:rsidR="00F4358D" w:rsidRDefault="00D1585A">
      <w:pPr>
        <w:rPr>
          <w:noProof/>
        </w:rPr>
      </w:pPr>
      <w:r>
        <w:rPr>
          <w:noProof/>
        </w:rPr>
        <w:t>Sertifitseerimine, mille puhul sõltumatu ja akrediteeritud asutus hindab ametlikult tooteid, teenuseid ja protsess</w:t>
      </w:r>
      <w:r>
        <w:rPr>
          <w:noProof/>
        </w:rPr>
        <w:t>e kindlaks määratud standardikriteeriumide alusel ning väljastatakse vastavust tõendav sertifikaat, on oluline, et suurendada toodete ja teenuste turvalisust ning usaldust nende vastu. Kuigi turvalisuse hindamine on üpris tehniline valdkond, on sertifitsee</w:t>
      </w:r>
      <w:r>
        <w:rPr>
          <w:noProof/>
        </w:rPr>
        <w:t>rimise abil võimalik teavitada ostjaid ja kasutajaid nende ostetud või kasutatavate IKT toodete ja teenuste turvaomadustest ning neid selles valdkonnas julgustada. Nagu eespool märgitud, kehtib see eelkõige suurel määral digitehnoloogiat kasutavate ja väga</w:t>
      </w:r>
      <w:r>
        <w:rPr>
          <w:noProof/>
        </w:rPr>
        <w:t xml:space="preserve"> heal tasemel turvalisust eeldavate uute süsteemide suhtes, nt internetiühendusega ja automatiseeritud autod, e-tervis, tööstuslikud automatiseeritud juhtimissüsteemid</w:t>
      </w:r>
      <w:r>
        <w:rPr>
          <w:rStyle w:val="FootnoteReference"/>
          <w:noProof/>
        </w:rPr>
        <w:footnoteReference w:id="15"/>
      </w:r>
      <w:r>
        <w:rPr>
          <w:noProof/>
        </w:rPr>
        <w:t xml:space="preserve"> või arukad võrgud.</w:t>
      </w:r>
    </w:p>
    <w:p w:rsidR="00F4358D" w:rsidRDefault="00D1585A">
      <w:pPr>
        <w:rPr>
          <w:noProof/>
        </w:rPr>
      </w:pPr>
      <w:r>
        <w:rPr>
          <w:noProof/>
        </w:rPr>
        <w:t>Praegu on IKT toodete ja teenuste küberturvalisuse sertifitseerimine</w:t>
      </w:r>
      <w:r>
        <w:rPr>
          <w:noProof/>
        </w:rPr>
        <w:t xml:space="preserve"> ELis üpris lünklik. On mitmeid rahvusvahelisi algatusi, näiteks infotehnoloogia turvalisuse hindamise nn ühiskriteeriumid (ISO 15408), mille puhul on tegemist arvuti turvalisuse hindamise rahvusvahelise standardiga. See põhineb kolmanda isiku tehtaval hin</w:t>
      </w:r>
      <w:r>
        <w:rPr>
          <w:noProof/>
        </w:rPr>
        <w:t>damisel ja sellega nähakse ette seitse hindamise usaldusväärsuse taset. Ühiskriteeriumid ja nendega kaasnev infotehnoloogia turvalisuse hindamise ühine metoodika on tehniline alus rahvusvahelisele kokkuleppele Common Criteria Recognition Arrangement (ühisk</w:t>
      </w:r>
      <w:r>
        <w:rPr>
          <w:noProof/>
        </w:rPr>
        <w:t>riteeriumide tunnustamise kokkulepe, edaspidi „CCRA“), millega tagatakse, et ühiskriteeriumide sertifikaate tunnustavad kõik CCRA allakirjutanud. Samas tunnustatakse CCRA kehtiva versiooni alusel vastastikku ainult hindamisi kuni tasemeni EAL 2. Lisaks sel</w:t>
      </w:r>
      <w:r>
        <w:rPr>
          <w:noProof/>
        </w:rPr>
        <w:t>lele on kokkuleppe allkirjastanud ainult 13 liikmesriiki.</w:t>
      </w:r>
    </w:p>
    <w:p w:rsidR="00F4358D" w:rsidRDefault="00D1585A">
      <w:pPr>
        <w:rPr>
          <w:noProof/>
        </w:rPr>
      </w:pPr>
      <w:r>
        <w:rPr>
          <w:noProof/>
        </w:rPr>
        <w:t>12 liikmesriigi sertifitseerimisasutused on sõlminud vastastikuse tunnustamise kokkuleppe nende sertifikaatide kohta, mis on väljastatud lähtuvalt ühiskriteeriumidest ja kokkuleppe kohaselt</w:t>
      </w:r>
      <w:r>
        <w:rPr>
          <w:rStyle w:val="FootnoteReference"/>
          <w:noProof/>
        </w:rPr>
        <w:footnoteReference w:id="16"/>
      </w:r>
      <w:r>
        <w:rPr>
          <w:noProof/>
        </w:rPr>
        <w:t>. Liikme</w:t>
      </w:r>
      <w:r>
        <w:rPr>
          <w:noProof/>
        </w:rPr>
        <w:t>sriikides on praegu tehtud või hakatakse tegema mitmeid IKT sertifitseerimise algatusi. Kuigi need on olulised, kaasneb nende algatustega ka risk, et turg killustub ja tekivad probleemid koostalitusvõimega. Seetõttu võib ettevõtjal olla vaja hankida mitu s</w:t>
      </w:r>
      <w:r>
        <w:rPr>
          <w:noProof/>
        </w:rPr>
        <w:t>ertifikaati mitmes liikmesriigis, et ta saaks oma tooteid mitmel turul pakkuda. Näiteks nutiarvestite tootja, kes soovib müüa oma tooteid kolmes liikmesriigis, näiteks Saksamaal, Prantsusmaal ja Ühendkuningriigis, peab praegu täitma kolme erineva sertifits</w:t>
      </w:r>
      <w:r>
        <w:rPr>
          <w:noProof/>
        </w:rPr>
        <w:t>eerimiskava nõudeid. Need on Commercial Product Assurance (CPA) Ühendkuningriigis, Certification de Sécurité de Premier Niveau (CSPN) Prantsusmaal ja ühiskriteeriumidel põhinev konkreetne kaitseprofiil Saksamaal.</w:t>
      </w:r>
    </w:p>
    <w:p w:rsidR="00F4358D" w:rsidRDefault="00D1585A">
      <w:pPr>
        <w:rPr>
          <w:noProof/>
        </w:rPr>
      </w:pPr>
      <w:r>
        <w:rPr>
          <w:noProof/>
        </w:rPr>
        <w:t xml:space="preserve">See olukord tekitab suuremad kulud ja </w:t>
      </w:r>
      <w:r>
        <w:rPr>
          <w:noProof/>
        </w:rPr>
        <w:t xml:space="preserve">põhjustab märkimisväärset halduskoormust ettevõtjatele, kes tegutsevad mitmes liikmesriigis. Kuigi sertifitseerimise kulud võivad olenevalt tootest/teenusest, soovitud hindamise usaldusväärsuse tasemest ja/või muudest asjaoludest märkimisväärselt erineda, </w:t>
      </w:r>
      <w:r>
        <w:rPr>
          <w:noProof/>
        </w:rPr>
        <w:t xml:space="preserve">on see summa ettevõtjate jaoks üldjuhul üpris suur. BSI „Smart Meter Gateway“ sertifikaadi saamine maksab rohkem kui 1 miljon eurot (kõrgeim katsetus- ja usaldusväärsuse tase, mis kehtib lisaks tootele ka kogu seda ümbritseva taristu kohta). Nutiarvestite </w:t>
      </w:r>
      <w:r>
        <w:rPr>
          <w:noProof/>
        </w:rPr>
        <w:t>sertifitseerimise maksumus Ühendkuningriigis on peaaegu 150 000 eurot. Prantsusmaal on see maksumus Ühendkuningriigiga sarnane (ligikaudu 150 000 eurot või rohkem).</w:t>
      </w:r>
    </w:p>
    <w:p w:rsidR="00F4358D" w:rsidRDefault="00D1585A">
      <w:pPr>
        <w:rPr>
          <w:noProof/>
        </w:rPr>
      </w:pPr>
      <w:r>
        <w:rPr>
          <w:noProof/>
        </w:rPr>
        <w:t>Peamised avaliku ja erasektori sidusrühmad kinnitasid, et kuna puudub ELi-ülene küberturval</w:t>
      </w:r>
      <w:r>
        <w:rPr>
          <w:noProof/>
        </w:rPr>
        <w:t xml:space="preserve">isuse sertifitseerimise kava, on ettevõtjad pidanud mitmel juhul hankima sertifikaadi individuaalselt igas liikmesriigis, mis põhjustab turu killustatuse. Kõige olulisem on, et ELi ühtlustatud õigusaktide puudumise tõttu IKT toodete ja teenuste valdkonnas </w:t>
      </w:r>
      <w:r>
        <w:rPr>
          <w:noProof/>
        </w:rPr>
        <w:t>võivad küberturvalisuse sertifitseerimise standardite ja tavade erinevused liikmesriikides luua ELis tegelikkuses 28 eraldi turvalisuse turgu, millest igaühel on oma tehnilised nõuded, katsemeetodid ja küberturvalisuse sertifitseerimise menetlused. Kui ELi</w:t>
      </w:r>
      <w:r>
        <w:rPr>
          <w:noProof/>
        </w:rPr>
        <w:t xml:space="preserve"> tasandil nõuetekohaseid meetmeid ei võeta, siis võivad need erinevad lähenemisviisid riiklikul tasandil põhjustada märkimisväärse tagasilöögi digitaalse ühtse turu saavutamisel, aeglustades või takistades majanduskasvu ja töökohtade loomise seisukohast üh</w:t>
      </w:r>
      <w:r>
        <w:rPr>
          <w:noProof/>
        </w:rPr>
        <w:t>endatud positiivse mõju tekkimist.</w:t>
      </w:r>
    </w:p>
    <w:p w:rsidR="00F4358D" w:rsidRDefault="00D1585A">
      <w:pPr>
        <w:rPr>
          <w:noProof/>
        </w:rPr>
      </w:pPr>
      <w:r>
        <w:rPr>
          <w:noProof/>
        </w:rPr>
        <w:t>Eespool nimetatust lähtuvalt luuakse määruse ettepanekuga IKT toodete ja teenuste Euroopa küberturvalisuse sertifitseerimise raamistik (edaspidi „</w:t>
      </w:r>
      <w:r>
        <w:rPr>
          <w:b/>
          <w:noProof/>
        </w:rPr>
        <w:t>raamistik</w:t>
      </w:r>
      <w:r>
        <w:rPr>
          <w:noProof/>
        </w:rPr>
        <w:t>“) ning täpsustatakse ENISA olulised ülesanded küberturvalisuse se</w:t>
      </w:r>
      <w:r>
        <w:rPr>
          <w:noProof/>
        </w:rPr>
        <w:t>rtifitseerimise valdkonnas. Käesoleva ettepanekuga kehtestatakse Euroopa küberturvalisuse sertifitseerimise kavasid reguleerivate õigusnormide üldine raamistik. Ettepanekuga ei võeta kasutusele otseselt kasutusvalmis sertifitseerimiskavasid, vaid luuakse s</w:t>
      </w:r>
      <w:r>
        <w:rPr>
          <w:noProof/>
        </w:rPr>
        <w:t>üsteem (raamistik) konkreetsete IKT toodete/teenuste jaoks konkreetsete sertifitseerimiskavade koostamiseks (edaspidi „Euroopa küberturvalisuse sertifitseerimise kavad“). Raamistiku kohaselt Euroopa küberturvalisuse sertifitseerimise kavade loomine võimald</w:t>
      </w:r>
      <w:r>
        <w:rPr>
          <w:noProof/>
        </w:rPr>
        <w:t>ab tagada nende kavade alusel väljastatud sertifikaatide kehtivuse ja tunnustamise kõikides liikmesriikides ning vähendada praegust turu killustatust.</w:t>
      </w:r>
    </w:p>
    <w:p w:rsidR="00F4358D" w:rsidRDefault="00D1585A">
      <w:pPr>
        <w:rPr>
          <w:noProof/>
        </w:rPr>
      </w:pPr>
      <w:r>
        <w:rPr>
          <w:noProof/>
        </w:rPr>
        <w:t>Euroopa küberturvalisuse sertifitseerimise kava üldeesmärk on kinnitada, et selle kava kohaselt sertifits</w:t>
      </w:r>
      <w:r>
        <w:rPr>
          <w:noProof/>
        </w:rPr>
        <w:t>eeritud IKT tooted ja teenused vastavad kindlaksmääratud küberturvalisuse nõuetele. See hõlmaks näiteks nende võimet kaitsta (salvestatud, edastatud või muul viisil töödeldud) andmeid juhusliku või lubamatu salvestamise, töötlemise, juurdepääsu, avaldamise</w:t>
      </w:r>
      <w:r>
        <w:rPr>
          <w:noProof/>
        </w:rPr>
        <w:t>, hävitamise, juhusliku kaotamise või muutmise eest. ELi küberturvalisuse sertifitseerimise kavad kasutaksid tehniliste nõuete ja hindamismenetluste valdkonnas kehtivaid standardeid, millele tooted peavad vastama, ja nende raames ei koostataks uusi tehnili</w:t>
      </w:r>
      <w:r>
        <w:rPr>
          <w:noProof/>
        </w:rPr>
        <w:t>si standardeid</w:t>
      </w:r>
      <w:r>
        <w:rPr>
          <w:rStyle w:val="FootnoteReference"/>
          <w:noProof/>
        </w:rPr>
        <w:footnoteReference w:id="17"/>
      </w:r>
      <w:r>
        <w:rPr>
          <w:noProof/>
        </w:rPr>
        <w:t>. Näiteks selleks, et tagada selliste toodete nagu kiipkaartide ELi-ülene sertifitseerimine, mida katsetatakse praegu mitmepoolse SOG-ISi kava alusel ühiskriteeriumide rahvusvaheliste standarditega võrreldes (ja mida on eespool kirjeldatud),</w:t>
      </w:r>
      <w:r>
        <w:rPr>
          <w:noProof/>
        </w:rPr>
        <w:t xml:space="preserve"> oleks vaja muuta see kava kehtivaks kogu ELi ulatuses.</w:t>
      </w:r>
    </w:p>
    <w:p w:rsidR="00F4358D" w:rsidRDefault="00D1585A">
      <w:pPr>
        <w:rPr>
          <w:noProof/>
        </w:rPr>
      </w:pPr>
      <w:r>
        <w:rPr>
          <w:noProof/>
        </w:rPr>
        <w:t xml:space="preserve">Lisaks sellele, et ettepanekus kirjeldatakse konkreetsete turvaeesmärkide komplekti, mida tuleb võtta arvesse konkreetse Euroopa küberturvalisuse sertifitseerimise kava koostamisel, esitatakse selles </w:t>
      </w:r>
      <w:r>
        <w:rPr>
          <w:noProof/>
        </w:rPr>
        <w:t>nõuded kõnealuste kavade miinimumsisule. Nendes kavades tuleb muu hulgas määrata kindlaks konkreetsed nõuded küberturvalisuse sertifitseerimise ulatusele ja eesmärgile. See hõlmab asjakohaste toodete ja teenuste kategooriate kindlaksmääramist, küberturvali</w:t>
      </w:r>
      <w:r>
        <w:rPr>
          <w:noProof/>
        </w:rPr>
        <w:t>suse nõuete üksikasjalikku kirjeldamist (näiteks osutades asjakohastele standarditele või tehnilistele kirjeldustele), konkreetseid hindamiskriteeriume ja -meetodeid ning usaldusväärsuse taset, mida nendega soovitakse tagada (näiteks baastase, märkimisväär</w:t>
      </w:r>
      <w:r>
        <w:rPr>
          <w:noProof/>
        </w:rPr>
        <w:t>ne või kõrge tase).</w:t>
      </w:r>
    </w:p>
    <w:p w:rsidR="00F4358D" w:rsidRDefault="00D1585A">
      <w:pPr>
        <w:rPr>
          <w:noProof/>
        </w:rPr>
      </w:pPr>
      <w:r>
        <w:rPr>
          <w:noProof/>
        </w:rPr>
        <w:t>Euroopa küberturvalisuse sertifitseerimise kavad koostab ENISA, kasutades eksperdiabi ja tehes tihedat koostööd Euroopa küberturvalisuse sertifitseerimise rühmaga (vt allpool) ning need võtab vastu komisjon rakendusaktide alusel. Kui kü</w:t>
      </w:r>
      <w:r>
        <w:rPr>
          <w:noProof/>
        </w:rPr>
        <w:t>berturvalisuse sertifitseerimise kava peetakse vajalikuks, siis esitab komisjon ENISA-le taotluse, et ta koostaks kava konkreetse IKT toote või teenuse jaoks. ENISA koostab kava tihedas koostöös rühmas esindatud riiklike sertifitseerimise järelevalveasutus</w:t>
      </w:r>
      <w:r>
        <w:rPr>
          <w:noProof/>
        </w:rPr>
        <w:t>tega. Liikmesriigid ja rühm võivad teha komisjonile ettepaneku, et ta taotleks ENISA-lt konkreetse kava koostamist.</w:t>
      </w:r>
    </w:p>
    <w:p w:rsidR="00F4358D" w:rsidRDefault="00D1585A">
      <w:pPr>
        <w:rPr>
          <w:noProof/>
        </w:rPr>
      </w:pPr>
      <w:r>
        <w:rPr>
          <w:noProof/>
        </w:rPr>
        <w:t xml:space="preserve">Sertifitseerimine võib olla väga kulukas protsess, mis võib suurendada klientidelt ja tarbijatelt küsitavaid hindu. Sertifitseerimisvajadus </w:t>
      </w:r>
      <w:r>
        <w:rPr>
          <w:noProof/>
        </w:rPr>
        <w:t>võib ka märkimisväärselt erineda, lähtuvalt toodete ja teenuste kasutamise konkreetsest kontekstist ning tehniliste muutuste kiirest tempost. Euroopa küberturvalisuse sertifitseerimise kasutamine peaks seega jääma vabatahtlikuks, kui liidu õigusaktides, mi</w:t>
      </w:r>
      <w:r>
        <w:rPr>
          <w:noProof/>
        </w:rPr>
        <w:t>llega kehtestatakse IKT toodete ja teenuste turvanõuded, ei ole sätestatud teisiti.</w:t>
      </w:r>
    </w:p>
    <w:p w:rsidR="00F4358D" w:rsidRDefault="00D1585A">
      <w:pPr>
        <w:rPr>
          <w:noProof/>
        </w:rPr>
      </w:pPr>
      <w:r>
        <w:rPr>
          <w:noProof/>
        </w:rPr>
        <w:t>Selleks et tagada ühtlustamine ja vältida killustatust, lõpetatakse Euroopa küberturvalisuse sertifitseerimise kavaga hõlmatud IKT toodete ja teenuste puhul riiklike kübert</w:t>
      </w:r>
      <w:r>
        <w:rPr>
          <w:noProof/>
        </w:rPr>
        <w:t>urvalisuse sertifitseerimise kavade või menetluste kasutamine alates Euroopa küberturvalisuse sertifitseerimise kava vastuvõtmise rakendusaktis sätestatud kuupäevast. Liikmesriigid ei tohiks ka kehtestada uusi riiklikke küberturvalisuse sertifitseerimise k</w:t>
      </w:r>
      <w:r>
        <w:rPr>
          <w:noProof/>
        </w:rPr>
        <w:t>avasid IKT toodetele ja teenustele, mis on kaetud kehtiva Euroopa küberturvalisuse sertifitseerimise kavaga.</w:t>
      </w:r>
    </w:p>
    <w:p w:rsidR="00F4358D" w:rsidRDefault="00D1585A">
      <w:pPr>
        <w:rPr>
          <w:noProof/>
        </w:rPr>
      </w:pPr>
      <w:r>
        <w:rPr>
          <w:noProof/>
        </w:rPr>
        <w:t>Kui Euroopa küberturvalisuse sertifitseerimise kava on vastu võetud, saavad IKT toodete tootjad või IKT teenuste osutajad esitada enda valitud vast</w:t>
      </w:r>
      <w:r>
        <w:rPr>
          <w:noProof/>
        </w:rPr>
        <w:t>avushindamisasutusele taotluse oma toodete või teenuste sertifitseerimiseks. Akrediteerimisasutus peaks vastavushindamisasutused akrediteerima, kui need vastavad teatavatele konkreetsetele nõuetele. Akrediteering antakse maksimaalselt viieks aastaks ja sel</w:t>
      </w:r>
      <w:r>
        <w:rPr>
          <w:noProof/>
        </w:rPr>
        <w:t>le kehtivust võib pikendada samadel tingimustel senikaua, kuni vastavushindamisasutus vastab nõuetele. Akrediteerimisasutus tühistab vastavushindamisasutuse akrediteerimise, kui akrediteerimise tingimused ei ole täidetud või ei ole enam täidetud või asutus</w:t>
      </w:r>
      <w:r>
        <w:rPr>
          <w:noProof/>
        </w:rPr>
        <w:t>e poolt võetavad meetmed rikuvad käesolevat määrust.</w:t>
      </w:r>
    </w:p>
    <w:p w:rsidR="00F4358D" w:rsidRDefault="00D1585A">
      <w:pPr>
        <w:rPr>
          <w:noProof/>
        </w:rPr>
      </w:pPr>
      <w:r>
        <w:rPr>
          <w:noProof/>
        </w:rPr>
        <w:t>Ettepaneku kohaselt täidavad seire, järelevalve ja täitmise tagamise ülesandeid liikmesriigid. Liikmesriigid peavad tagama ühe sertifitseerimise järelevalveasutuse olemasolu. See asutus peab kontrollima,</w:t>
      </w:r>
      <w:r>
        <w:rPr>
          <w:noProof/>
        </w:rPr>
        <w:t xml:space="preserve"> et vastavushindamisasutused ja nende territooriumil asutatud vastavushindamisasutuste väljastatud sertifikaadid vastavad käesoleva määruse ning asjakohaste Euroopa küberturvalisuse sertifitseerimise kavade nõuetele. Riiklikud sertifitseerimise järelevalve</w:t>
      </w:r>
      <w:r>
        <w:rPr>
          <w:noProof/>
        </w:rPr>
        <w:t>asutused on pädevad tegelema füüsiliste või juriidiliste isikute esitatud kaebustega, mis käsitlevad nende territooriumil asutatud vastavushindamisasutuste väljastatud sertifikaate. Nad uurivad nõuetekohases ulatuses kaebuse sisu ja annavad kaebuse esitaja</w:t>
      </w:r>
      <w:r>
        <w:rPr>
          <w:noProof/>
        </w:rPr>
        <w:t>le mõistliku aja jooksul teada tehtud edusammudest ning uurimise tulemusest. Lisaks sellele teevad nad koostööd teiste sertifitseerimise järelevalveasutuste või muude avaliku sektori asutusega, näiteks jagades teavet IKT toodete ja teenuste võimaliku mitte</w:t>
      </w:r>
      <w:r>
        <w:rPr>
          <w:noProof/>
        </w:rPr>
        <w:t>vastavuse kohta käesoleva määruse või konkreetsete Euroopa küberturvalisuse sertifitseerimise kavade nõuetele.</w:t>
      </w:r>
    </w:p>
    <w:p w:rsidR="00F4358D" w:rsidRDefault="00D1585A">
      <w:pPr>
        <w:rPr>
          <w:noProof/>
        </w:rPr>
      </w:pPr>
      <w:r>
        <w:rPr>
          <w:noProof/>
        </w:rPr>
        <w:t>Ettepaneku alusel luuakse Euroopa küberturvalisuse sertifitseerimise rühm (edaspidi „rühm“), kuhu kuuluvad kõigi liikmesriikide riiklikud sertifi</w:t>
      </w:r>
      <w:r>
        <w:rPr>
          <w:noProof/>
        </w:rPr>
        <w:t>tseerimise järelevalveasutused. Rühma põhiülesanne on nõustada komisjoni küberturvalisuse sertifitseerimise poliitikaga seotud küsimustes ning teha koostööd ENISAga, et koostada Euroopa küberturvalisuse sertifitseerimise kavade projektid. ENISA aitab komis</w:t>
      </w:r>
      <w:r>
        <w:rPr>
          <w:noProof/>
        </w:rPr>
        <w:t>joni, tagades rühma sekretariaaditeenused ja hoides käigus Euroopa küberturvalisuse sertifitseerimise raamistiku alusel heaks kiidetud kavade ajakohastatud avalikku andmikku. ENISA suhtleks ka standardiorganisatsioonidega, et tagada heakskiidetud kavades k</w:t>
      </w:r>
      <w:r>
        <w:rPr>
          <w:noProof/>
        </w:rPr>
        <w:t>asutatud standardite asjakohasus ja määrata kindlaks küberturvalisuse standardeid vajavad valdkonnad.</w:t>
      </w:r>
    </w:p>
    <w:p w:rsidR="00F4358D" w:rsidRDefault="00D1585A">
      <w:pPr>
        <w:rPr>
          <w:noProof/>
        </w:rPr>
      </w:pPr>
      <w:r>
        <w:rPr>
          <w:noProof/>
        </w:rPr>
        <w:t xml:space="preserve">Euroopa küberturvalisuse sertifitseerimise raamistik (edaspidi „raamistik“) annab kodanikele ja ettevõtjatele mitmeid eeliseid. Need eelised on eelkõige </w:t>
      </w:r>
      <w:r>
        <w:rPr>
          <w:noProof/>
        </w:rPr>
        <w:t>järgmised.</w:t>
      </w:r>
    </w:p>
    <w:p w:rsidR="00F4358D" w:rsidRDefault="00D1585A">
      <w:pPr>
        <w:pStyle w:val="Bullet0"/>
        <w:rPr>
          <w:noProof/>
        </w:rPr>
      </w:pPr>
      <w:r>
        <w:rPr>
          <w:noProof/>
        </w:rPr>
        <w:t>Konkreetsete toodete ja teenuste jaoks ELi-üleste küberturvalisuse sertifitseerimise kavade loomine tagab ettevõtjatele ühtse kontaktpunkti ELis küberturvalisuse sertifikaadi hankimiseks. Kõnealustel ettevõtjatel tekib võimalus sertifitseerida o</w:t>
      </w:r>
      <w:r>
        <w:rPr>
          <w:noProof/>
        </w:rPr>
        <w:t>ma toode ainult korra ja saada sertifikaat, mis kehtib kõikides liikmesriikides. Nad ei pea sertifitseerima oma tooteid uuesti teiste riiklike sertifitseerimisasutuste juures. See vähendab märkimisväärselt ettevõtjatele tekkivaid kulusid, lihtsustab piiriü</w:t>
      </w:r>
      <w:r>
        <w:rPr>
          <w:noProof/>
        </w:rPr>
        <w:t>lest tegevust ning lõppkokkuvõttes vähendab ja aitab vältida asjaomaste toodete siseturu killustatust.</w:t>
      </w:r>
    </w:p>
    <w:p w:rsidR="00F4358D" w:rsidRDefault="00D1585A">
      <w:pPr>
        <w:pStyle w:val="Bullet0"/>
        <w:rPr>
          <w:noProof/>
        </w:rPr>
      </w:pPr>
      <w:r>
        <w:rPr>
          <w:noProof/>
        </w:rPr>
        <w:t>Raamistikuga kehtestatakse Euroopa küberturvalisuse sertifitseerimise kavade ülimuslikkus riiklike kavade suhtes: selle tingimuse kohaselt muutub Euroopa</w:t>
      </w:r>
      <w:r>
        <w:rPr>
          <w:noProof/>
        </w:rPr>
        <w:t xml:space="preserve"> küberturvalisuse sertifitseerimise kava selle vastuvõtmisel ülimuslikuks kõigi samal usaldusväärsuse tasemel sama IKT toote või teenuse puhul kehtivate riiklike kavade suhtes. See suurendab selgust ning vähendab kattuvate ja vahel ka vastandlike riiklike </w:t>
      </w:r>
      <w:r>
        <w:rPr>
          <w:noProof/>
        </w:rPr>
        <w:t>küberturvalisuse sertifitseerimise kavade praegust levikut.</w:t>
      </w:r>
    </w:p>
    <w:p w:rsidR="00F4358D" w:rsidRDefault="00D1585A">
      <w:pPr>
        <w:pStyle w:val="Bullet0"/>
        <w:rPr>
          <w:noProof/>
        </w:rPr>
      </w:pPr>
      <w:r>
        <w:rPr>
          <w:noProof/>
        </w:rPr>
        <w:t>Ettepanekuga toetatakse ja täiendatakse ka võrgu- ja infoturbe direktiivi rakendamist, andes ettevõtjatele, kelle suhtes seda direktiivi kohaldatakse, väga kasulikud vahendid, mille abil nad saava</w:t>
      </w:r>
      <w:r>
        <w:rPr>
          <w:noProof/>
        </w:rPr>
        <w:t>d tõendada vastavust võrgu- ja infoturbe nõuetele kogu liidus. Komisjon ja ENISA pööravad uute küberturvalisuse sertifitseerimise kavade väljatöötamisel eritähelepanu vajadusele tagada, et võrgu- ja infoturbe direktiivi nõuded kajastuvad küberturvalisuse s</w:t>
      </w:r>
      <w:r>
        <w:rPr>
          <w:noProof/>
        </w:rPr>
        <w:t>ertifitseerimise kavades.</w:t>
      </w:r>
    </w:p>
    <w:p w:rsidR="00F4358D" w:rsidRDefault="00D1585A">
      <w:pPr>
        <w:pStyle w:val="Bullet0"/>
        <w:rPr>
          <w:noProof/>
        </w:rPr>
      </w:pPr>
      <w:r>
        <w:rPr>
          <w:noProof/>
        </w:rPr>
        <w:t>Ettepanekuga toetatakse ja edendatakse Euroopa küberturvalisuse poliitika väljatöötamist, ühtlustades tingimusi ja sisulisi nõudeid IKT toodete ja teenuste küberturvalisuse sertifitseerimisele ELis. Euroopa küberturvalisuse sertif</w:t>
      </w:r>
      <w:r>
        <w:rPr>
          <w:noProof/>
        </w:rPr>
        <w:t>itseerimise kavad osutavad hindamis- ja katsemeetodite ühistele standarditele või kriteeriumidele. See aitab märkimisväärselt (kuigi kaudselt) kaasa ühiste turvalahenduste kasutuselevõtule ELis, kõrvaldades ka tõkked siseturul.</w:t>
      </w:r>
    </w:p>
    <w:p w:rsidR="00F4358D" w:rsidRDefault="00D1585A">
      <w:pPr>
        <w:pStyle w:val="Bullet0"/>
        <w:rPr>
          <w:noProof/>
        </w:rPr>
      </w:pPr>
      <w:r>
        <w:rPr>
          <w:noProof/>
        </w:rPr>
        <w:t>Raamistik on koostatud selli</w:t>
      </w:r>
      <w:r>
        <w:rPr>
          <w:noProof/>
        </w:rPr>
        <w:t>selt, et tagada küberturvalisuse sertifitseerimise kavade jaoks vajalik paindlikkus. Olenevalt konkreetsetest küberturvalisuse vajadustest võidakse toode või teenus sertifitseerida kõrgemal või madalamal turvalisuse tasemel. Euroopa küberturvalisuse sertif</w:t>
      </w:r>
      <w:r>
        <w:rPr>
          <w:noProof/>
        </w:rPr>
        <w:t>itseerimise kavad koostatakse seda paindlikkust arvesse võttes ja nendega tagatakse seetõttu erinevad usaldusväärsuse tasemed (s.o baastase, märkimisväärne või kõrge tase), et neid saaks kasutada erinevas kontekstis erineval otstarbel.</w:t>
      </w:r>
    </w:p>
    <w:p w:rsidR="00F4358D" w:rsidRDefault="00D1585A">
      <w:pPr>
        <w:pStyle w:val="Bullet0"/>
        <w:rPr>
          <w:noProof/>
        </w:rPr>
      </w:pPr>
      <w:r>
        <w:rPr>
          <w:noProof/>
        </w:rPr>
        <w:t>Kõik eespool märgitu</w:t>
      </w:r>
      <w:r>
        <w:rPr>
          <w:noProof/>
        </w:rPr>
        <w:t>d elemendid muudavad küberturvalisuse sertifitseerimise ettevõtjatele atraktiivsemaks kui tõhusa vahendi, mille abil saab anda teavet IKT toodete või teenuste küberturvalisuse usaldusväärsuse taseme kohta. Kuna küberturvalisuse sertifitseerimine muutub oda</w:t>
      </w:r>
      <w:r>
        <w:rPr>
          <w:noProof/>
        </w:rPr>
        <w:t xml:space="preserve">vamaks, tõhusamaks ja ärilises mõistes atraktiivsemaks, on ettevõtjatel suurem ajend sertifitseerida oma tooteid küberturvalisuse riskide vältimiseks, aidates seeläbi kaasa paremate küberturvalisuse tavade levikule IKT toodete ja teenuste projekteerimisel </w:t>
      </w:r>
      <w:r>
        <w:rPr>
          <w:noProof/>
        </w:rPr>
        <w:t>(sisseprojekteeritud küberturvalisus).</w:t>
      </w:r>
    </w:p>
    <w:p w:rsidR="00F4358D" w:rsidRDefault="00F4358D">
      <w:pPr>
        <w:rPr>
          <w:noProof/>
        </w:rPr>
      </w:pPr>
    </w:p>
    <w:p w:rsidR="00F4358D" w:rsidRDefault="00D1585A">
      <w:pPr>
        <w:pStyle w:val="ManualHeading2"/>
        <w:rPr>
          <w:rFonts w:eastAsia="Arial Unicode MS"/>
          <w:noProof/>
          <w:u w:color="000000"/>
          <w:bdr w:val="nil"/>
        </w:rPr>
      </w:pPr>
      <w:bookmarkStart w:id="4" w:name="_Toc492216447"/>
      <w:r>
        <w:rPr>
          <w:noProof/>
        </w:rPr>
        <w:t>•</w:t>
      </w:r>
      <w:r>
        <w:rPr>
          <w:noProof/>
        </w:rPr>
        <w:tab/>
        <w:t>Kooskõla poliitikavaldkonnas praegu kehtivate õigusnormidega</w:t>
      </w:r>
      <w:bookmarkEnd w:id="4"/>
    </w:p>
    <w:p w:rsidR="00F4358D" w:rsidRDefault="00D1585A">
      <w:pPr>
        <w:rPr>
          <w:noProof/>
        </w:rPr>
      </w:pPr>
      <w:r>
        <w:rPr>
          <w:noProof/>
        </w:rPr>
        <w:t>Võrgu- ja infoturbe direktiivi kohaselt peavad meie majanduse ja ühiskonna jaoks elutähtsates sektorites (näiteks energeetika, vesi, pangandus, finantstu</w:t>
      </w:r>
      <w:r>
        <w:rPr>
          <w:noProof/>
        </w:rPr>
        <w:t xml:space="preserve">rutaristud, tervishoid ja digitaalne taristu) tegutsevad operaatorid ning digitaalsete teenuste (näiteks otsingumootorid, pilvandmetöötlusteenused ja internetipõhised kauplemiskohad) osutajad võtma meetmeid, et juhtida nõuetekohaselt turvariske. Käesoleva </w:t>
      </w:r>
      <w:r>
        <w:rPr>
          <w:noProof/>
        </w:rPr>
        <w:t>ettepaneku uued õigusnormid täiendavad võrgu- ja infoturbe direktiivi sätteid ja tagavad nendega kooskõla, et suurendada veelgi ELi kübervastupidavusvõimet tänu suuremale suutlikkusele, koostööle, riskijuhtimisele ja küberteadlikkusele.</w:t>
      </w:r>
    </w:p>
    <w:p w:rsidR="00F4358D" w:rsidRDefault="00D1585A">
      <w:pPr>
        <w:rPr>
          <w:noProof/>
        </w:rPr>
      </w:pPr>
      <w:r>
        <w:rPr>
          <w:noProof/>
        </w:rPr>
        <w:t>Lisaks sellele on k</w:t>
      </w:r>
      <w:r>
        <w:rPr>
          <w:noProof/>
        </w:rPr>
        <w:t>überturvalisuse sertifitseerimise õigusnormid ülioluline vahend ettevõtjatele, kelle suhtes kohaldatakse võrgu- ja infoturbe direktiivi, kuna nad saavad sertifitseerida oma IKT tooteid ja teenuseid küberturvalisuse riskide vastu, kasutades selleks kogu ELi</w:t>
      </w:r>
      <w:r>
        <w:rPr>
          <w:noProof/>
        </w:rPr>
        <w:t>s kehtivaid ja tunnustatud küberturvalisuse sertifitseerimise kavasid. Need täiendavad ka e-identimise ja e-tehingute jaoks vajalike usaldusteenuste määruses</w:t>
      </w:r>
      <w:r>
        <w:rPr>
          <w:rStyle w:val="FootnoteReference"/>
          <w:noProof/>
        </w:rPr>
        <w:footnoteReference w:id="18"/>
      </w:r>
      <w:r>
        <w:rPr>
          <w:noProof/>
        </w:rPr>
        <w:t xml:space="preserve"> ning raadioseadmete direktiivis</w:t>
      </w:r>
      <w:r>
        <w:rPr>
          <w:rStyle w:val="FootnoteReference"/>
          <w:noProof/>
        </w:rPr>
        <w:footnoteReference w:id="19"/>
      </w:r>
      <w:r>
        <w:rPr>
          <w:noProof/>
        </w:rPr>
        <w:t xml:space="preserve"> sätestatud turvanõudeid.</w:t>
      </w:r>
    </w:p>
    <w:p w:rsidR="00F4358D" w:rsidRDefault="00F4358D">
      <w:pPr>
        <w:rPr>
          <w:noProof/>
        </w:rPr>
      </w:pPr>
    </w:p>
    <w:p w:rsidR="00F4358D" w:rsidRDefault="00D1585A">
      <w:pPr>
        <w:pStyle w:val="ManualHeading2"/>
        <w:rPr>
          <w:rFonts w:eastAsia="Arial Unicode MS"/>
          <w:noProof/>
        </w:rPr>
      </w:pPr>
      <w:bookmarkStart w:id="5" w:name="_Toc492216448"/>
      <w:r>
        <w:rPr>
          <w:noProof/>
        </w:rPr>
        <w:t>•</w:t>
      </w:r>
      <w:r>
        <w:rPr>
          <w:noProof/>
        </w:rPr>
        <w:tab/>
        <w:t>Kooskõla muude liidu tegevuspõhimõte</w:t>
      </w:r>
      <w:r>
        <w:rPr>
          <w:noProof/>
        </w:rPr>
        <w:t>tega</w:t>
      </w:r>
      <w:bookmarkEnd w:id="5"/>
    </w:p>
    <w:p w:rsidR="00F4358D" w:rsidRDefault="00D1585A">
      <w:pPr>
        <w:rPr>
          <w:noProof/>
        </w:rPr>
      </w:pPr>
      <w:r>
        <w:rPr>
          <w:noProof/>
        </w:rPr>
        <w:t>Määrus (EL) 2016/679 (edaspidi „</w:t>
      </w:r>
      <w:r>
        <w:rPr>
          <w:b/>
          <w:noProof/>
        </w:rPr>
        <w:t>isikuandmete kaitse üldmäärus</w:t>
      </w:r>
      <w:r>
        <w:rPr>
          <w:noProof/>
        </w:rPr>
        <w:t>“)</w:t>
      </w:r>
      <w:r>
        <w:rPr>
          <w:rStyle w:val="FootnoteReference"/>
          <w:noProof/>
        </w:rPr>
        <w:footnoteReference w:id="20"/>
      </w:r>
      <w:r>
        <w:rPr>
          <w:noProof/>
        </w:rPr>
        <w:t xml:space="preserve"> sisaldab sätteid sertifitseerimismehhanismide ning andmekaitsepitserite ja -märgiste kasutuselevõtuks eesmärgiga tõendada, et vastutavate töötlejate ja volitatud töötlejate isikuandmete </w:t>
      </w:r>
      <w:r>
        <w:rPr>
          <w:noProof/>
        </w:rPr>
        <w:t>töötlemise toimingud vastavad kõnealusele määrusele. Käesolev määrus ei piira andmetöötlustoimingute sertifitseerimist isikuandmete kaitse üldmääruse kohaselt, sealhulgas juhul, kui sellised toimingud sisalduvad toodetes või teenustes.</w:t>
      </w:r>
    </w:p>
    <w:p w:rsidR="00F4358D" w:rsidRDefault="00D1585A">
      <w:pPr>
        <w:rPr>
          <w:noProof/>
        </w:rPr>
      </w:pPr>
      <w:r>
        <w:rPr>
          <w:noProof/>
        </w:rPr>
        <w:t>Määruse ettepaneku p</w:t>
      </w:r>
      <w:r>
        <w:rPr>
          <w:noProof/>
        </w:rPr>
        <w:t>uhul tagatakse kooskõla määrusega (EÜ) nr 765/2008, millega sätestatakse akrediteerimise ja turujärelevalve nõuded,</w:t>
      </w:r>
      <w:r>
        <w:rPr>
          <w:rStyle w:val="FootnoteReference"/>
          <w:noProof/>
        </w:rPr>
        <w:footnoteReference w:id="21"/>
      </w:r>
      <w:r>
        <w:rPr>
          <w:noProof/>
        </w:rPr>
        <w:t xml:space="preserve"> osutades selle riiklikke akrediteerimisasutusi ja vastavushindamisasutusi käsitleva raamistiku õigusnormidele. Järelevalveasutuste puhul nõ</w:t>
      </w:r>
      <w:r>
        <w:rPr>
          <w:noProof/>
        </w:rPr>
        <w:t>utakse välja pakutud määrusega, et liikmesriigid nimetaksid riiklikud sertifitseerimise järelevalveasutused, kes vastutavad õigusnormide järelevalve, seire ja täitmise tagamise eest. Need asutused on eraldiseisvad määrusega (EÜ) nr 765/2008 ette nähtud vas</w:t>
      </w:r>
      <w:r>
        <w:rPr>
          <w:noProof/>
        </w:rPr>
        <w:t>tavushindamisasutustest.</w:t>
      </w:r>
    </w:p>
    <w:p w:rsidR="00F4358D" w:rsidRDefault="00D1585A">
      <w:pPr>
        <w:pStyle w:val="ManualHeading1"/>
        <w:rPr>
          <w:noProof/>
        </w:rPr>
      </w:pPr>
      <w:bookmarkStart w:id="6" w:name="_Toc492216449"/>
      <w:r>
        <w:t>2.</w:t>
      </w:r>
      <w:r>
        <w:tab/>
      </w:r>
      <w:r>
        <w:rPr>
          <w:noProof/>
        </w:rPr>
        <w:t>ÕIGUSLIK ALUS, SUBSIDIAARSUS JA PROPORTSIONAALSUS</w:t>
      </w:r>
      <w:bookmarkEnd w:id="6"/>
    </w:p>
    <w:p w:rsidR="00F4358D" w:rsidRDefault="00D1585A">
      <w:pPr>
        <w:pStyle w:val="ManualHeading2"/>
        <w:rPr>
          <w:rFonts w:eastAsia="Arial Unicode MS"/>
          <w:noProof/>
          <w:u w:color="000000"/>
          <w:bdr w:val="nil"/>
        </w:rPr>
      </w:pPr>
      <w:bookmarkStart w:id="7" w:name="_Toc492216450"/>
      <w:r>
        <w:rPr>
          <w:noProof/>
        </w:rPr>
        <w:t>•</w:t>
      </w:r>
      <w:r>
        <w:rPr>
          <w:noProof/>
        </w:rPr>
        <w:tab/>
        <w:t>Õiguslik alus</w:t>
      </w:r>
      <w:bookmarkEnd w:id="7"/>
    </w:p>
    <w:p w:rsidR="00F4358D" w:rsidRDefault="00D1585A">
      <w:pPr>
        <w:rPr>
          <w:noProof/>
        </w:rPr>
      </w:pPr>
      <w:r>
        <w:rPr>
          <w:noProof/>
        </w:rPr>
        <w:t xml:space="preserve">ELi meetme õiguslik alus on Euroopa Liidu toimimise lepingu artikkel 114, mis käsitleb liikmesriikide õigusaktide ühtlustamist, et saavutada Euroopa Liidu </w:t>
      </w:r>
      <w:r>
        <w:rPr>
          <w:noProof/>
        </w:rPr>
        <w:t>toimimise lepingu artiklis 26 seatud eesmärk, nimel siseturu nõuetekohane toimimine.</w:t>
      </w:r>
    </w:p>
    <w:p w:rsidR="00F4358D" w:rsidRDefault="00D1585A">
      <w:pPr>
        <w:rPr>
          <w:noProof/>
        </w:rPr>
      </w:pPr>
      <w:r>
        <w:rPr>
          <w:noProof/>
        </w:rPr>
        <w:t xml:space="preserve">Siseturu õiguslikku alust ENISA loomiseks on kinnitanud Euroopa Kohus (kohtuasjas C-217/04 Ühendkuningriik </w:t>
      </w:r>
      <w:r>
        <w:rPr>
          <w:i/>
          <w:noProof/>
        </w:rPr>
        <w:t>vs.</w:t>
      </w:r>
      <w:r>
        <w:rPr>
          <w:noProof/>
        </w:rPr>
        <w:t xml:space="preserve"> Euroopa Parlament ja nõukogu) ning seda toetati veelgi 2013.</w:t>
      </w:r>
      <w:r>
        <w:rPr>
          <w:noProof/>
        </w:rPr>
        <w:t> aasta määrusega, millega anti ametile praegune mandaat. Lisaks sellele kuuluvad tegevused, mille eesmärk on suurendada liikmesriikide koostööd ja koordineerimist ning mis lisavad ELi tasandi suutlikkust, et täiendada liikmesriikide võetavaid meetmeid, ope</w:t>
      </w:r>
      <w:r>
        <w:rPr>
          <w:noProof/>
        </w:rPr>
        <w:t>ratiivkoostöö kategooria alla. See on määratud kindlaks võrgu- ja infoturbe direktiivis (mille õiguslik alus on Euroopa Liidu toimimise lepingu artikkel 114) CSIRTide võrgustiku kontekstis seatud eesmärgina, mille puhul „ENISA tagab sekretariaadi töö ja to</w:t>
      </w:r>
      <w:r>
        <w:rPr>
          <w:noProof/>
        </w:rPr>
        <w:t>etab aktiivselt [...] koostööd“ (artikli 12 lõige 2). Eelkõige tuuakse artikli 12 lõike 3 punktis f veelgi esile CSIRTide võrgutikule ülesandeks antud operatiivkoostöö täiendavaid vorme, sealhulgas seoses i) riskide ja intsidentide kategooriatega, ii) vara</w:t>
      </w:r>
      <w:r>
        <w:rPr>
          <w:noProof/>
        </w:rPr>
        <w:t>jaste hoiatustega, iii) vastastikuse abiga ning iv) koostöö põhimõtete ja korraga juhtudeks, kui liikmesriigid reageerivad piirülestele riskidele ja intsidentidele.</w:t>
      </w:r>
    </w:p>
    <w:p w:rsidR="00F4358D" w:rsidRDefault="00D1585A">
      <w:pPr>
        <w:pStyle w:val="Bullet0"/>
        <w:rPr>
          <w:noProof/>
        </w:rPr>
      </w:pPr>
      <w:r>
        <w:rPr>
          <w:noProof/>
        </w:rPr>
        <w:t>IKT toodete ja teenuste sertifitseerimise kavade praegune killustatus on ka põhjustatud lii</w:t>
      </w:r>
      <w:r>
        <w:rPr>
          <w:noProof/>
        </w:rPr>
        <w:t>kmesriikide suhtes kohaldatava ühise õiguslikult siduva ja tõhusa raamistiku protsessi puudumisest. See takistab IKT toodete ja teenuste siseturu loomist ning piirab Euroopa tööstuse konkurentsivõimet selles sektoris. Käesoleva ettepaneku eesmärk on tegele</w:t>
      </w:r>
      <w:r>
        <w:rPr>
          <w:noProof/>
        </w:rPr>
        <w:t>da praeguse killustatuse ja sellest siseturule tekkivate takistustega, tagades ühise raamistiku, et luua kogu ELis kehtivad küberturvalisuse sertifitseerimise kavad.</w:t>
      </w:r>
    </w:p>
    <w:p w:rsidR="00F4358D" w:rsidRDefault="00F4358D">
      <w:pPr>
        <w:rPr>
          <w:noProof/>
        </w:rPr>
      </w:pPr>
    </w:p>
    <w:p w:rsidR="00F4358D" w:rsidRDefault="00D1585A">
      <w:pPr>
        <w:pStyle w:val="ManualHeading2"/>
        <w:rPr>
          <w:rFonts w:eastAsia="Arial Unicode MS"/>
          <w:noProof/>
          <w:u w:color="000000"/>
          <w:bdr w:val="nil"/>
        </w:rPr>
      </w:pPr>
      <w:r>
        <w:rPr>
          <w:noProof/>
        </w:rPr>
        <w:t>Subsidiaarsus (liidu ainupädevusse mittekuuluva valdkonna puhul)</w:t>
      </w:r>
    </w:p>
    <w:p w:rsidR="00F4358D" w:rsidRDefault="00D1585A">
      <w:pPr>
        <w:rPr>
          <w:noProof/>
        </w:rPr>
      </w:pPr>
      <w:r>
        <w:rPr>
          <w:noProof/>
        </w:rPr>
        <w:t>Subsidiaarsuse põhimõtte</w:t>
      </w:r>
      <w:r>
        <w:rPr>
          <w:noProof/>
        </w:rPr>
        <w:t xml:space="preserve"> kohaselt on vaja hinnata ELi meetme vajalikkust ja lisaväärtust. Subsidiaarsuse põhimõtte järgimist selles valdkonnas kinnitati juba kehtiva ENISA määruse</w:t>
      </w:r>
      <w:r>
        <w:rPr>
          <w:rStyle w:val="FootnoteReference"/>
          <w:noProof/>
        </w:rPr>
        <w:footnoteReference w:id="22"/>
      </w:r>
      <w:r>
        <w:rPr>
          <w:noProof/>
        </w:rPr>
        <w:t xml:space="preserve"> vastuvõtmise ajal.</w:t>
      </w:r>
    </w:p>
    <w:p w:rsidR="00F4358D" w:rsidRDefault="00D1585A">
      <w:pPr>
        <w:spacing w:before="0" w:line="240" w:lineRule="atLeast"/>
        <w:ind w:right="-29"/>
        <w:rPr>
          <w:rFonts w:eastAsia="Times New Roman"/>
          <w:noProof/>
          <w:szCs w:val="24"/>
        </w:rPr>
      </w:pPr>
      <w:r>
        <w:rPr>
          <w:noProof/>
        </w:rPr>
        <w:t xml:space="preserve">Küberturvalisus on liidule ühist huvi pakkuv küsimus. Võrkude ja infosüsteemide </w:t>
      </w:r>
      <w:r>
        <w:rPr>
          <w:noProof/>
        </w:rPr>
        <w:t>omavaheline seotus on selline, et üksikud osalejad (avalikust ja erasektorist, sealhulgas kodanikud) ei saa sageli üksi toime tulla küberturvalisuse intsidentide ohtudega, juhtida nende riske ega hallata nende võimalikku mõju. Ühest küljest muudab liikmesr</w:t>
      </w:r>
      <w:r>
        <w:rPr>
          <w:noProof/>
        </w:rPr>
        <w:t>iikide omavaheline seotus, sealhulgas elutähtsa taristu (muu hulgas energeetika, transport, vesi) käitamise puhul Euroopa tasandil avaliku sekkumise mitte ainult kasulikuks, aga ka vajalikuks. Teisest küljest võib ELi sekkumine avaldada positiivset kõrvalm</w:t>
      </w:r>
      <w:r>
        <w:rPr>
          <w:noProof/>
        </w:rPr>
        <w:t>õju lähtuvalt heade tavade jagamisest liikmesriikides, mis võib anda tulemuseks parema küberturvalisuse liidus.</w:t>
      </w:r>
    </w:p>
    <w:p w:rsidR="00F4358D" w:rsidRDefault="00D1585A">
      <w:pPr>
        <w:spacing w:before="0" w:line="240" w:lineRule="atLeast"/>
        <w:ind w:right="-29"/>
        <w:rPr>
          <w:rFonts w:eastAsia="Times New Roman"/>
          <w:noProof/>
          <w:szCs w:val="24"/>
        </w:rPr>
      </w:pPr>
      <w:r>
        <w:rPr>
          <w:noProof/>
        </w:rPr>
        <w:t xml:space="preserve">Kokkuvõttes nähtub praeguses kontekstis ja tulevikustsenaariume arvesse võttes, et </w:t>
      </w:r>
      <w:r>
        <w:rPr>
          <w:b/>
          <w:noProof/>
        </w:rPr>
        <w:t>ELi liikmesriikide individuaalsetest meetmetest ja küberturva</w:t>
      </w:r>
      <w:r>
        <w:rPr>
          <w:b/>
          <w:noProof/>
        </w:rPr>
        <w:t>lisuse puhul killustatud lähenemisviisi rakendamisest</w:t>
      </w:r>
      <w:r>
        <w:rPr>
          <w:noProof/>
        </w:rPr>
        <w:t xml:space="preserve"> ei piisa </w:t>
      </w:r>
      <w:r>
        <w:rPr>
          <w:b/>
          <w:noProof/>
        </w:rPr>
        <w:t>liidu ühise kübervastupidavusvõime suurendamiseks</w:t>
      </w:r>
      <w:r>
        <w:rPr>
          <w:noProof/>
        </w:rPr>
        <w:t>.</w:t>
      </w:r>
    </w:p>
    <w:p w:rsidR="00F4358D" w:rsidRDefault="00D1585A">
      <w:pPr>
        <w:spacing w:before="0" w:line="240" w:lineRule="atLeast"/>
        <w:ind w:right="-29"/>
        <w:rPr>
          <w:rFonts w:eastAsia="Times New Roman"/>
          <w:noProof/>
          <w:szCs w:val="24"/>
        </w:rPr>
      </w:pPr>
      <w:r>
        <w:rPr>
          <w:noProof/>
        </w:rPr>
        <w:t>ELi meetmeid peetakse ka vajalikuks, et tegeleda küberturvalisuse sertifitseerimise kavade praeguse killustatusega. See annaks tootjatele võim</w:t>
      </w:r>
      <w:r>
        <w:rPr>
          <w:noProof/>
        </w:rPr>
        <w:t>aluse saada siseturust täielikku kasu, hoides märkimisväärselt kokku katsetamise ja ümberkujundamise kulusid. Kuigi näiteks kõrgemate ametnike infosüsteemide turbe rühma (edaspidi „SOG-IS“) vastastikuse tunnustamise kokkulepe on saavutanud selles valdkonna</w:t>
      </w:r>
      <w:r>
        <w:rPr>
          <w:noProof/>
        </w:rPr>
        <w:t>s märkimisväärseid tulemusi, on selle tegevuse käigus ilmnenud ka märkimisväärseid piiranguid, mille tõttu see ei saa pakkuda pikaajalisi jätkusuutlikke lahendusi siseturu täieliku potentsiaali saavutamiseks.</w:t>
      </w:r>
    </w:p>
    <w:p w:rsidR="00F4358D" w:rsidRDefault="00D1585A">
      <w:pPr>
        <w:spacing w:before="0" w:line="240" w:lineRule="atLeast"/>
        <w:ind w:right="-29"/>
        <w:rPr>
          <w:rFonts w:eastAsia="Times New Roman"/>
          <w:noProof/>
          <w:szCs w:val="24"/>
        </w:rPr>
      </w:pPr>
      <w:r>
        <w:rPr>
          <w:noProof/>
        </w:rPr>
        <w:t>ELi tasandil tegutsemise lisaväärtust, eelkõige</w:t>
      </w:r>
      <w:r>
        <w:rPr>
          <w:noProof/>
        </w:rPr>
        <w:t xml:space="preserve"> et suurendada koostööd liikmesriikide vahel, aga ka võrgu- ja infoturbe kogukondade vahel, on kinnitatud nõukogu 2016. aasta järeldustes</w:t>
      </w:r>
      <w:r>
        <w:rPr>
          <w:rStyle w:val="FootnoteReference"/>
          <w:noProof/>
        </w:rPr>
        <w:footnoteReference w:id="23"/>
      </w:r>
      <w:r>
        <w:rPr>
          <w:noProof/>
        </w:rPr>
        <w:t xml:space="preserve"> ja see ilmneb ka selgelt ENISA tehtud hindamisest.</w:t>
      </w:r>
    </w:p>
    <w:p w:rsidR="00F4358D" w:rsidRDefault="00F4358D">
      <w:pPr>
        <w:spacing w:before="0" w:line="240" w:lineRule="atLeast"/>
        <w:ind w:right="-29"/>
        <w:rPr>
          <w:rFonts w:eastAsia="Times New Roman"/>
          <w:noProof/>
          <w:szCs w:val="24"/>
        </w:rPr>
      </w:pPr>
    </w:p>
    <w:p w:rsidR="00F4358D" w:rsidRDefault="00D1585A">
      <w:pPr>
        <w:pStyle w:val="ManualHeading2"/>
        <w:rPr>
          <w:rFonts w:eastAsia="Arial Unicode MS"/>
          <w:noProof/>
          <w:u w:color="000000"/>
          <w:bdr w:val="nil"/>
        </w:rPr>
      </w:pPr>
      <w:bookmarkStart w:id="8" w:name="_Toc492216451"/>
      <w:r>
        <w:rPr>
          <w:noProof/>
        </w:rPr>
        <w:t>•</w:t>
      </w:r>
      <w:r>
        <w:rPr>
          <w:noProof/>
        </w:rPr>
        <w:tab/>
        <w:t>Proportsionaalsus</w:t>
      </w:r>
      <w:bookmarkEnd w:id="8"/>
    </w:p>
    <w:p w:rsidR="00F4358D" w:rsidRDefault="00D1585A">
      <w:pPr>
        <w:rPr>
          <w:noProof/>
        </w:rPr>
      </w:pPr>
      <w:r>
        <w:rPr>
          <w:noProof/>
        </w:rPr>
        <w:t xml:space="preserve">Kavandatud meede ei lähe kaugemale sellest, </w:t>
      </w:r>
      <w:r>
        <w:rPr>
          <w:noProof/>
        </w:rPr>
        <w:t>mis on vajalik selle poliitikaeesmärkide saavutamiseks. ELi sekkumise ulatus ei takista riikliku julgeoleku valdkonnas täiendavate riiklike meetmete võtmist. ELi meede on seega subsidiaarsuse ja proportsionaalsuse seisukohast põhjendatud.</w:t>
      </w:r>
    </w:p>
    <w:p w:rsidR="00F4358D" w:rsidRDefault="00F4358D">
      <w:pPr>
        <w:rPr>
          <w:noProof/>
        </w:rPr>
      </w:pPr>
    </w:p>
    <w:p w:rsidR="00F4358D" w:rsidRDefault="00D1585A">
      <w:pPr>
        <w:pStyle w:val="ManualHeading2"/>
        <w:rPr>
          <w:rFonts w:eastAsia="Arial Unicode MS"/>
          <w:noProof/>
          <w:u w:color="000000"/>
          <w:bdr w:val="nil"/>
        </w:rPr>
      </w:pPr>
      <w:bookmarkStart w:id="9" w:name="_Toc492216452"/>
      <w:r>
        <w:rPr>
          <w:noProof/>
        </w:rPr>
        <w:t>•</w:t>
      </w:r>
      <w:r>
        <w:rPr>
          <w:noProof/>
        </w:rPr>
        <w:tab/>
        <w:t>Vahendi valik</w:t>
      </w:r>
      <w:bookmarkEnd w:id="9"/>
    </w:p>
    <w:p w:rsidR="00F4358D" w:rsidRDefault="00D1585A">
      <w:pPr>
        <w:rPr>
          <w:noProof/>
        </w:rPr>
      </w:pPr>
      <w:r>
        <w:rPr>
          <w:noProof/>
        </w:rPr>
        <w:t>Käesoleva ettepanekuga vaadatakse läbi määrus (EL) nr 526/2013, milles sätestatakse ENISA kehtiv mandaat ja ülesanded. Võttes arvesse ENISA olulist rolli ELi küberturvalisuse sertifitseerimise raamistiku loomisel ja haldamisel, on kõige parem luua ENISA uu</w:t>
      </w:r>
      <w:r>
        <w:rPr>
          <w:noProof/>
        </w:rPr>
        <w:t>s mandaat ja kõnealune raamistik ühe õigusakti alusel, kasutades selleks määrust.</w:t>
      </w:r>
    </w:p>
    <w:p w:rsidR="00F4358D" w:rsidRPr="00D1585A" w:rsidRDefault="00D1585A">
      <w:pPr>
        <w:pStyle w:val="ManualHeading1"/>
        <w:rPr>
          <w:rStyle w:val="Heading1Char"/>
          <w:noProof/>
          <w:lang w:val="et-EE"/>
        </w:rPr>
      </w:pPr>
      <w:bookmarkStart w:id="10" w:name="_Toc492216453"/>
      <w:r w:rsidRPr="00D1585A">
        <w:rPr>
          <w:rStyle w:val="Heading1Char"/>
          <w:lang w:val="et-EE"/>
        </w:rPr>
        <w:t>3.</w:t>
      </w:r>
      <w:r w:rsidRPr="00D1585A">
        <w:rPr>
          <w:rStyle w:val="Heading1Char"/>
          <w:lang w:val="et-EE"/>
        </w:rPr>
        <w:tab/>
      </w:r>
      <w:r w:rsidRPr="00D1585A">
        <w:rPr>
          <w:rStyle w:val="Heading1Char"/>
          <w:noProof/>
          <w:lang w:val="et-EE"/>
        </w:rPr>
        <w:t>JÄRELHINDAMISE, SIDUSRÜHMADEGA KONSULTEERIMISE JA MÕJU HINDAMISE TULEMUSED</w:t>
      </w:r>
      <w:bookmarkEnd w:id="10"/>
    </w:p>
    <w:p w:rsidR="00F4358D" w:rsidRDefault="00D1585A">
      <w:pPr>
        <w:pStyle w:val="ManualHeading2"/>
        <w:rPr>
          <w:rFonts w:eastAsia="Arial Unicode MS"/>
          <w:noProof/>
          <w:u w:color="000000"/>
          <w:bdr w:val="nil"/>
        </w:rPr>
      </w:pPr>
      <w:bookmarkStart w:id="11" w:name="_Toc492216454"/>
      <w:r>
        <w:rPr>
          <w:noProof/>
        </w:rPr>
        <w:t>Praegu kehtivate õigusaktide järelhindamine või toimivuse kontroll</w:t>
      </w:r>
      <w:bookmarkEnd w:id="11"/>
    </w:p>
    <w:p w:rsidR="00F4358D" w:rsidRDefault="00D1585A">
      <w:pPr>
        <w:rPr>
          <w:noProof/>
        </w:rPr>
      </w:pPr>
      <w:r>
        <w:rPr>
          <w:noProof/>
        </w:rPr>
        <w:t xml:space="preserve">Komisjon analüüsis hindamise </w:t>
      </w:r>
      <w:r>
        <w:rPr>
          <w:noProof/>
        </w:rPr>
        <w:t>tegevuskava</w:t>
      </w:r>
      <w:r>
        <w:rPr>
          <w:rStyle w:val="FootnoteReference"/>
          <w:noProof/>
        </w:rPr>
        <w:footnoteReference w:id="24"/>
      </w:r>
      <w:r>
        <w:rPr>
          <w:noProof/>
        </w:rPr>
        <w:t xml:space="preserve"> alusel tehtud hindamise käigus ameti </w:t>
      </w:r>
      <w:r>
        <w:rPr>
          <w:b/>
          <w:noProof/>
        </w:rPr>
        <w:t>asjakohasust, mõju, tulemuslikkust, tõhusust, sidusust ja sellest saadavat lisaväärtust</w:t>
      </w:r>
      <w:r>
        <w:rPr>
          <w:noProof/>
        </w:rPr>
        <w:t xml:space="preserve"> seoses ameti tulemuste, juhtimise, asutusesisese organisatsioonilise struktuuri ja töötavadega ajavahemikus 2013–2016.</w:t>
      </w:r>
      <w:r>
        <w:rPr>
          <w:noProof/>
        </w:rPr>
        <w:t xml:space="preserve"> Põhitulemused on järgmised (lisateavet leiate mõjuhinnangule lisatud komisjoni talituste töödokumendist).</w:t>
      </w:r>
    </w:p>
    <w:p w:rsidR="00F4358D" w:rsidRDefault="00D1585A">
      <w:pPr>
        <w:pStyle w:val="Bullet0"/>
        <w:rPr>
          <w:noProof/>
        </w:rPr>
      </w:pPr>
      <w:r>
        <w:rPr>
          <w:b/>
          <w:noProof/>
        </w:rPr>
        <w:t xml:space="preserve">Asjakohasus: </w:t>
      </w:r>
      <w:r>
        <w:rPr>
          <w:noProof/>
        </w:rPr>
        <w:t>tehnika arengu ja muutuvate ohtude kontekstis ning võttes arvesse märkimisväärset vajadust suurema küberturvalisuse järele ELis, osutusi</w:t>
      </w:r>
      <w:r>
        <w:rPr>
          <w:noProof/>
        </w:rPr>
        <w:t>d ENISA eesmärgid asjakohaseks. Liikmesriigid ja ELi asutused tuginevad selle märkimisväärsetele oskusteadmistele küberturvalisuse küsimustes. Tuleb suurendada liikmesriikide suutlikkust mõista paremini ohte ja neile reageerida ning sidusrühmad peavad tege</w:t>
      </w:r>
      <w:r>
        <w:rPr>
          <w:noProof/>
        </w:rPr>
        <w:t>ma koostööd temaatiliste valdkondade ja institutsioonide üleselt. Küberturvalisus on jätkuvalt ELi peamine poliitiline prioriteet, millega ENISA peab eeldatavasti tegelema, kuid kuna ENISA on tähtajalise mandaadiga ELi amet: i) ei saa ta teha pikaajalisi p</w:t>
      </w:r>
      <w:r>
        <w:rPr>
          <w:noProof/>
        </w:rPr>
        <w:t>laane ega toetada jätkusuutlikult liikmesriike ja ELi institutsioone; ii) võib tekkida õiguslik vaakum, sest võrgu- ja infoturbe direktiivi sätted, millega pandi ENISA-le tema ülesanded, on oma olemuselt alalised</w:t>
      </w:r>
      <w:r>
        <w:rPr>
          <w:rStyle w:val="FootnoteReference"/>
          <w:noProof/>
        </w:rPr>
        <w:footnoteReference w:id="25"/>
      </w:r>
      <w:r>
        <w:rPr>
          <w:noProof/>
        </w:rPr>
        <w:t>; iii) puudub sidusus arusaamaga, mille koh</w:t>
      </w:r>
      <w:r>
        <w:rPr>
          <w:noProof/>
        </w:rPr>
        <w:t>aselt seostatakse ENISAt ELi parema küberturvalisuse keskkonnaga.</w:t>
      </w:r>
    </w:p>
    <w:p w:rsidR="00F4358D" w:rsidRDefault="00D1585A">
      <w:pPr>
        <w:pStyle w:val="Bullet0"/>
        <w:rPr>
          <w:noProof/>
        </w:rPr>
      </w:pPr>
      <w:r>
        <w:rPr>
          <w:b/>
          <w:noProof/>
        </w:rPr>
        <w:t>Tulemuslikkus:</w:t>
      </w:r>
      <w:r>
        <w:rPr>
          <w:noProof/>
        </w:rPr>
        <w:t xml:space="preserve"> ENISA on kokkuvõttes saavutanud oma eesmärgid ja täitnud oma ülesanded. Ta panustas oma põhitegevuse kaudu (suutlikkuse arendamine, oskusteadmiste pakkumine, kogukonna loomine</w:t>
      </w:r>
      <w:r>
        <w:rPr>
          <w:noProof/>
        </w:rPr>
        <w:t xml:space="preserve"> ja poliitika toetamine) suuremasse võrgu- ja infoturbesse Euroopas. Saamas oleks selle tegevust saanud kõigis neis valdkondades parandada. Hindamise käigus jõuti järeldusele, et ENISA on tulemuslikult loonud tugevad ja usaldusväärsed suhted teatavate sidu</w:t>
      </w:r>
      <w:r>
        <w:rPr>
          <w:noProof/>
        </w:rPr>
        <w:t>srühmadega, eelkõige liikmesriikide ja CSIRTide kogukonnaga. Suutlikkuse arendamise valdkonnas tehtud sekkumisi peeti tulemuslikuks eelkõige vähemate ressurssidega liikmesriikide puhul. Ulatusliku koostöö edendamine on olnud üks peamistest saavutustest nin</w:t>
      </w:r>
      <w:r>
        <w:rPr>
          <w:noProof/>
        </w:rPr>
        <w:t xml:space="preserve">g enamik sidusrühmadest on nõus, et ENISA-l on olnud inimeste kokku toomisel positiivne roll. Samas oli ENISA-l keerukas avaldada suurt mõju võrgu- ja infoturbe väga ulatuslikus valdkonnas. See oli ka põhjustatud asjaolust, et tal olid oma väga ulatusliku </w:t>
      </w:r>
      <w:r>
        <w:rPr>
          <w:noProof/>
        </w:rPr>
        <w:t>mandaadi täitmiseks suhteliselt piiratud inimressursid ja rahalised vahendid. Hindamise käigus jõuti ka järeldusele, et ENISA täitis oskusteabe pakkumise eesmärgi osaliselt, kuna tal oli probleeme ekspertide värbamisega (mida on käsitletud ka tõhususe jaot</w:t>
      </w:r>
      <w:r>
        <w:rPr>
          <w:noProof/>
        </w:rPr>
        <w:t>ises allpool).</w:t>
      </w:r>
    </w:p>
    <w:p w:rsidR="00F4358D" w:rsidRDefault="00D1585A">
      <w:pPr>
        <w:pStyle w:val="Bullet0"/>
        <w:rPr>
          <w:noProof/>
        </w:rPr>
      </w:pPr>
      <w:r>
        <w:rPr>
          <w:b/>
          <w:noProof/>
        </w:rPr>
        <w:t>Tõhusus:</w:t>
      </w:r>
      <w:r>
        <w:rPr>
          <w:noProof/>
        </w:rPr>
        <w:t xml:space="preserve"> ENISA on hoolimata oma piiratud eelarvest, mis on teiste ELi ametitega võrreldes üks väiksemaid, suutnud aidata kaasa sihtotstarbeliste eesmärkide saavutamisele, kasutades oma ressursse kokkuvõttes tõhusalt. Hindamise tulemusena jär</w:t>
      </w:r>
      <w:r>
        <w:rPr>
          <w:noProof/>
        </w:rPr>
        <w:t xml:space="preserve">eldati, et protsessid olid üldiselt tõhusad ning selge vastutusvaldkondade jaotus ameti piires võimaldas töö hästi ellu viia. Üks ameti peamistest probleemidest tõhususe valdkonnas seisneb selles, et ENISA-l on probleeme kõrgetasemelise kvalifikatsiooniga </w:t>
      </w:r>
      <w:r>
        <w:rPr>
          <w:noProof/>
        </w:rPr>
        <w:t>ekspertide värbamisel ja tööl hoidmisel. Tulemuste kohaselt seisneb selle põhjus mitme teguri koosmõjus, sealhulgas avaliku sektori üldised probleemid erasektoriga konkureerimisel, kui proovitakse värvata väga suure erialase pädevusega eksperte, ameti paku</w:t>
      </w:r>
      <w:r>
        <w:rPr>
          <w:noProof/>
        </w:rPr>
        <w:t xml:space="preserve">tavate lepingute liik (tähtajaline leping) ning ENISA asukoha suhteliselt väikse atraktiivsus, näiteks abikaasadel töö leidmisel tekkivate probleemide tõttu. Samal ajal Ateenas ja Irákleios tegutsemise tõttu oli vaja täiendavat koordineerimist ja tekkisid </w:t>
      </w:r>
      <w:r>
        <w:rPr>
          <w:noProof/>
        </w:rPr>
        <w:t>lisakulud, aga ameti põhitegevuse osakonna 2013. aastal Ateenasse viimine suurendas ameti tegevuslikku tõhusust.</w:t>
      </w:r>
    </w:p>
    <w:p w:rsidR="00F4358D" w:rsidRDefault="00D1585A">
      <w:pPr>
        <w:pStyle w:val="Bullet0"/>
        <w:rPr>
          <w:noProof/>
        </w:rPr>
      </w:pPr>
      <w:r>
        <w:rPr>
          <w:b/>
          <w:noProof/>
        </w:rPr>
        <w:t>Sidusus:</w:t>
      </w:r>
      <w:r>
        <w:rPr>
          <w:noProof/>
        </w:rPr>
        <w:t xml:space="preserve"> ENISA tegevus on olnud üldjoontes kooskõlas selle sidusrühmade põhimõtete ja tegevusega riiklikul ja ELi tasandil, aga vajatakse parem</w:t>
      </w:r>
      <w:r>
        <w:rPr>
          <w:noProof/>
        </w:rPr>
        <w:t>ini koordineeritud küberturvalisuse lähenemisviisi ELi tasandil. ENISA ja teiste ELi asutuste vahelise koostöö potentsiaali ei ole täielikult kasutatud. ELi õigus- ja poliitilise keskkonna muutumise tõttu ei ole kehtiv mandaat enam sidus.</w:t>
      </w:r>
    </w:p>
    <w:p w:rsidR="00F4358D" w:rsidRDefault="00D1585A">
      <w:pPr>
        <w:pStyle w:val="Bullet0"/>
        <w:rPr>
          <w:noProof/>
        </w:rPr>
      </w:pPr>
      <w:r>
        <w:rPr>
          <w:b/>
          <w:noProof/>
        </w:rPr>
        <w:t>ELi lisaväärtus</w:t>
      </w:r>
      <w:r>
        <w:rPr>
          <w:noProof/>
        </w:rPr>
        <w:t xml:space="preserve">: </w:t>
      </w:r>
      <w:r>
        <w:rPr>
          <w:noProof/>
        </w:rPr>
        <w:t>ENISA lisaväärtus seisneb peamiselt ameti võimes tõhustada koostööd, eelkõige liikmesriikide vahel, aga ka asjaomaste võrgu- ja infoturbe kogukondadega. ELi tasandil ei ole ühtegi teist osalejat, kes toetaks kõnealuste võrgu- ja infoturbe sidusrühmade koos</w:t>
      </w:r>
      <w:r>
        <w:rPr>
          <w:noProof/>
        </w:rPr>
        <w:t>tööd. Ametist saadav lisaväärtus erines olenevalt selle sidusrühmade erinevatest ressurssidest ja vajadustest (näiteks suured liikmesriigid võrreldes väikeste liikmesriikidega, liikmesriigid võrreldes tööstusvaldkonnaga) ning ameti vajadusest tähtsustada o</w:t>
      </w:r>
      <w:r>
        <w:rPr>
          <w:noProof/>
        </w:rPr>
        <w:t>ma tegevust tööprogrammi alusel. Hindamise tulemusena jõuti järeldusele, et ENISA tegevuse võimalik lõpetamine oleks kaotatud võimalus kõigi liikmesriikide jaoks. Küberturvalisuse valdkonnas ei oleks võimalik tagada samal määral kogukonna loomist ja koostö</w:t>
      </w:r>
      <w:r>
        <w:rPr>
          <w:noProof/>
        </w:rPr>
        <w:t>öd liikmesriikide vahel. Ilma kesksema ELi ametita oleks olukord rohkem killustatud ning ENISA jäetud tühimikku hakkaks täitma kahepoolne või piirkondlik koostöö.</w:t>
      </w:r>
    </w:p>
    <w:p w:rsidR="00F4358D" w:rsidRDefault="00D1585A">
      <w:pPr>
        <w:rPr>
          <w:noProof/>
          <w:szCs w:val="24"/>
        </w:rPr>
      </w:pPr>
      <w:r>
        <w:rPr>
          <w:noProof/>
        </w:rPr>
        <w:t>Võttes konkreetselt arvesse ENISA varasemaid tulemusi ja tulevikku, on 2017. aasta konsultats</w:t>
      </w:r>
      <w:r>
        <w:rPr>
          <w:noProof/>
        </w:rPr>
        <w:t>ioonist ilmnevad peamised suundumused järgmised</w:t>
      </w:r>
      <w:r>
        <w:rPr>
          <w:rStyle w:val="FootnoteReference"/>
          <w:noProof/>
        </w:rPr>
        <w:footnoteReference w:id="26"/>
      </w:r>
      <w:r>
        <w:rPr>
          <w:noProof/>
        </w:rPr>
        <w:t>.</w:t>
      </w:r>
    </w:p>
    <w:p w:rsidR="00F4358D" w:rsidRDefault="00D1585A">
      <w:pPr>
        <w:pStyle w:val="Bullet0"/>
        <w:rPr>
          <w:noProof/>
        </w:rPr>
      </w:pPr>
      <w:r>
        <w:rPr>
          <w:noProof/>
        </w:rPr>
        <w:t>Enamik vastanutest (74 %) hindas ENISA üldist tulemuslikkust ajavahemikus 2013–2016 positiivselt. Enamik vastanutest oli ka seisukohal, et ENISA saavutab oma erinevaid eesmärke (vähemalt 63 % iga eesmärgi p</w:t>
      </w:r>
      <w:r>
        <w:rPr>
          <w:noProof/>
        </w:rPr>
        <w:t>uhul). ENISA teenuseid ja tooteid kasutavad korrapäraselt (kord kuus või sagedamini) peaaegu pooled vastanutest (46 %) ning neid hinnatakse seetõttu, et neid pakub ELi tasandi asutus (83 %) ja need on kvaliteetsed (62 %).</w:t>
      </w:r>
    </w:p>
    <w:p w:rsidR="00F4358D" w:rsidRDefault="00D1585A">
      <w:pPr>
        <w:pStyle w:val="Bullet0"/>
        <w:rPr>
          <w:noProof/>
        </w:rPr>
      </w:pPr>
      <w:r>
        <w:rPr>
          <w:noProof/>
        </w:rPr>
        <w:t>Vastanud nimetasid ELi küberturval</w:t>
      </w:r>
      <w:r>
        <w:rPr>
          <w:noProof/>
        </w:rPr>
        <w:t>isuse tuleviku mitut lünka ja probleemi, millest peamised (16 lüngast ja probleemist koosnevast nimekirjast) olid: liikmesriikide koostöö, võime ära hoida, avastada ja lahendada suuremahulisi küberründeid; liikmesriikide koostöö küberturvalisusega seotud k</w:t>
      </w:r>
      <w:r>
        <w:rPr>
          <w:noProof/>
        </w:rPr>
        <w:t>üsimustes; koostöö ja teabe jagamine erinevate sidusrühmade vahel, sealhulgas avaliku ja erasektori koostöö; elutähtsa taristu kaitse küberrünnete eest.</w:t>
      </w:r>
    </w:p>
    <w:p w:rsidR="00F4358D" w:rsidRDefault="00D1585A">
      <w:pPr>
        <w:pStyle w:val="Bullet0"/>
        <w:rPr>
          <w:noProof/>
        </w:rPr>
      </w:pPr>
      <w:r>
        <w:rPr>
          <w:noProof/>
        </w:rPr>
        <w:t xml:space="preserve">Valdav enamik vastanutest (88 %) oli seisukohal, et ELi tasandil praegu saadaval olevad vahendid ja </w:t>
      </w:r>
      <w:r>
        <w:rPr>
          <w:noProof/>
        </w:rPr>
        <w:t>mehhanismid ei ole piisavad nende küsimustega tegelemiseks või sobivad selleks ainult osaliselt. Valdav enamik vastanutest (98 %) märkis, et nende küsimustega peaks tegelema ELi asutus, ning 99 % neist pidas ENISAt selle jaoks õigeks organisatsiooniks.</w:t>
      </w:r>
    </w:p>
    <w:p w:rsidR="00F4358D" w:rsidRDefault="00F4358D">
      <w:pPr>
        <w:rPr>
          <w:noProof/>
        </w:rPr>
      </w:pPr>
    </w:p>
    <w:p w:rsidR="00F4358D" w:rsidRDefault="00D1585A">
      <w:pPr>
        <w:pStyle w:val="ManualHeading2"/>
        <w:rPr>
          <w:rFonts w:eastAsia="Arial Unicode MS"/>
          <w:noProof/>
          <w:u w:color="000000"/>
          <w:bdr w:val="nil"/>
        </w:rPr>
      </w:pPr>
      <w:r>
        <w:rPr>
          <w:noProof/>
        </w:rPr>
        <w:tab/>
      </w:r>
      <w:bookmarkStart w:id="12" w:name="_Toc492216455"/>
      <w:r>
        <w:rPr>
          <w:noProof/>
        </w:rPr>
        <w:t>K</w:t>
      </w:r>
      <w:r>
        <w:rPr>
          <w:noProof/>
        </w:rPr>
        <w:t>onsulteerimine sidusrühmadega</w:t>
      </w:r>
      <w:bookmarkEnd w:id="12"/>
    </w:p>
    <w:p w:rsidR="00F4358D" w:rsidRDefault="00D1585A">
      <w:pPr>
        <w:pStyle w:val="Bullet0"/>
        <w:rPr>
          <w:noProof/>
        </w:rPr>
      </w:pPr>
      <w:r>
        <w:rPr>
          <w:noProof/>
        </w:rPr>
        <w:t>Komisjon korraldas ENISA läbivaatamiseks 12. aprillist 5. juulini 2016 avaliku konsultatsiooni, millele laekus 421 vastust</w:t>
      </w:r>
      <w:r>
        <w:rPr>
          <w:rStyle w:val="FootnoteReference"/>
          <w:noProof/>
        </w:rPr>
        <w:footnoteReference w:id="27"/>
      </w:r>
      <w:r>
        <w:rPr>
          <w:noProof/>
        </w:rPr>
        <w:t>. Tulemuste kohaselt oli 67,5 % vastanutest seisukohal, et ENISA võiks aidata luua IT toodete ja teenus</w:t>
      </w:r>
      <w:r>
        <w:rPr>
          <w:noProof/>
        </w:rPr>
        <w:t>te turvalisuse sertifitseerimise ühtlustatud raamistikku.</w:t>
      </w:r>
    </w:p>
    <w:p w:rsidR="00F4358D" w:rsidRDefault="00D1585A">
      <w:pPr>
        <w:spacing w:line="270" w:lineRule="atLeast"/>
        <w:rPr>
          <w:noProof/>
          <w:szCs w:val="24"/>
        </w:rPr>
      </w:pPr>
      <w:r>
        <w:rPr>
          <w:noProof/>
        </w:rPr>
        <w:t>Küberturvalisuse alast lepingulist avaliku ja erasektori partnerlust käsitleva 2016. aasta avaliku konsultatsiooni</w:t>
      </w:r>
      <w:r>
        <w:rPr>
          <w:rStyle w:val="FootnoteReference"/>
          <w:noProof/>
        </w:rPr>
        <w:footnoteReference w:id="28"/>
      </w:r>
      <w:r>
        <w:rPr>
          <w:noProof/>
        </w:rPr>
        <w:t xml:space="preserve"> sertifitseerimist käsitleva osa tulemused näitavad järgmist.</w:t>
      </w:r>
    </w:p>
    <w:p w:rsidR="00F4358D" w:rsidRDefault="00D1585A">
      <w:pPr>
        <w:pStyle w:val="Bullet0"/>
        <w:rPr>
          <w:noProof/>
        </w:rPr>
      </w:pPr>
      <w:r>
        <w:rPr>
          <w:noProof/>
        </w:rPr>
        <w:t>50,4 % vastanutest (1</w:t>
      </w:r>
      <w:r>
        <w:rPr>
          <w:noProof/>
        </w:rPr>
        <w:t>21 vastanut 240st) ei tea, kas riiklikke sertifitseerimiskavasid tunnustatakse vastastikku ELi liikmesriikides. 25,8 % (62 vastanut 240st) vastas „Ei“ ja 23,8 % (57 vastanut 240st) vastas „Jah“.</w:t>
      </w:r>
    </w:p>
    <w:p w:rsidR="00F4358D" w:rsidRDefault="00D1585A">
      <w:pPr>
        <w:pStyle w:val="Bullet0"/>
        <w:rPr>
          <w:noProof/>
        </w:rPr>
      </w:pPr>
      <w:r>
        <w:rPr>
          <w:noProof/>
        </w:rPr>
        <w:t>37,9 % vastanutest (91 vastanut 240st) arvab, et olemasolevad</w:t>
      </w:r>
      <w:r>
        <w:rPr>
          <w:noProof/>
        </w:rPr>
        <w:t xml:space="preserve"> sertifitseerimiskavad ei toeta Euroopa tööstuse vajadusi. Teisest küljest 17,5 % (42 vastanut 240st, kes olid peamiselt Euroopa turul tegutsevad ülemaailmsed ettevõtjad) olid vastupidisel seisukohal.</w:t>
      </w:r>
    </w:p>
    <w:p w:rsidR="00F4358D" w:rsidRDefault="00D1585A">
      <w:pPr>
        <w:pStyle w:val="Bullet0"/>
        <w:rPr>
          <w:noProof/>
        </w:rPr>
      </w:pPr>
      <w:r>
        <w:rPr>
          <w:noProof/>
        </w:rPr>
        <w:t xml:space="preserve">49,6 % vastanutest (119 vastanut 240st) oli arvamusel, </w:t>
      </w:r>
      <w:r>
        <w:rPr>
          <w:noProof/>
        </w:rPr>
        <w:t>et ei ole lihtne tõendada standardite, sertifitseerimiskavade ja märgiste samaväärsust. 37,9 % (91 vastanut 240st) vastas „Ei oska öelda“ ja 12,5 % (30 vastanut 240st) vastas „Jah“.</w:t>
      </w:r>
    </w:p>
    <w:p w:rsidR="00F4358D" w:rsidRDefault="00F4358D">
      <w:pPr>
        <w:rPr>
          <w:noProof/>
        </w:rPr>
      </w:pPr>
    </w:p>
    <w:p w:rsidR="00F4358D" w:rsidRDefault="00D1585A">
      <w:pPr>
        <w:pStyle w:val="ManualHeading2"/>
        <w:rPr>
          <w:rFonts w:eastAsia="Arial Unicode MS"/>
          <w:noProof/>
          <w:u w:color="000000"/>
          <w:bdr w:val="nil"/>
        </w:rPr>
      </w:pPr>
      <w:bookmarkStart w:id="13" w:name="_Toc492216456"/>
      <w:r>
        <w:rPr>
          <w:noProof/>
        </w:rPr>
        <w:t>Eksperdiarvamuste kogumine ja kasutamine</w:t>
      </w:r>
      <w:bookmarkEnd w:id="13"/>
    </w:p>
    <w:p w:rsidR="00F4358D" w:rsidRDefault="00D1585A">
      <w:pPr>
        <w:rPr>
          <w:noProof/>
        </w:rPr>
      </w:pPr>
      <w:r>
        <w:rPr>
          <w:noProof/>
        </w:rPr>
        <w:t xml:space="preserve">Komisjon tugines järgmisele </w:t>
      </w:r>
      <w:r>
        <w:rPr>
          <w:noProof/>
        </w:rPr>
        <w:t>asutusevälisele eksperdiabile.</w:t>
      </w:r>
    </w:p>
    <w:p w:rsidR="00F4358D" w:rsidRDefault="00D1585A">
      <w:pPr>
        <w:pStyle w:val="Bullet0"/>
        <w:rPr>
          <w:noProof/>
        </w:rPr>
      </w:pPr>
      <w:r>
        <w:rPr>
          <w:noProof/>
        </w:rPr>
        <w:t>Study on the Evaluation of ENISA (ENISA hindamist käsitlev uuring) (Ramboll/Carsa 2017; SMART 2016/0077);</w:t>
      </w:r>
    </w:p>
    <w:p w:rsidR="00F4358D" w:rsidRDefault="00D1585A">
      <w:pPr>
        <w:pStyle w:val="Bullet0"/>
        <w:rPr>
          <w:noProof/>
        </w:rPr>
      </w:pPr>
      <w:r>
        <w:rPr>
          <w:noProof/>
        </w:rPr>
        <w:t>Study on ICT Security Certification and Labelling – Evidence gathering and impact assessment (IKT turvalisuse sertifits</w:t>
      </w:r>
      <w:r>
        <w:rPr>
          <w:noProof/>
        </w:rPr>
        <w:t>eerimist ja märgistamist käsitlev uuring – tõendite kogumine ja mõjuhinnang) (PriceWaterhouseCoopers 2017; SMART 2016/0029).</w:t>
      </w:r>
    </w:p>
    <w:p w:rsidR="00F4358D" w:rsidRDefault="00F4358D">
      <w:pPr>
        <w:rPr>
          <w:noProof/>
        </w:rPr>
      </w:pPr>
    </w:p>
    <w:p w:rsidR="00F4358D" w:rsidRDefault="00D1585A">
      <w:pPr>
        <w:pStyle w:val="ManualHeading2"/>
        <w:rPr>
          <w:rFonts w:eastAsia="Arial Unicode MS"/>
          <w:noProof/>
          <w:u w:color="000000"/>
          <w:bdr w:val="nil"/>
        </w:rPr>
      </w:pPr>
      <w:bookmarkStart w:id="14" w:name="_Toc492216457"/>
      <w:r>
        <w:rPr>
          <w:noProof/>
        </w:rPr>
        <w:t>Mõjuhinnang</w:t>
      </w:r>
      <w:bookmarkEnd w:id="14"/>
    </w:p>
    <w:p w:rsidR="00F4358D" w:rsidRDefault="00D1585A">
      <w:pPr>
        <w:pStyle w:val="Bullet0"/>
        <w:rPr>
          <w:noProof/>
        </w:rPr>
      </w:pPr>
      <w:r>
        <w:rPr>
          <w:noProof/>
        </w:rPr>
        <w:t>Käesoleva algatuse mõjuhinnangus määrati kindlaks järgmised peamised probleemid, mis tuleb lahendada:</w:t>
      </w:r>
    </w:p>
    <w:p w:rsidR="00F4358D" w:rsidRDefault="00D1585A">
      <w:pPr>
        <w:pStyle w:val="Bullet0"/>
        <w:rPr>
          <w:noProof/>
        </w:rPr>
      </w:pPr>
      <w:r>
        <w:rPr>
          <w:noProof/>
        </w:rPr>
        <w:t>liikmesriikide k</w:t>
      </w:r>
      <w:r>
        <w:rPr>
          <w:noProof/>
        </w:rPr>
        <w:t>illustatud tegevuspõhimõtted ja lähenemisviisid küberturvalisuse valdkonnas,</w:t>
      </w:r>
    </w:p>
    <w:p w:rsidR="00F4358D" w:rsidRDefault="00D1585A">
      <w:pPr>
        <w:pStyle w:val="Bullet0"/>
        <w:rPr>
          <w:noProof/>
        </w:rPr>
      </w:pPr>
      <w:r>
        <w:rPr>
          <w:noProof/>
        </w:rPr>
        <w:t>ELi institutsioonide, organite ja asutuste poolt küberturvalisuse jaoks eraldatavate ressursside hajusus ja kasutatavate lähenemisviiside killustatus ning</w:t>
      </w:r>
    </w:p>
    <w:p w:rsidR="00F4358D" w:rsidRDefault="00D1585A">
      <w:pPr>
        <w:pStyle w:val="Bullet0"/>
        <w:rPr>
          <w:noProof/>
        </w:rPr>
      </w:pPr>
      <w:r>
        <w:rPr>
          <w:noProof/>
        </w:rPr>
        <w:t xml:space="preserve">kodanike ja ettevõtjate </w:t>
      </w:r>
      <w:r>
        <w:rPr>
          <w:noProof/>
        </w:rPr>
        <w:t>ebapiisav teadlikkus ja teave, samal ajal kui võetakse kasutusele mitmeid riiklikke ja valdkondlikke sertifitseerimiskavasid.</w:t>
      </w:r>
    </w:p>
    <w:p w:rsidR="00F4358D" w:rsidRDefault="00D1585A">
      <w:pPr>
        <w:spacing w:line="270" w:lineRule="atLeast"/>
        <w:rPr>
          <w:noProof/>
          <w:szCs w:val="24"/>
        </w:rPr>
      </w:pPr>
      <w:r>
        <w:rPr>
          <w:noProof/>
        </w:rPr>
        <w:t>Mõjuhinnangus analüüsiti ENISA mandaadi puhul järgmisi võimalikke variante:</w:t>
      </w:r>
    </w:p>
    <w:p w:rsidR="00F4358D" w:rsidRDefault="00D1585A">
      <w:pPr>
        <w:pStyle w:val="Bullet0"/>
        <w:rPr>
          <w:noProof/>
        </w:rPr>
      </w:pPr>
      <w:r>
        <w:rPr>
          <w:noProof/>
        </w:rPr>
        <w:t>praeguse olukorra säilitamine, mille puhul pikendataks</w:t>
      </w:r>
      <w:r>
        <w:rPr>
          <w:noProof/>
        </w:rPr>
        <w:t>e mandaati, aga jäetakse see tähtajaliseks (lähtestsenaariumi variant);</w:t>
      </w:r>
    </w:p>
    <w:p w:rsidR="00F4358D" w:rsidRDefault="00D1585A">
      <w:pPr>
        <w:pStyle w:val="Bullet0"/>
        <w:rPr>
          <w:noProof/>
        </w:rPr>
      </w:pPr>
      <w:r>
        <w:rPr>
          <w:noProof/>
        </w:rPr>
        <w:t>ENISA kehtiva mandaadi aegumine ilma seda uuendamata ja ENISA tegevuse lõpetamine (poliitilisi meetmeid ei võeta);</w:t>
      </w:r>
    </w:p>
    <w:p w:rsidR="00F4358D" w:rsidRDefault="00D1585A">
      <w:pPr>
        <w:pStyle w:val="Bullet0"/>
        <w:rPr>
          <w:noProof/>
        </w:rPr>
      </w:pPr>
      <w:r>
        <w:rPr>
          <w:noProof/>
        </w:rPr>
        <w:t>reformitud ENISA ning</w:t>
      </w:r>
    </w:p>
    <w:p w:rsidR="00F4358D" w:rsidRDefault="00D1585A">
      <w:pPr>
        <w:pStyle w:val="Bullet0"/>
        <w:rPr>
          <w:noProof/>
        </w:rPr>
      </w:pPr>
      <w:r>
        <w:rPr>
          <w:noProof/>
        </w:rPr>
        <w:t>täieliku tegevusvõimega ELi küberturvalisuse am</w:t>
      </w:r>
      <w:r>
        <w:rPr>
          <w:noProof/>
        </w:rPr>
        <w:t>et.</w:t>
      </w:r>
    </w:p>
    <w:p w:rsidR="00F4358D" w:rsidRDefault="00D1585A">
      <w:pPr>
        <w:rPr>
          <w:noProof/>
        </w:rPr>
      </w:pPr>
      <w:r>
        <w:rPr>
          <w:noProof/>
        </w:rPr>
        <w:t>Mõjuhinnangus analüüsiti küberturvalisuse sertifitseerimise puhul järgmisi võimalikke variante:</w:t>
      </w:r>
    </w:p>
    <w:p w:rsidR="00F4358D" w:rsidRDefault="00D1585A">
      <w:pPr>
        <w:pStyle w:val="Bullet0"/>
        <w:rPr>
          <w:noProof/>
        </w:rPr>
      </w:pPr>
      <w:r>
        <w:rPr>
          <w:noProof/>
        </w:rPr>
        <w:t>poliitilisi meetmeid ei võeta (lähtestsenaarium);</w:t>
      </w:r>
    </w:p>
    <w:p w:rsidR="00F4358D" w:rsidRDefault="00D1585A">
      <w:pPr>
        <w:pStyle w:val="Bullet0"/>
        <w:rPr>
          <w:noProof/>
        </w:rPr>
      </w:pPr>
      <w:r>
        <w:rPr>
          <w:noProof/>
        </w:rPr>
        <w:t>muud kui seadusandlikud (pehme õiguse) meetmed;</w:t>
      </w:r>
    </w:p>
    <w:p w:rsidR="00F4358D" w:rsidRDefault="00D1585A">
      <w:pPr>
        <w:pStyle w:val="Bullet0"/>
        <w:rPr>
          <w:noProof/>
        </w:rPr>
      </w:pPr>
      <w:r>
        <w:rPr>
          <w:noProof/>
        </w:rPr>
        <w:t>ELi õigusakt, millega luuakse SOG-ISi süsteemi alusel kõik</w:t>
      </w:r>
      <w:r>
        <w:rPr>
          <w:noProof/>
        </w:rPr>
        <w:t>ide liikmesriikide jaoks kohustuslik süsteem, ning</w:t>
      </w:r>
    </w:p>
    <w:p w:rsidR="00F4358D" w:rsidRDefault="00D1585A">
      <w:pPr>
        <w:pStyle w:val="Bullet0"/>
        <w:rPr>
          <w:noProof/>
        </w:rPr>
      </w:pPr>
      <w:r>
        <w:rPr>
          <w:noProof/>
        </w:rPr>
        <w:t>ELi üldine IKT küberturvalisuse sertifitseerimise raamistik.</w:t>
      </w:r>
    </w:p>
    <w:p w:rsidR="00F4358D" w:rsidRDefault="00D1585A">
      <w:pPr>
        <w:rPr>
          <w:noProof/>
        </w:rPr>
      </w:pPr>
      <w:r>
        <w:rPr>
          <w:noProof/>
        </w:rPr>
        <w:t>Analüüsi tulemusena järeldati, et eelistatud variant on reformitud ENISA koos ELi üldise IKT küberturvalisuse sertifitseerimise raamistikuga.</w:t>
      </w:r>
    </w:p>
    <w:p w:rsidR="00F4358D" w:rsidRDefault="00D1585A">
      <w:pPr>
        <w:rPr>
          <w:noProof/>
        </w:rPr>
      </w:pPr>
      <w:r>
        <w:rPr>
          <w:noProof/>
        </w:rPr>
        <w:t>Eelistatud varianti peeti ELi jaoks kõige tõhusamaks, et saavutada järgmised kindlaks määratud eesmärgid: küberturvalisuse suutlikkuse, valmisoleku, koostöö, teadlikkuse ja läbipaistvuse suurendamine ning turu killustatuse vältimine. Seda peeti ka kõige si</w:t>
      </w:r>
      <w:r>
        <w:rPr>
          <w:noProof/>
        </w:rPr>
        <w:t>dusamaks Euroopa Liidu küberjulgeoleku strateegia ja sellega seotud poliitikameetmete (näiteks võrgu- ja infoturbe direktiiv) ning digitaalse ühtse turu strateegia poliitiliste prioriteetidega. Lisaks sellele ilmnes konsultatsiooniprotsessi käigus, et eeli</w:t>
      </w:r>
      <w:r>
        <w:rPr>
          <w:noProof/>
        </w:rPr>
        <w:t>statud varianti toetab enamik sidusrühmadest. Mõjuhinnangu käigus tehtud analüüs näitas ka seda, et eelistatud variandi puhul saaks eesmärgid saavutada, kasutades selleks mõistlikus koguses ressursse.</w:t>
      </w:r>
    </w:p>
    <w:p w:rsidR="00F4358D" w:rsidRDefault="00D1585A">
      <w:pPr>
        <w:spacing w:line="270" w:lineRule="atLeast"/>
        <w:rPr>
          <w:noProof/>
          <w:szCs w:val="24"/>
        </w:rPr>
      </w:pPr>
      <w:r>
        <w:rPr>
          <w:noProof/>
        </w:rPr>
        <w:t>Komisjoni õiguskontrollikomitee esitas esialgu 24. juul</w:t>
      </w:r>
      <w:r>
        <w:rPr>
          <w:noProof/>
        </w:rPr>
        <w:t>il negatiivse arvamuse ja 25. augustil 2017 pärast mõjuhinnangu uuesti esitamist positiivse arvamuse. Muudetud mõjuhinnang sisaldas lisatõendusmaterjali, ENISA hindamise lõplikke järeldusi ning poliitikavariantide ja nende mõju täiendavaid selgitusi. Lõpli</w:t>
      </w:r>
      <w:r>
        <w:rPr>
          <w:noProof/>
        </w:rPr>
        <w:t xml:space="preserve">ku mõjuhinnangu 1. lisas esitatakse kokkuvõte selle kohta, kuidas on võetud arvesse komitee teises arvamuses esitatud märkusi. Eelkõige ajakohastati mõjuhinnangut, et kirjeldada üksikasjalikumalt ELi küberturvalisuse konteksti, sealhulgas meetmeid, mis on </w:t>
      </w:r>
      <w:r>
        <w:rPr>
          <w:noProof/>
        </w:rPr>
        <w:t xml:space="preserve">lisatud ühisteatisesse „Vastupidavusvõime, heidutus ja kaitse – tugeva küberturvalisuse tagamine ELis“ (JOIN(2017) 450) ning mis omavad ENISA jaoks erilist tähtsust: ELi küberturvalisuse tegevuskava ning Euroopa küberturvalisuse uurimis- ja pädevuskeskus, </w:t>
      </w:r>
      <w:r>
        <w:rPr>
          <w:noProof/>
        </w:rPr>
        <w:t>millega amet oleks seotud ELi teadusuuringute vajaduste kohta antavate nõuannete puhul.</w:t>
      </w:r>
    </w:p>
    <w:p w:rsidR="00F4358D" w:rsidRDefault="00D1585A">
      <w:pPr>
        <w:spacing w:line="270" w:lineRule="atLeast"/>
        <w:rPr>
          <w:noProof/>
          <w:szCs w:val="24"/>
        </w:rPr>
      </w:pPr>
      <w:r>
        <w:rPr>
          <w:noProof/>
        </w:rPr>
        <w:t>Mõjuhinnangus selgitatakse, kuidas ameti reformimine, sealhulgas uued ülesanded, paremad tööhõive tingimused ja struktuurne koostöö ELi sama valdkonna asutustega, paran</w:t>
      </w:r>
      <w:r>
        <w:rPr>
          <w:noProof/>
        </w:rPr>
        <w:t>daks ameti atraktiivsust tööandjana ning aitaks tegeleda ekspertide värbamisel tekkivate probleemiga. Mõjuhinnangu 6. lisas esitatakse ka ENISA poliitikavariantidest tekkivate kulude läbivaadatud prognoos. Sertifitseerimise puhul on mõjuhinnangut muudetud,</w:t>
      </w:r>
      <w:r>
        <w:rPr>
          <w:noProof/>
        </w:rPr>
        <w:t xml:space="preserve"> et selgitada eelistatud varianti üksikasjalikumalt, sealhulgas graafiliselt, ning esitada liikmesriikidele ja komisjonile uuest sertifitseerimisraamistikust tekkivate kulude prognoos. On põhjalikumalt selgitatud mõttekäiku, mille alusel valiti ENISA selle</w:t>
      </w:r>
      <w:r>
        <w:rPr>
          <w:noProof/>
        </w:rPr>
        <w:t xml:space="preserve"> raamistiku võtmetähtsusega osalejaks, lähtuvalt ameti eksperditeadmistest selles valdkonnas ning asjaolust, et see on ainus küberturvalisusega tegelev ELi tasandi asutus. Sertifitseerimist käsitlevad jaotised vaadati läbi, et selgitada erinevusi praeguse </w:t>
      </w:r>
      <w:r>
        <w:rPr>
          <w:noProof/>
        </w:rPr>
        <w:t>SOG-ISi süsteemiga, erinevatest poliitikavariantidest saadavat kasu ning et Euroopa sertifitseerimiskavaga hõlmatud IKT toote või teenuse liik määratakse kindlaks heaks kiidetud kavas endas.</w:t>
      </w:r>
    </w:p>
    <w:p w:rsidR="00F4358D" w:rsidRDefault="00F4358D">
      <w:pPr>
        <w:spacing w:line="270" w:lineRule="atLeast"/>
        <w:rPr>
          <w:noProof/>
          <w:szCs w:val="24"/>
        </w:rPr>
      </w:pPr>
    </w:p>
    <w:p w:rsidR="00F4358D" w:rsidRDefault="00D1585A">
      <w:pPr>
        <w:pStyle w:val="ManualHeading2"/>
        <w:rPr>
          <w:rFonts w:eastAsia="Arial Unicode MS"/>
          <w:noProof/>
          <w:u w:color="000000"/>
          <w:bdr w:val="nil"/>
        </w:rPr>
      </w:pPr>
      <w:bookmarkStart w:id="15" w:name="_Toc492216458"/>
      <w:r>
        <w:rPr>
          <w:noProof/>
        </w:rPr>
        <w:t>Õigusnormide toimivus ja lihtsustamine</w:t>
      </w:r>
      <w:bookmarkEnd w:id="15"/>
    </w:p>
    <w:p w:rsidR="00F4358D" w:rsidRDefault="00D1585A">
      <w:pPr>
        <w:spacing w:before="0" w:after="200" w:line="276" w:lineRule="auto"/>
        <w:jc w:val="left"/>
        <w:rPr>
          <w:i/>
          <w:noProof/>
          <w:szCs w:val="24"/>
        </w:rPr>
      </w:pPr>
      <w:r>
        <w:rPr>
          <w:i/>
          <w:noProof/>
        </w:rPr>
        <w:t>Ei kohaldata.</w:t>
      </w:r>
    </w:p>
    <w:p w:rsidR="00F4358D" w:rsidRDefault="00F4358D">
      <w:pPr>
        <w:spacing w:before="0" w:after="200" w:line="276" w:lineRule="auto"/>
        <w:jc w:val="left"/>
        <w:rPr>
          <w:rFonts w:asciiTheme="minorHAnsi" w:hAnsiTheme="minorHAnsi" w:cstheme="minorBidi"/>
          <w:i/>
          <w:noProof/>
          <w:sz w:val="22"/>
          <w:szCs w:val="24"/>
        </w:rPr>
      </w:pPr>
    </w:p>
    <w:p w:rsidR="00F4358D" w:rsidRDefault="00D1585A">
      <w:pPr>
        <w:pStyle w:val="ManualHeading2"/>
        <w:rPr>
          <w:rFonts w:eastAsia="Arial Unicode MS"/>
          <w:noProof/>
          <w:u w:color="000000"/>
          <w:bdr w:val="nil"/>
        </w:rPr>
      </w:pPr>
      <w:bookmarkStart w:id="16" w:name="_Toc492216459"/>
      <w:r>
        <w:rPr>
          <w:noProof/>
        </w:rPr>
        <w:t>Põhiõiguse</w:t>
      </w:r>
      <w:r>
        <w:rPr>
          <w:noProof/>
        </w:rPr>
        <w:t>d</w:t>
      </w:r>
      <w:bookmarkEnd w:id="16"/>
    </w:p>
    <w:p w:rsidR="00F4358D" w:rsidRDefault="00D1585A">
      <w:pPr>
        <w:spacing w:line="270" w:lineRule="atLeast"/>
        <w:rPr>
          <w:rFonts w:eastAsia="Arial Unicode MS"/>
          <w:noProof/>
        </w:rPr>
      </w:pPr>
      <w:r>
        <w:rPr>
          <w:noProof/>
        </w:rPr>
        <w:t>Küberturvalisus on ülioluline, et kaitsta üksikisikute privaatsust ja isikuandmeid kooskõlas Euroopa Liidu põhiõiguste harta artiklitega 7 ja 8. Küberturvalisuse intsidendid mõjutavad selgelt meie privaatsust ja isikuandmete kaitset. Seetõttu on kübertur</w:t>
      </w:r>
      <w:r>
        <w:rPr>
          <w:noProof/>
        </w:rPr>
        <w:t>valisus meie isikuandmete privaatsuse ja konfidentsiaalsuse austamise eeltingimus. Sellest lähtuvalt täiendab ettepanek, seades eesmärgiks küberturvalisuse suurendamise Euroopas, märkimisväärselt kehtivaid õigusakte, millega kaitstakse privaatsuse ja isiku</w:t>
      </w:r>
      <w:r>
        <w:rPr>
          <w:noProof/>
        </w:rPr>
        <w:t>andmetega seotud põhiõigust. Küberturvalisus on ka ülioluline, et kaitsta meie elektroonilise side konfidentsiaalsust ja et me saaksime kasutada oma sõna- ja teabevabadust ning nendega seotud muid õigusi, näiteks mõtte-, südametunnistuse- ja usuvabadust.</w:t>
      </w:r>
    </w:p>
    <w:p w:rsidR="00F4358D" w:rsidRDefault="00D1585A">
      <w:pPr>
        <w:pStyle w:val="ManualHeading1"/>
        <w:rPr>
          <w:noProof/>
        </w:rPr>
      </w:pPr>
      <w:bookmarkStart w:id="17" w:name="_Toc492216460"/>
      <w:r>
        <w:t>4</w:t>
      </w:r>
      <w:r>
        <w:t>.</w:t>
      </w:r>
      <w:r>
        <w:tab/>
      </w:r>
      <w:r>
        <w:rPr>
          <w:noProof/>
        </w:rPr>
        <w:t>MÕJU EELARVELE</w:t>
      </w:r>
      <w:bookmarkEnd w:id="17"/>
    </w:p>
    <w:p w:rsidR="00F4358D" w:rsidRDefault="00D1585A">
      <w:pPr>
        <w:spacing w:before="0" w:after="200" w:line="276" w:lineRule="auto"/>
        <w:jc w:val="left"/>
        <w:rPr>
          <w:i/>
          <w:noProof/>
        </w:rPr>
      </w:pPr>
      <w:r>
        <w:rPr>
          <w:i/>
          <w:noProof/>
        </w:rPr>
        <w:t>Vt finantsselgitus.</w:t>
      </w:r>
    </w:p>
    <w:p w:rsidR="00F4358D" w:rsidRDefault="00D1585A">
      <w:pPr>
        <w:pStyle w:val="ManualHeading1"/>
        <w:rPr>
          <w:noProof/>
        </w:rPr>
      </w:pPr>
      <w:bookmarkStart w:id="18" w:name="_Toc492216461"/>
      <w:r>
        <w:rPr>
          <w:noProof/>
        </w:rPr>
        <w:t>5.</w:t>
      </w:r>
      <w:r>
        <w:rPr>
          <w:noProof/>
        </w:rPr>
        <w:tab/>
        <w:t>MUU TEAVE</w:t>
      </w:r>
      <w:bookmarkEnd w:id="18"/>
    </w:p>
    <w:p w:rsidR="00F4358D" w:rsidRDefault="00D1585A">
      <w:pPr>
        <w:pStyle w:val="ManualHeading2"/>
        <w:rPr>
          <w:rFonts w:eastAsia="Arial Unicode MS"/>
          <w:noProof/>
          <w:u w:color="000000"/>
          <w:bdr w:val="nil"/>
        </w:rPr>
      </w:pPr>
      <w:bookmarkStart w:id="19" w:name="_Toc492216462"/>
      <w:r>
        <w:rPr>
          <w:noProof/>
        </w:rPr>
        <w:t>•</w:t>
      </w:r>
      <w:r>
        <w:rPr>
          <w:noProof/>
        </w:rPr>
        <w:tab/>
        <w:t>Rakenduskavad ning järelevalve, hindamise ja aruandluse kord</w:t>
      </w:r>
      <w:bookmarkEnd w:id="19"/>
    </w:p>
    <w:p w:rsidR="00F4358D" w:rsidRDefault="00D1585A">
      <w:pPr>
        <w:spacing w:before="0" w:after="200" w:line="270" w:lineRule="atLeast"/>
        <w:rPr>
          <w:noProof/>
          <w:szCs w:val="24"/>
        </w:rPr>
      </w:pPr>
      <w:r>
        <w:rPr>
          <w:noProof/>
        </w:rPr>
        <w:t xml:space="preserve">Komisjon teeb määruse kohaldamise järelevalvet ja esitab selle hindamise aruande Euroopa Parlamendile ja nõukogule ning Euroopa Majandus- ja </w:t>
      </w:r>
      <w:r>
        <w:rPr>
          <w:noProof/>
        </w:rPr>
        <w:t>Sotsiaalkomiteele iga viie aasta tagant. Need aruanded on avalikud ja kirjeldavad käesoleva määruse tegelikku kohaldamist ja täitmist.</w:t>
      </w:r>
    </w:p>
    <w:p w:rsidR="00F4358D" w:rsidRDefault="00D1585A">
      <w:pPr>
        <w:pStyle w:val="ManualHeading2"/>
        <w:rPr>
          <w:rFonts w:eastAsia="Arial Unicode MS"/>
          <w:noProof/>
          <w:u w:color="000000"/>
          <w:bdr w:val="nil"/>
        </w:rPr>
      </w:pPr>
      <w:bookmarkStart w:id="20" w:name="_Toc492216463"/>
      <w:r>
        <w:rPr>
          <w:noProof/>
        </w:rPr>
        <w:t>•</w:t>
      </w:r>
      <w:r>
        <w:rPr>
          <w:noProof/>
        </w:rPr>
        <w:tab/>
        <w:t>Ettepaneku sätete üksikasjalik selgitus</w:t>
      </w:r>
      <w:bookmarkEnd w:id="20"/>
    </w:p>
    <w:p w:rsidR="00F4358D" w:rsidRDefault="00D1585A">
      <w:pPr>
        <w:spacing w:line="270" w:lineRule="atLeast"/>
        <w:rPr>
          <w:noProof/>
          <w:szCs w:val="24"/>
        </w:rPr>
      </w:pPr>
      <w:r>
        <w:rPr>
          <w:noProof/>
        </w:rPr>
        <w:t>Määruse I jaotis sisaldab üldsätteid: reguleerimisese (artikkel 1), mõisted (ar</w:t>
      </w:r>
      <w:r>
        <w:rPr>
          <w:noProof/>
        </w:rPr>
        <w:t>tikkel 2), sealhulgas viited asjakohastele mõistetele sellistes teistes ELi õigusaktides nagu Euroopa Parlamendi ja nõukogu direktiiv (EL) 2016/1148 meetmete kohta, millega tagada võrgu- ja infosüsteemide turvalisuse ühtlaselt kõrge tase kogu liidus (edasp</w:t>
      </w:r>
      <w:r>
        <w:rPr>
          <w:noProof/>
        </w:rPr>
        <w:t>idi „võrgu- ja infoturbe direktiiv), Euroopa Parlamendi ja nõukogu määrus (EÜ) nr 765/2008, millega sätestatakse akrediteerimise ja turujärelevalve nõuded seoses toodete turustamisega ja tunnistatakse kehtetuks määrus (EMÜ) nr 339/93, ning Euroopa Parlamen</w:t>
      </w:r>
      <w:r>
        <w:rPr>
          <w:noProof/>
        </w:rPr>
        <w:t>di ja nõukogu määrus (EL) nr 1025/2012, mis käsitleb Euroopa standardimist.</w:t>
      </w:r>
    </w:p>
    <w:p w:rsidR="00F4358D" w:rsidRDefault="00D1585A">
      <w:pPr>
        <w:spacing w:line="270" w:lineRule="atLeast"/>
        <w:rPr>
          <w:noProof/>
          <w:szCs w:val="24"/>
        </w:rPr>
      </w:pPr>
      <w:r>
        <w:rPr>
          <w:noProof/>
        </w:rPr>
        <w:t>II jaotis sisaldab ENISA kui ELi küberturvalisuse ametiga seotud peamisi sätteid.</w:t>
      </w:r>
    </w:p>
    <w:p w:rsidR="00F4358D" w:rsidRDefault="00D1585A">
      <w:pPr>
        <w:spacing w:line="270" w:lineRule="atLeast"/>
        <w:rPr>
          <w:noProof/>
          <w:szCs w:val="24"/>
        </w:rPr>
      </w:pPr>
      <w:r>
        <w:rPr>
          <w:noProof/>
        </w:rPr>
        <w:t>Selle jaotise I peatükis sätestatakse ameti mandaat (artikkel 3), eesmärgid (artikkel 4) ja ülesan</w:t>
      </w:r>
      <w:r>
        <w:rPr>
          <w:noProof/>
        </w:rPr>
        <w:t>ded (artiklid 5–11).</w:t>
      </w:r>
    </w:p>
    <w:p w:rsidR="00F4358D" w:rsidRDefault="00D1585A">
      <w:pPr>
        <w:spacing w:line="270" w:lineRule="atLeast"/>
        <w:rPr>
          <w:noProof/>
          <w:szCs w:val="24"/>
        </w:rPr>
      </w:pPr>
      <w:r>
        <w:rPr>
          <w:noProof/>
        </w:rPr>
        <w:t>II peatükis sätestatakse ENISA töökorraldus ja see sisaldab selle struktuuri suhtes kehtivaid olulisi nõudeid (artikkel 12). Selles peatükis käsitletakse haldusnõukogu koosseisu, hääletuskorda ja ülesandeid (1. jao artiklid 13–17), juh</w:t>
      </w:r>
      <w:r>
        <w:rPr>
          <w:noProof/>
        </w:rPr>
        <w:t xml:space="preserve">atust (2. jao artikkel 18) ja tegevdirektorit (3. jao artikkel 19). See sisaldab ka sätteid alalise sidusrühma koosseisu ja rolli kohta (4. jao artikkel 20). Selle peatüki 5. jaos kirjeldatakse ameti tegevuskorda, sealhulgas tegevuse programmi koostamist, </w:t>
      </w:r>
      <w:r>
        <w:rPr>
          <w:noProof/>
        </w:rPr>
        <w:t>huvide konflikte, läbipaistvust, konfidentsiaalsust ja juurdepääsu dokumentidele (artiklid 21–25).</w:t>
      </w:r>
    </w:p>
    <w:p w:rsidR="00F4358D" w:rsidRDefault="00D1585A">
      <w:pPr>
        <w:spacing w:line="270" w:lineRule="atLeast"/>
        <w:rPr>
          <w:noProof/>
          <w:szCs w:val="24"/>
        </w:rPr>
      </w:pPr>
      <w:r>
        <w:rPr>
          <w:noProof/>
        </w:rPr>
        <w:t>III peatükis käsitletakse ameti eelarve koostamist ja struktuuri (artiklid 26 ja 27) ning selle täitmise eeskirju (artiklid 28 ja 29). Peatükk sisaldab ka sä</w:t>
      </w:r>
      <w:r>
        <w:rPr>
          <w:noProof/>
        </w:rPr>
        <w:t>tteid pettuste, korruptsiooni ja muu ebaseadusliku tegevuse tõkestamise kohta (artikkel 30).</w:t>
      </w:r>
    </w:p>
    <w:p w:rsidR="00F4358D" w:rsidRDefault="00D1585A">
      <w:pPr>
        <w:spacing w:line="270" w:lineRule="atLeast"/>
        <w:rPr>
          <w:noProof/>
          <w:szCs w:val="24"/>
        </w:rPr>
      </w:pPr>
      <w:r>
        <w:rPr>
          <w:noProof/>
        </w:rPr>
        <w:t>IV peatükk käsitleb ameti personali. See sisaldab üldsätteid personalieeskirjade ja muude teenistujate teenistustingimuste kohta ning privileege ja immuniteete reg</w:t>
      </w:r>
      <w:r>
        <w:rPr>
          <w:noProof/>
        </w:rPr>
        <w:t>uleerivaid norme (artiklid 31 ja 32). Selles sätestatakse ka ameti tegevdirektori töölevõtmist ja ametisse nimetamist reguleerivad normid (artikkel 33). See sisaldab samuti sätteid, mis reguleerivad lähetatud riiklike ekspertide või muude ametiväliste tööt</w:t>
      </w:r>
      <w:r>
        <w:rPr>
          <w:noProof/>
        </w:rPr>
        <w:t>ajate kasutamist (artikkel 34).</w:t>
      </w:r>
    </w:p>
    <w:p w:rsidR="00F4358D" w:rsidRDefault="00D1585A">
      <w:pPr>
        <w:spacing w:line="270" w:lineRule="atLeast"/>
        <w:rPr>
          <w:noProof/>
          <w:szCs w:val="24"/>
        </w:rPr>
      </w:pPr>
      <w:r>
        <w:rPr>
          <w:noProof/>
        </w:rPr>
        <w:t>V peatükk sisaldab ametiga seotud üldsätteid. Selles kirjeldatakse ameti õiguslikku seisundit (artikkel 35) ja see sisaldab sätteid, millega reguleeritakse vastutust, kasutatavaid keeli ja isikuandmete kaitset (artiklid 36–3</w:t>
      </w:r>
      <w:r>
        <w:rPr>
          <w:noProof/>
        </w:rPr>
        <w:t xml:space="preserve">8) ning julgeolekueeskirju salastatud teabe ja tundliku, kuid salastamata teabe kaitse kohta (artikkel 40). Selles on esitatud normid, mis reguleerivad ameti koostööd kolmandate riikide ja rahvusvaheliste organisatsioonidega (artikkel 39). See sisaldab ka </w:t>
      </w:r>
      <w:r>
        <w:rPr>
          <w:noProof/>
        </w:rPr>
        <w:t>sätteid ameti peakorteri ja tegutsemistingimuste ning ombudsmani tehtava halduskontrolli kohta (artiklid 41 ja 42).</w:t>
      </w:r>
    </w:p>
    <w:p w:rsidR="00F4358D" w:rsidRDefault="00D1585A">
      <w:pPr>
        <w:spacing w:line="270" w:lineRule="atLeast"/>
        <w:rPr>
          <w:noProof/>
          <w:szCs w:val="24"/>
        </w:rPr>
      </w:pPr>
      <w:r>
        <w:rPr>
          <w:noProof/>
        </w:rPr>
        <w:t>Määruse III jaotisega luuakse üldise õigusnormina (</w:t>
      </w:r>
      <w:r>
        <w:rPr>
          <w:i/>
          <w:noProof/>
        </w:rPr>
        <w:t>lex generalis</w:t>
      </w:r>
      <w:r>
        <w:rPr>
          <w:noProof/>
        </w:rPr>
        <w:t>) IKT toodete ja teenuste Euroopa küberturvalisuse sertifitseerimise raamist</w:t>
      </w:r>
      <w:r>
        <w:rPr>
          <w:noProof/>
        </w:rPr>
        <w:t>ik (edaspidi „</w:t>
      </w:r>
      <w:r>
        <w:rPr>
          <w:b/>
          <w:noProof/>
        </w:rPr>
        <w:t>raamistik</w:t>
      </w:r>
      <w:r>
        <w:rPr>
          <w:noProof/>
        </w:rPr>
        <w:t>“) (artikkel 1). Selles määratakse kindlaks Euroopa küberturvalisuse sertifitseerimise kavade üldeesmärk, s.o tagada, et IKT tooted ja teenused vastavad kindlaks määratud küberturvalisuse nõuetele selles osas, mis puudutab nende võim</w:t>
      </w:r>
      <w:r>
        <w:rPr>
          <w:noProof/>
        </w:rPr>
        <w:t>et pidada teataval usaldusväärsuse tasemel vastu tegevustele, mille eesmärk on rikkuda salvestatud, edastatud või töödeldud andmete või nendega seotud funktsioonide või teenuste käideldavust, autentsust, terviklust või konfidentsiaalsust (artikkel 43). Sea</w:t>
      </w:r>
      <w:r>
        <w:rPr>
          <w:noProof/>
        </w:rPr>
        <w:t>l loetletakse ka Euroopa küberturvalisuse sertifitseerimise kavade turvalisusega seotud eesmärgid (artikkel 45), näiteks võime kaitsta andmeid juhusliku või volitamata juurdepääsu või avalikustamise, hävitamise või muutmise eest, ning Euroopa küberturvalis</w:t>
      </w:r>
      <w:r>
        <w:rPr>
          <w:noProof/>
        </w:rPr>
        <w:t>use sertifitseerimise kavade sisu (s.o elemendid), näiteks nende ulatuse, turvalisusega seotud eesmärkide, hindamiskriteeriumide jms üksikasjalik kirjeldus (artikkel 47).</w:t>
      </w:r>
    </w:p>
    <w:p w:rsidR="00F4358D" w:rsidRDefault="00D1585A">
      <w:pPr>
        <w:spacing w:line="270" w:lineRule="atLeast"/>
        <w:rPr>
          <w:noProof/>
          <w:szCs w:val="24"/>
        </w:rPr>
      </w:pPr>
      <w:r>
        <w:rPr>
          <w:noProof/>
        </w:rPr>
        <w:t>III jaotisega kehtestatakse ka Euroopa küberturvalisuse sertifitseerimise kavade peamine õiguslik mõju, nimelt i) kohustus rakendada kava riiklikul tasandil ja sertifitseerimise vabatahtlikkus ning ii) et Euroopa küberturvalisuse sertifitseerimise kavade v</w:t>
      </w:r>
      <w:r>
        <w:rPr>
          <w:noProof/>
        </w:rPr>
        <w:t>astuvõtmine muudab samade toodete või teenuste puhul kasutatavad riiklikud kavad kehtetuks (artiklid 48 ja 49).</w:t>
      </w:r>
    </w:p>
    <w:p w:rsidR="00F4358D" w:rsidRDefault="00D1585A">
      <w:pPr>
        <w:spacing w:line="270" w:lineRule="atLeast"/>
        <w:rPr>
          <w:noProof/>
          <w:szCs w:val="24"/>
        </w:rPr>
      </w:pPr>
      <w:r>
        <w:rPr>
          <w:noProof/>
        </w:rPr>
        <w:t>Selles jaotises sätestatakse ka Euroopa küberturvalisuse sertifitseerimise kavade vastuvõtmise menetlus ning komisjoni, ENISA ja Euroopa kübertu</w:t>
      </w:r>
      <w:r>
        <w:rPr>
          <w:noProof/>
        </w:rPr>
        <w:t>rvalisuse sertifitseerimise rühma (edaspidi „rühm“) vastavad rollid (artikkel 44). Selle jaotisega reguleeritakse ka vastavushindamisasutusi, sealhulgas neile seatavaid nõudeid, nende volitusi ja ülesandeid, riiklikke sertifitseerimise järelevalveasutusi n</w:t>
      </w:r>
      <w:r>
        <w:rPr>
          <w:noProof/>
        </w:rPr>
        <w:t>ing karistusi.</w:t>
      </w:r>
    </w:p>
    <w:p w:rsidR="00F4358D" w:rsidRDefault="00D1585A">
      <w:pPr>
        <w:rPr>
          <w:noProof/>
          <w:szCs w:val="24"/>
        </w:rPr>
      </w:pPr>
      <w:r>
        <w:rPr>
          <w:noProof/>
        </w:rPr>
        <w:t>Selle jaotise alusel luuakse rühm olulise organina, mis koosneb riiklike sertifitseerimise järelevalveasutuste esindajatest ja mille peamine ülesanne on teha ENISAga koostööd Euroopa küberturvalisuse sertifitseerimise kavade koostamisel ning</w:t>
      </w:r>
      <w:r>
        <w:rPr>
          <w:noProof/>
        </w:rPr>
        <w:t xml:space="preserve"> nõustada komisjoni küberturvalisuse sertifitseerimise poliitikaga seotud üldistes ja konkreetsetes küsimustes.</w:t>
      </w:r>
    </w:p>
    <w:p w:rsidR="00F4358D" w:rsidRDefault="00D1585A">
      <w:pPr>
        <w:spacing w:line="270" w:lineRule="atLeast"/>
        <w:rPr>
          <w:noProof/>
          <w:szCs w:val="24"/>
        </w:rPr>
      </w:pPr>
      <w:r>
        <w:rPr>
          <w:noProof/>
        </w:rPr>
        <w:t>IV jaotis sisaldab lõppsätteid, mis kirjeldavad delegeeritud õiguste kasutamist, hindamisnõudeid, kehtetuks tunnistamist ja õigusjärglust ning j</w:t>
      </w:r>
      <w:r>
        <w:rPr>
          <w:noProof/>
        </w:rPr>
        <w:t>õustumist.</w:t>
      </w:r>
    </w:p>
    <w:p w:rsidR="00F4358D" w:rsidRDefault="00D1585A">
      <w:pPr>
        <w:spacing w:before="0" w:after="200" w:line="276" w:lineRule="auto"/>
        <w:jc w:val="left"/>
        <w:rPr>
          <w:noProof/>
        </w:rPr>
      </w:pPr>
      <w:r>
        <w:rPr>
          <w:noProof/>
        </w:rPr>
        <w:br w:type="page"/>
      </w:r>
    </w:p>
    <w:p w:rsidR="00F4358D" w:rsidRDefault="00D1585A" w:rsidP="00D1585A">
      <w:pPr>
        <w:pStyle w:val="Rfrenceinterinstitutionnelle"/>
        <w:rPr>
          <w:noProof/>
        </w:rPr>
      </w:pPr>
      <w:r w:rsidRPr="00D1585A">
        <w:t>2017/0225 (COD)</w:t>
      </w:r>
    </w:p>
    <w:p w:rsidR="00F4358D" w:rsidRDefault="00D1585A" w:rsidP="00D1585A">
      <w:pPr>
        <w:pStyle w:val="Statut"/>
        <w:rPr>
          <w:noProof/>
        </w:rPr>
      </w:pPr>
      <w:r w:rsidRPr="00D1585A">
        <w:t>Ettepanek:</w:t>
      </w:r>
    </w:p>
    <w:p w:rsidR="00F4358D" w:rsidRDefault="00D1585A" w:rsidP="00D1585A">
      <w:pPr>
        <w:pStyle w:val="Typedudocument"/>
        <w:rPr>
          <w:noProof/>
        </w:rPr>
      </w:pPr>
      <w:r w:rsidRPr="00D1585A">
        <w:t>EUROOPA PARLAMENDI JA NÕUKOGU MÄÄRUS,</w:t>
      </w:r>
    </w:p>
    <w:p w:rsidR="00F4358D" w:rsidRDefault="00D1585A" w:rsidP="00D1585A">
      <w:pPr>
        <w:pStyle w:val="Titreobjet"/>
        <w:rPr>
          <w:noProof/>
        </w:rPr>
      </w:pPr>
      <w:r w:rsidRPr="00D1585A">
        <w:t>mis käsitleb ENISAt ehk ELi küberturvalisuse ametit, millega tunnistatakse kehtetuks määrus (EL) nr 526/2013 ja mis käsitleb info- ja kommunikatsioonitehnoloogia küberturvalisuse sertifitseerimist („küberturvalisust käsitlev õigusakt“)</w:t>
      </w:r>
    </w:p>
    <w:p w:rsidR="00F4358D" w:rsidRDefault="00D1585A" w:rsidP="00D1585A">
      <w:pPr>
        <w:pStyle w:val="IntrtEEE"/>
        <w:rPr>
          <w:noProof/>
        </w:rPr>
      </w:pPr>
      <w:r w:rsidRPr="00D1585A">
        <w:t>(EMPs kohaldatav tekst)</w:t>
      </w:r>
    </w:p>
    <w:p w:rsidR="00F4358D" w:rsidRDefault="00D1585A">
      <w:pPr>
        <w:pStyle w:val="Institutionquiagit"/>
        <w:rPr>
          <w:noProof/>
        </w:rPr>
      </w:pPr>
      <w:r>
        <w:rPr>
          <w:noProof/>
        </w:rPr>
        <w:t>EUROOPA PARLAMENT JA EUROOPA LIIDU NÕUKOGU,</w:t>
      </w:r>
    </w:p>
    <w:p w:rsidR="00F4358D" w:rsidRDefault="00D1585A">
      <w:pPr>
        <w:rPr>
          <w:noProof/>
        </w:rPr>
      </w:pPr>
      <w:r>
        <w:rPr>
          <w:noProof/>
        </w:rPr>
        <w:t>võttes arvesse Euroopa Liidu toimimise lepingut, eriti selle artiklit 114,</w:t>
      </w:r>
    </w:p>
    <w:p w:rsidR="00F4358D" w:rsidRDefault="00D1585A">
      <w:pPr>
        <w:rPr>
          <w:noProof/>
        </w:rPr>
      </w:pPr>
      <w:r>
        <w:rPr>
          <w:noProof/>
        </w:rPr>
        <w:t>võttes arvesse Euroopa Komisjoni ettepanekut,</w:t>
      </w:r>
    </w:p>
    <w:p w:rsidR="00F4358D" w:rsidRDefault="00D1585A">
      <w:pPr>
        <w:rPr>
          <w:noProof/>
        </w:rPr>
      </w:pPr>
      <w:r>
        <w:rPr>
          <w:noProof/>
        </w:rPr>
        <w:t>olles eda</w:t>
      </w:r>
      <w:r>
        <w:rPr>
          <w:noProof/>
        </w:rPr>
        <w:t>stanud seadusandliku akti eelnõu liikmesriikide parlamentidele,</w:t>
      </w:r>
    </w:p>
    <w:p w:rsidR="00F4358D" w:rsidRDefault="00D1585A">
      <w:pPr>
        <w:rPr>
          <w:noProof/>
        </w:rPr>
      </w:pPr>
      <w:r>
        <w:rPr>
          <w:noProof/>
        </w:rPr>
        <w:t>võttes arvesse Euroopa Majandus- ja Sotsiaalkomitee arvamust</w:t>
      </w:r>
      <w:r>
        <w:rPr>
          <w:rStyle w:val="FootnoteReference"/>
          <w:noProof/>
        </w:rPr>
        <w:footnoteReference w:id="29"/>
      </w:r>
      <w:r>
        <w:rPr>
          <w:noProof/>
        </w:rPr>
        <w:t>,</w:t>
      </w:r>
    </w:p>
    <w:p w:rsidR="00F4358D" w:rsidRDefault="00D1585A">
      <w:pPr>
        <w:rPr>
          <w:noProof/>
        </w:rPr>
      </w:pPr>
      <w:r>
        <w:rPr>
          <w:noProof/>
        </w:rPr>
        <w:t>võttes arvesse Regioonide Komitee arvamust</w:t>
      </w:r>
      <w:r>
        <w:rPr>
          <w:rStyle w:val="FootnoteReference"/>
          <w:noProof/>
        </w:rPr>
        <w:footnoteReference w:id="30"/>
      </w:r>
      <w:r>
        <w:rPr>
          <w:noProof/>
        </w:rPr>
        <w:t>,</w:t>
      </w:r>
    </w:p>
    <w:p w:rsidR="00F4358D" w:rsidRDefault="00D1585A">
      <w:pPr>
        <w:rPr>
          <w:noProof/>
        </w:rPr>
      </w:pPr>
      <w:r>
        <w:rPr>
          <w:noProof/>
        </w:rPr>
        <w:t>toimides seadusandliku tavamenetluse kohaselt</w:t>
      </w:r>
    </w:p>
    <w:p w:rsidR="00F4358D" w:rsidRDefault="00D1585A">
      <w:pPr>
        <w:rPr>
          <w:noProof/>
        </w:rPr>
      </w:pPr>
      <w:r>
        <w:rPr>
          <w:noProof/>
        </w:rPr>
        <w:t>ning arvestades järgmist:</w:t>
      </w:r>
    </w:p>
    <w:p w:rsidR="00F4358D" w:rsidRDefault="00D1585A">
      <w:pPr>
        <w:pStyle w:val="ManualConsidrant"/>
        <w:rPr>
          <w:noProof/>
        </w:rPr>
      </w:pPr>
      <w:r>
        <w:t>(1)</w:t>
      </w:r>
      <w:r>
        <w:tab/>
      </w:r>
      <w:r>
        <w:rPr>
          <w:noProof/>
        </w:rPr>
        <w:t>Võrgu- j</w:t>
      </w:r>
      <w:r>
        <w:rPr>
          <w:noProof/>
        </w:rPr>
        <w:t xml:space="preserve">a infosüsteemidel ning telekommunikatsioonivõrkudel ja -teenustel on ühiskonnas elutähtis roll ning neist on saanud majanduskasvu tugisammas. Info- ja kommunikatsioonitehnoloogia on aluseks keerukatele süsteemidele, millele toetub ühiskondlik tegevus, mis </w:t>
      </w:r>
      <w:r>
        <w:rPr>
          <w:noProof/>
        </w:rPr>
        <w:t>tagavad majanduse toimimise võtmetähtsusega sektorites nagu tervishoid, energeetika, rahandus ja transport ning mis toetavad ennekõike siseturu toimimist.</w:t>
      </w:r>
    </w:p>
    <w:p w:rsidR="00F4358D" w:rsidRDefault="00D1585A">
      <w:pPr>
        <w:pStyle w:val="ManualConsidrant"/>
        <w:rPr>
          <w:noProof/>
          <w:szCs w:val="24"/>
        </w:rPr>
      </w:pPr>
      <w:r>
        <w:t>(2)</w:t>
      </w:r>
      <w:r>
        <w:tab/>
      </w:r>
      <w:r>
        <w:rPr>
          <w:noProof/>
        </w:rPr>
        <w:t xml:space="preserve">Võrgu- ja infosüsteemide kasutamine kogu liidu kodanike, ettevõtjate ja valitsusasutuste seas on </w:t>
      </w:r>
      <w:r>
        <w:rPr>
          <w:noProof/>
        </w:rPr>
        <w:t>nüüd valdav. Digiteeritus ja ühenduvus on muutumas üha suurema hulga toodete ja teenuste põhitunnusteks ning asjade interneti kasutuselevõtuga võib eeldada, et järgmise kümne aasta jooksul võetakse kogu ELis kasutusele miljoneid kui mitte miljardeid ühenda</w:t>
      </w:r>
      <w:r>
        <w:rPr>
          <w:noProof/>
        </w:rPr>
        <w:t>tud digitaalseid seadmeid. Kuigi internetti ühendatud seadmete arv kasvab, ei ole turvalisus ja vastupidavus neisse piisavalt sisse projekteeritud ning see toob kaasa ebapiisava küberturvalisuse. Sellises olukorras tähendab sertifitseerimise piiratud kasut</w:t>
      </w:r>
      <w:r>
        <w:rPr>
          <w:noProof/>
        </w:rPr>
        <w:t>amine, et organisatsioonidest ja eraisikutest kasutajatel ei ole IKT toodete ja teenuste küberturvalisuse omaduste kohta piisavalt teavet ning see vähendab usaldust digilahenduste vastu.</w:t>
      </w:r>
    </w:p>
    <w:p w:rsidR="00F4358D" w:rsidRDefault="00D1585A">
      <w:pPr>
        <w:pStyle w:val="ManualConsidrant"/>
        <w:rPr>
          <w:rFonts w:eastAsia="Times New Roman"/>
          <w:noProof/>
        </w:rPr>
      </w:pPr>
      <w:r>
        <w:t>(3)</w:t>
      </w:r>
      <w:r>
        <w:tab/>
      </w:r>
      <w:r>
        <w:rPr>
          <w:noProof/>
        </w:rPr>
        <w:t>Ulatuslikum digiteerimine ja ühenduvus toovad kaasa suuremad kübe</w:t>
      </w:r>
      <w:r>
        <w:rPr>
          <w:noProof/>
        </w:rPr>
        <w:t>rturvalisuse riskid, mille tõttu on kogu ühiskond küberohtude poolt lihtsamini haavatav ning üksikisikute, sh haavatavate isikute (nt laste) vastu suunatud ohud tulevad selgemalt esile. Et seda ühiskonna vastu suunatud riski leevendada, tuleb võtta kõik va</w:t>
      </w:r>
      <w:r>
        <w:rPr>
          <w:noProof/>
        </w:rPr>
        <w:t>jalikud meetmed, et parandada ELis küberturvalisust ning pakkuda küberohtude eest paremat kaitset võrgu- ja infosüsteemidele, telekommunikatsioonivõrkudele, digitaalsetele toodetele, teenustele ja seadmetele, mida kasutavad kodanikud, valitsused ja ettevõt</w:t>
      </w:r>
      <w:r>
        <w:rPr>
          <w:noProof/>
        </w:rPr>
        <w:t>jad alates VKEdest kuni elutähtsate taristute operaatoriteni.</w:t>
      </w:r>
    </w:p>
    <w:p w:rsidR="00F4358D" w:rsidRDefault="00D1585A">
      <w:pPr>
        <w:pStyle w:val="ManualConsidrant"/>
        <w:rPr>
          <w:noProof/>
        </w:rPr>
      </w:pPr>
      <w:r>
        <w:t>(4)</w:t>
      </w:r>
      <w:r>
        <w:tab/>
      </w:r>
      <w:r>
        <w:rPr>
          <w:noProof/>
        </w:rPr>
        <w:t>Küberründeid tuleb ette üha sagedamini ning küberohtude poolt lihtsamini haavatavat ühendatud majandust ja ühiskonda tuleb jõulisemalt kaitsta. Kuigi küberründed on sageli piiriülesed, on kü</w:t>
      </w:r>
      <w:r>
        <w:rPr>
          <w:noProof/>
        </w:rPr>
        <w:t>berturvalisusega tegelevate ametiasutuste reageeringud ja õiguskaitseasutuste pädevus valdavalt riigipõhised. Mastaapsed küberintsidendid võivad katkestada elutähtsate teenuste pakkumise kogu ELis. See tähendab, et ELi tasandil on vaja tõhusat reageerimist</w:t>
      </w:r>
      <w:r>
        <w:rPr>
          <w:noProof/>
        </w:rPr>
        <w:t xml:space="preserve"> ja kriisihaldust, mis tugineks sellekohastele põhimõtetele ning Euroopa solidaarsuse ja vastastikuse abi mitmekülgsetele vahenditele. Seepärast on usaldusväärsetel liidu andmetel põhinev liidu küberturvalisuse ja vastupidavuse olukorra regulaarne hindamin</w:t>
      </w:r>
      <w:r>
        <w:rPr>
          <w:noProof/>
        </w:rPr>
        <w:t>e ning nii liidu kui ka maailma tasandi edasiste arengusuundade, väljakutsete ja ohtude süstemaatiline hindamine tähtis nii poliitikakujundajate ja tööstuse kui ka kasutajate jaoks.</w:t>
      </w:r>
    </w:p>
    <w:p w:rsidR="00F4358D" w:rsidRDefault="00D1585A">
      <w:pPr>
        <w:pStyle w:val="ManualConsidrant"/>
        <w:rPr>
          <w:noProof/>
        </w:rPr>
      </w:pPr>
      <w:r>
        <w:t>(5)</w:t>
      </w:r>
      <w:r>
        <w:tab/>
      </w:r>
      <w:r>
        <w:rPr>
          <w:noProof/>
        </w:rPr>
        <w:t xml:space="preserve">Arvestades, et liitu ähvardavad küberturvalisuse probleemid kasvavad, </w:t>
      </w:r>
      <w:r>
        <w:rPr>
          <w:noProof/>
        </w:rPr>
        <w:t>on vaja igakülgset meetmete kogumit, mis toetuks liidu varasemale tegevusele ja edendaks üksteist vastastikku tugevdavaid eesmärke. Siia hulka kuulub vajadus veelgi suurendada liikmesriikide ja ettevõtjate suutlikkust ja valmisolekut ning parandada koostöö</w:t>
      </w:r>
      <w:r>
        <w:rPr>
          <w:noProof/>
        </w:rPr>
        <w:t>d ja koordineerimist liikmesriikide ja ELi institutsioonide, asutuste ja organite vahel. Küberohud ei hooli riigipiiridest ja seepärast tuleb suurendada liidu tasandi suutlikkust, et see täiendaks liikmesriikide meetmeid eeskätt mastaapsete piiriüleste küb</w:t>
      </w:r>
      <w:r>
        <w:rPr>
          <w:noProof/>
        </w:rPr>
        <w:t>erintsidentide ja -kriiside korral. Rohkem tuleb ära teha ka selleks, et suurendada kodanike ja ettevõtjate teadlikkust küberturvalisuse küsimustest. Ühtlasi tuleks veelgi suurendada usaldust digitaalse ühtse turu vastu ning pakkuda selleks läbipaistvat te</w:t>
      </w:r>
      <w:r>
        <w:rPr>
          <w:noProof/>
        </w:rPr>
        <w:t>avet IKT toodete ja teenuste turvalisuse tasemete kohta. Sellele saab kaasa aidata kogu ELi hõlmava sertifitseerimisega, mis tagab ühised küberturvalisuse nõuded ja hindamiskriteeriumid liikmesriikide turgudel ja sektorites.</w:t>
      </w:r>
    </w:p>
    <w:p w:rsidR="00F4358D" w:rsidRDefault="00D1585A">
      <w:pPr>
        <w:pStyle w:val="ManualConsidrant"/>
        <w:rPr>
          <w:noProof/>
        </w:rPr>
      </w:pPr>
      <w:r>
        <w:t>(6)</w:t>
      </w:r>
      <w:r>
        <w:tab/>
      </w:r>
      <w:r>
        <w:rPr>
          <w:noProof/>
        </w:rPr>
        <w:t>Euroopa Parlament ja nõukog</w:t>
      </w:r>
      <w:r>
        <w:rPr>
          <w:noProof/>
        </w:rPr>
        <w:t>u võtsid 2004. aastal vastu määruse (EÜ) nr 460/2004,</w:t>
      </w:r>
      <w:r>
        <w:rPr>
          <w:rStyle w:val="FootnoteReference"/>
          <w:noProof/>
        </w:rPr>
        <w:footnoteReference w:id="31"/>
      </w:r>
      <w:r>
        <w:rPr>
          <w:noProof/>
        </w:rPr>
        <w:t xml:space="preserve"> millega loodi ENISA, et aidata kaasa kõrgetasemelise võrgu- ja infoturbe tagamise eesmärkidele liidus ning arendada võrgu- ja infoturbekultuuri kodanike, tarbijate, ettevõtete ja ametiasutuste heaks. 2</w:t>
      </w:r>
      <w:r>
        <w:rPr>
          <w:noProof/>
        </w:rPr>
        <w:t>008. aastal võtsid Euroopa Parlament ja nõukogu vastu määruse (EÜ) nr 1007/2008,</w:t>
      </w:r>
      <w:r>
        <w:rPr>
          <w:rStyle w:val="FootnoteReference"/>
          <w:noProof/>
        </w:rPr>
        <w:footnoteReference w:id="32"/>
      </w:r>
      <w:r>
        <w:rPr>
          <w:noProof/>
        </w:rPr>
        <w:t xml:space="preserve"> millega pikendati ameti mandaati 2012. aasta märtsini. Määrusega (EL) nr 580/2011</w:t>
      </w:r>
      <w:r>
        <w:rPr>
          <w:rStyle w:val="FootnoteReference"/>
          <w:noProof/>
        </w:rPr>
        <w:footnoteReference w:id="33"/>
      </w:r>
      <w:r>
        <w:rPr>
          <w:noProof/>
        </w:rPr>
        <w:t xml:space="preserve"> pikendati ameti mandaati 13. septembrini 2013. 2013. aastal võtsid Euroopa Parlament ja nõu</w:t>
      </w:r>
      <w:r>
        <w:rPr>
          <w:noProof/>
        </w:rPr>
        <w:t>kogu vastu määruse (EL) nr 526/2013,</w:t>
      </w:r>
      <w:r>
        <w:rPr>
          <w:rStyle w:val="FootnoteReference"/>
          <w:noProof/>
        </w:rPr>
        <w:footnoteReference w:id="34"/>
      </w:r>
      <w:r>
        <w:rPr>
          <w:noProof/>
        </w:rPr>
        <w:t xml:space="preserve"> mis käsitleb ENISAt ja millega tunnistati kehtetuks määrus (EÜ) nr 460/2004, millega oli ameti mandaati pikendatud kuni 2020. aasta juunikuuni.</w:t>
      </w:r>
    </w:p>
    <w:p w:rsidR="00F4358D" w:rsidRDefault="00D1585A">
      <w:pPr>
        <w:pStyle w:val="ManualConsidrant"/>
        <w:rPr>
          <w:noProof/>
        </w:rPr>
      </w:pPr>
      <w:r>
        <w:t>(7)</w:t>
      </w:r>
      <w:r>
        <w:tab/>
      </w:r>
      <w:r>
        <w:rPr>
          <w:noProof/>
        </w:rPr>
        <w:t xml:space="preserve">Euroopa Liit on juba astunud olulisi samme, et tagada küberturvalisus </w:t>
      </w:r>
      <w:r>
        <w:rPr>
          <w:noProof/>
        </w:rPr>
        <w:t>ja suurendada usaldust digitehnoloogia vastu. 2013. aastal võeti vastu ELi küberjulgeoleku strateegia, millest juhinduda liidu poliitilises reageerimises küberturvalisuse ohtudele ja riskidele. Et eurooplasi veebis paremini kaitsta, võttis liit 2016. aasta</w:t>
      </w:r>
      <w:r>
        <w:rPr>
          <w:noProof/>
        </w:rPr>
        <w:t>l vastu küberturvalisuse valdkonna esimese õigusakti – direktiivi (EL) 2016/1148 meetmete kohta, millega tagada võrgu- ja infosüsteemide turvalisuse ühtlaselt kõrge tase kogu liidus (edaspidi „võrgu- ja infoturbe direktiiv“). Võrgu- ja infoturbe direktiivi</w:t>
      </w:r>
      <w:r>
        <w:rPr>
          <w:noProof/>
        </w:rPr>
        <w:t>ga pandi paika riikide suutlikkust puudutavad nõuded küberturvalisuse valdkonnas, kehtestati liikmesriikide vahelise strateegilise ja operatiivkoostöö edendamise esimesed mehhanismid ning juurutati turbemeetmete ja intsidentidest teatamise kohustused majan</w:t>
      </w:r>
      <w:r>
        <w:rPr>
          <w:noProof/>
        </w:rPr>
        <w:t>duse ja ühiskonna jaoks eluliselt tähtsates sektorites, nagu energeetika, transport, veevarustus, pangandus, finantsturutaristud, tervishoid, digitaristu, aga ka oluliste digitaalsete teenuste osutajate puhul (otsingumootorid, pilvandmetöötlusteenused ja i</w:t>
      </w:r>
      <w:r>
        <w:rPr>
          <w:noProof/>
        </w:rPr>
        <w:t>nternetipõhised kauplemiskohad). ENISA-le anti selle direktiivi rakendamise toetamisel põhiroll. Võitlus küberkuritegevusega on olulisel kohal ka Euroopa julgeoleku tegevuskavas, kus see aitab kaasa küberturvalisuse kõrge taseme saavutamise üldeesmärgile.</w:t>
      </w:r>
    </w:p>
    <w:p w:rsidR="00F4358D" w:rsidRDefault="00D1585A">
      <w:pPr>
        <w:pStyle w:val="ManualConsidrant"/>
        <w:rPr>
          <w:noProof/>
        </w:rPr>
      </w:pPr>
      <w:r>
        <w:t>(8)</w:t>
      </w:r>
      <w:r>
        <w:tab/>
      </w:r>
      <w:r>
        <w:rPr>
          <w:noProof/>
        </w:rPr>
        <w:t>Tuleb tõdeda, et 2013. aasta küberjulgeoleku strateegia vastuvõtmisest ja ameti mandaadi viimasest läbivaatamisest möödunud aja jooksul on üldine poliitiline kontekst oluliselt muutunud, seda ka seoses ebakindlama ja vähem turvalise üldise õhustikuga m</w:t>
      </w:r>
      <w:r>
        <w:rPr>
          <w:noProof/>
        </w:rPr>
        <w:t>aailmas. Sellist olukorda arvestades on vaja liidu uue küberturvalisuse poliitika raames läbi vaadata ENISA mandaat; et määrata kindlaks ameti roll muutunud küberturvalisuse tingimustes ning tagada, et see annab tulemusliku panuse sellesse, kuidas liit rea</w:t>
      </w:r>
      <w:r>
        <w:rPr>
          <w:noProof/>
        </w:rPr>
        <w:t>geerib põhjalikult muutnud ohtude maastikul esile kerkivatele küberturvalisuse probleemidele, millega toimetulemiseks ei ole praegune mandaat ameti hinnangul piisav.</w:t>
      </w:r>
    </w:p>
    <w:p w:rsidR="00F4358D" w:rsidRDefault="00D1585A">
      <w:pPr>
        <w:pStyle w:val="ManualConsidrant"/>
        <w:rPr>
          <w:noProof/>
        </w:rPr>
      </w:pPr>
      <w:r>
        <w:t>(9)</w:t>
      </w:r>
      <w:r>
        <w:tab/>
      </w:r>
      <w:r>
        <w:rPr>
          <w:noProof/>
        </w:rPr>
        <w:t xml:space="preserve">Käesoleva määrusega loodav amet peaks olema määrusega (EL) nr 526/2013 asutatud ENISA </w:t>
      </w:r>
      <w:r>
        <w:rPr>
          <w:noProof/>
        </w:rPr>
        <w:t>õigusjärglane. Amet peaks täitma talle käesoleva määruse ja küberturvalisuse valdkonna liidu õigusaktidega pandud ülesandeid, pakkudes muu hulgas oskusteavet ja nõuandeid ning tegutsedes liidu selle valdkonna teabe- ja teadmuskeskusena. Amet peaks edendama</w:t>
      </w:r>
      <w:r>
        <w:rPr>
          <w:noProof/>
        </w:rPr>
        <w:t xml:space="preserve"> parimate tavade vahetamist liikmesriikide ja eraõiguslike sidusrühmade vahel, tehes selleks Euroopa Komisjonile ja liikmesriikidele põhimõttelisi ettepanekuid, tegutsedes küberturvalisuse küsimustes liidu valdkondliku poliitika algatuste kontaktüksusena n</w:t>
      </w:r>
      <w:r>
        <w:rPr>
          <w:noProof/>
        </w:rPr>
        <w:t>ing soodustades nii liikmesriikide omavahelist kui ka liikmesriikide ja Euroopa Liidu institutsioonide, organite ja asutuste vahelist operatiivkoostööd.</w:t>
      </w:r>
    </w:p>
    <w:p w:rsidR="00F4358D" w:rsidRDefault="00D1585A">
      <w:pPr>
        <w:pStyle w:val="ManualConsidrant"/>
        <w:rPr>
          <w:noProof/>
        </w:rPr>
      </w:pPr>
      <w:r>
        <w:t>(10)</w:t>
      </w:r>
      <w:r>
        <w:tab/>
      </w:r>
      <w:r>
        <w:rPr>
          <w:noProof/>
        </w:rPr>
        <w:t>Liikmesriikide esindajad otsustasid Euroopa Ülemkogu 13. detsembri 2003. aasta kohtumisel vastuvõe</w:t>
      </w:r>
      <w:r>
        <w:rPr>
          <w:noProof/>
        </w:rPr>
        <w:t>tud otsuses 2004/97/EÜ, Euratom, et ENISA asukohaks saab Kreeka valitsuse määratud linn Kreekas. Ameti asukohaliikmesriik peaks tagama ameti tõrgeteta ja tõhusaks tegevuseks parimad võimalikud tingimused. Ameti ülesannete nõuetekohaseks ja tulemuslikuks tä</w:t>
      </w:r>
      <w:r>
        <w:rPr>
          <w:noProof/>
        </w:rPr>
        <w:t>itmiseks, personali värbamiseks ja töölhoidmiseks ning võrgustikuga seotud tegevuse tulemuslikkuse tõhustamiseks peab amet asuma sobivas asukohas, mis muu hulgas pakub asjakohaseid transpordiühendusi ning rajatisi töötajate abikaasade ja laste jaoks. Vajal</w:t>
      </w:r>
      <w:r>
        <w:rPr>
          <w:noProof/>
        </w:rPr>
        <w:t>ik kord tuleks sätestada ameti ja asukohaliikmesriigi vahelises kokkuleppes, mis sõlmitakse pärast ameti haldusnõukogu heakskiitu.</w:t>
      </w:r>
    </w:p>
    <w:p w:rsidR="00F4358D" w:rsidRDefault="00D1585A">
      <w:pPr>
        <w:pStyle w:val="ManualConsidrant"/>
        <w:rPr>
          <w:noProof/>
        </w:rPr>
      </w:pPr>
      <w:r>
        <w:t>(11)</w:t>
      </w:r>
      <w:r>
        <w:tab/>
      </w:r>
      <w:r>
        <w:rPr>
          <w:noProof/>
        </w:rPr>
        <w:t>Arvestades liidu ees seisvate küberturvalisusega seotud probleemide kasvu, tuleks suurendada ametile eraldatavaid finant</w:t>
      </w:r>
      <w:r>
        <w:rPr>
          <w:noProof/>
        </w:rPr>
        <w:t>s- ja inimressursse, et need vastaksid ameti tõhustatud rollile ja ülesannetele ning ameti tähtsale positsioonile Euroopa digitaalse ökosüsteemi kaitsmisel.</w:t>
      </w:r>
    </w:p>
    <w:p w:rsidR="00F4358D" w:rsidRDefault="00D1585A">
      <w:pPr>
        <w:pStyle w:val="ManualConsidrant"/>
        <w:rPr>
          <w:noProof/>
        </w:rPr>
      </w:pPr>
      <w:r>
        <w:t>(12)</w:t>
      </w:r>
      <w:r>
        <w:tab/>
      </w:r>
      <w:r>
        <w:rPr>
          <w:noProof/>
        </w:rPr>
        <w:t>Amet peaks välja kujundama oskusteabe kõrge taseme ja seda hoidma ning tegutsema kontaktüksuse</w:t>
      </w:r>
      <w:r>
        <w:rPr>
          <w:noProof/>
        </w:rPr>
        <w:t>na, mis tekitab ühtsel turul usaldust ja kindlustunnet tänu oma sõltumatusele, antud nõu ja levitatava teabe kvaliteedile, menetluste ja töömeetodite läbipaistvusele ning oma ülesannete hoolikale täitmisele. Täites oma ülesandeid täielikus koostöös liidu i</w:t>
      </w:r>
      <w:r>
        <w:rPr>
          <w:noProof/>
        </w:rPr>
        <w:t>nstitutsioonide, organite ja asutuste, aga ka liikmesriikidega, peaks amet andma ennetava panuse riikide ja liidu tegevusse. Lisaks peaks amet arendama edasi erasektorilt saadud sisendit, lähtudes erasektori ja muude asjaomaste sidusrühmadega tehtavast koo</w:t>
      </w:r>
      <w:r>
        <w:rPr>
          <w:noProof/>
        </w:rPr>
        <w:t>stööst. Ameti ülesannete kogumiga tuleks paika panna, kuidas amet peab oma eesmärgid saavutama, tagades talle samas tööks vajaliku paindlikkuse.</w:t>
      </w:r>
    </w:p>
    <w:p w:rsidR="00F4358D" w:rsidRDefault="00D1585A">
      <w:pPr>
        <w:pStyle w:val="ManualConsidrant"/>
        <w:rPr>
          <w:noProof/>
        </w:rPr>
      </w:pPr>
      <w:r>
        <w:t>(13)</w:t>
      </w:r>
      <w:r>
        <w:tab/>
      </w:r>
      <w:r>
        <w:rPr>
          <w:noProof/>
        </w:rPr>
        <w:t xml:space="preserve">Amet peaks abistama komisjoni nõuannete, arvamuste ja analüüsidega kõigis liidu küsimustes, mis on seotud </w:t>
      </w:r>
      <w:r>
        <w:rPr>
          <w:noProof/>
        </w:rPr>
        <w:t xml:space="preserve">küberturvalisuse valdkonna, sealhulgas elutähtsa sideinfrastruktuuri kaitse ja kübervastupidavusvõime alase poliitika ja õigusaktide väljatöötamisega. Amet peaks tegutsema nõuandva ja oskusteavet pakkuva kontaktüksusena selliste liidu sektorispetsiifilise </w:t>
      </w:r>
      <w:r>
        <w:rPr>
          <w:noProof/>
        </w:rPr>
        <w:t>poliitika ja õigusalaste algatuste jaoks, mis puudutavad küberturvalisust.</w:t>
      </w:r>
    </w:p>
    <w:p w:rsidR="00F4358D" w:rsidRDefault="00D1585A">
      <w:pPr>
        <w:pStyle w:val="ManualConsidrant"/>
        <w:rPr>
          <w:noProof/>
        </w:rPr>
      </w:pPr>
      <w:r>
        <w:t>(14)</w:t>
      </w:r>
      <w:r>
        <w:tab/>
      </w:r>
      <w:r>
        <w:rPr>
          <w:noProof/>
        </w:rPr>
        <w:t>Ameti põhiülesanne on toetada asjakohase õigusraamistiku järjepidevat rakendamist, eelkõige võrgu- ja infoturbe direktiivi tulemuslikku rakendamist, mis on kübervastupidavusvõi</w:t>
      </w:r>
      <w:r>
        <w:rPr>
          <w:noProof/>
        </w:rPr>
        <w:t>me suurendamise jaoks eluliselt tähtis. Arvestades seda, kui kiiresti küberturvalisuse ohud muutuvad, on selge, et liikmesriike tuleb toetada igakülgsema ja eri valdkondi hõlmava poliitilise lähenemisega kübervastupidavusvõime loomisele.</w:t>
      </w:r>
    </w:p>
    <w:p w:rsidR="00F4358D" w:rsidRDefault="00D1585A">
      <w:pPr>
        <w:pStyle w:val="ManualConsidrant"/>
        <w:rPr>
          <w:noProof/>
          <w:sz w:val="20"/>
          <w:szCs w:val="20"/>
        </w:rPr>
      </w:pPr>
      <w:r>
        <w:t>(15)</w:t>
      </w:r>
      <w:r>
        <w:tab/>
      </w:r>
      <w:r>
        <w:rPr>
          <w:noProof/>
        </w:rPr>
        <w:t>Amet peaks ab</w:t>
      </w:r>
      <w:r>
        <w:rPr>
          <w:noProof/>
        </w:rPr>
        <w:t>istama liikmesriike ja liidu institutsioone, organeid ja asutusi töös, mida nad teevad, et luua ja suurendada suutlikkust ja valmisolekut ennetada ja avastada küberturvalisuse intsidente ja neile reageerida, ning seoses võrgu- ja infosüsteemide turvalisuse</w:t>
      </w:r>
      <w:r>
        <w:rPr>
          <w:noProof/>
        </w:rPr>
        <w:t>ga. Eeskätt peaks amet toetama riiklike CSIRTide arendamist ja tõhustamist, et neil oleks kogu liidus ühtemoodi kõrge küpsuse aste. Samuti peaks amet abistama liidu ja liikmesriikide võrgu- ja infosüsteemide turvalisuse strateegiate väljatöötamist ja uuend</w:t>
      </w:r>
      <w:r>
        <w:rPr>
          <w:noProof/>
        </w:rPr>
        <w:t>amist, edendama nende levitamist ja hoidma silma peal nende rakendamisel. Lisaks peaks amet pakkuma koolitusi ja koolitusmaterjali avalikele asutustele ning koolitama vajaduse korral koolitajaid, et aidata liikmesriikidel välja kujundada nende endi koolitu</w:t>
      </w:r>
      <w:r>
        <w:rPr>
          <w:noProof/>
        </w:rPr>
        <w:t>ssuutlikkus.</w:t>
      </w:r>
    </w:p>
    <w:p w:rsidR="00F4358D" w:rsidRDefault="00D1585A">
      <w:pPr>
        <w:pStyle w:val="ManualConsidrant"/>
        <w:rPr>
          <w:noProof/>
          <w:sz w:val="20"/>
          <w:szCs w:val="20"/>
        </w:rPr>
      </w:pPr>
      <w:r>
        <w:t>(16)</w:t>
      </w:r>
      <w:r>
        <w:tab/>
      </w:r>
      <w:r>
        <w:rPr>
          <w:noProof/>
        </w:rPr>
        <w:t xml:space="preserve"> Amet peaks abistama võrgu- ja infoturbe direktiiviga loodud koostöörühma selle ülesannete täitmisel, eeskätt pakkuma oskusteavet ja nõu ning hõlbustama parimate tavade vahetamist peamiselt seoses oluliste teenuste operaatorite identifits</w:t>
      </w:r>
      <w:r>
        <w:rPr>
          <w:noProof/>
        </w:rPr>
        <w:t>eerimisega liikmesriikide poolt, sealhulgas selles osas, mis puudutab riskide ja intsidentidega seotud piiriüleseid sõltuvusseoseid.</w:t>
      </w:r>
    </w:p>
    <w:p w:rsidR="00F4358D" w:rsidRDefault="00D1585A">
      <w:pPr>
        <w:pStyle w:val="ManualConsidrant"/>
        <w:rPr>
          <w:noProof/>
          <w:sz w:val="20"/>
        </w:rPr>
      </w:pPr>
      <w:r>
        <w:t>(17)</w:t>
      </w:r>
      <w:r>
        <w:tab/>
      </w:r>
      <w:r>
        <w:rPr>
          <w:noProof/>
        </w:rPr>
        <w:t>Selleks et ergutada avaliku ja erasektori koostööd ja koostööd erasektori sees, pidades silmas eeskätt toetust elutäht</w:t>
      </w:r>
      <w:r>
        <w:rPr>
          <w:noProof/>
        </w:rPr>
        <w:t>sate infrastruktuuride kaitsele, peaks amet hõlbustama valdkondlike teabe jagamise ja analüüsimise keskuste (ISACide) loomist, pakkudes parimaid tavasid ja juhiseid kättesaadavate töövahendite ja menetluste kohta ning selle kohta, kuidas lahendada teabe ja</w:t>
      </w:r>
      <w:r>
        <w:rPr>
          <w:noProof/>
        </w:rPr>
        <w:t>gamisega seotud regulatiivsed küsimused.</w:t>
      </w:r>
    </w:p>
    <w:p w:rsidR="00F4358D" w:rsidRDefault="00D1585A">
      <w:pPr>
        <w:pStyle w:val="ManualConsidrant"/>
        <w:rPr>
          <w:noProof/>
        </w:rPr>
      </w:pPr>
      <w:r>
        <w:t>(18)</w:t>
      </w:r>
      <w:r>
        <w:tab/>
      </w:r>
      <w:r>
        <w:rPr>
          <w:noProof/>
        </w:rPr>
        <w:t xml:space="preserve">Amet peaks koondama ja analüüsima riikide CSIRTide ja CERT-EU aruandeid ning koostama teabevahetuse jaoks ühised eeskirjad, keele ja terminoloogia. Võrgu- ja infoturbe direktiiviga loodud CSIRTide võrgustikuga </w:t>
      </w:r>
      <w:r>
        <w:rPr>
          <w:noProof/>
        </w:rPr>
        <w:t>loodi alus vabatahtlikuks tehnilise teabe vahetamiseks operatiivtasandil – selle raames peaks amet kaasama ka erasektori.</w:t>
      </w:r>
    </w:p>
    <w:p w:rsidR="00F4358D" w:rsidRDefault="00D1585A">
      <w:pPr>
        <w:pStyle w:val="ManualConsidrant"/>
        <w:rPr>
          <w:noProof/>
        </w:rPr>
      </w:pPr>
      <w:r>
        <w:t>(19)</w:t>
      </w:r>
      <w:r>
        <w:tab/>
      </w:r>
      <w:r>
        <w:rPr>
          <w:noProof/>
        </w:rPr>
        <w:t>Amet peaks andma oma panuse sellesse, kuidas ELi tasandil reageeritakse mastaapsetele piiriülestele küberturvalisuse intsidentide</w:t>
      </w:r>
      <w:r>
        <w:rPr>
          <w:noProof/>
        </w:rPr>
        <w:t>le ja kriisidele. See funktsioon peaks hõlmama asjaomase teabe kogumist ning vahendajarolli CSIRTide võrgustiku ja tehnilise kogukonna, aga ka kriisi haldamise eest vastutavate otsusetegijate vahel. Lisaks võiks amet toetada intsidendikäsitlust tehnilise k</w:t>
      </w:r>
      <w:r>
        <w:rPr>
          <w:noProof/>
        </w:rPr>
        <w:t>ülje pealt, hõlbustades vajalike lahenduste tehnilist vahetamist liikmesriikide vahel ja pakkudes sisendit avaliku teabevahetuse jaoks. Amet peaks seda protsessi toetama sellise koostöö aspektide testimisega iga-aastaste küberturvalisuse õppuste käigus.</w:t>
      </w:r>
    </w:p>
    <w:p w:rsidR="00F4358D" w:rsidRDefault="00D1585A">
      <w:pPr>
        <w:pStyle w:val="ManualConsidrant"/>
        <w:rPr>
          <w:noProof/>
        </w:rPr>
      </w:pPr>
      <w:r>
        <w:t>(2</w:t>
      </w:r>
      <w:r>
        <w:t>0)</w:t>
      </w:r>
      <w:r>
        <w:tab/>
      </w:r>
      <w:r>
        <w:rPr>
          <w:noProof/>
        </w:rPr>
        <w:t xml:space="preserve">Operatiivülesannete täitmisel peaks amet tegema CERT-EUga füüsiliselt lähestikku olles struktureeritud koostööd ja kasutama nende kättesaadavat oskusteavet. Struktureeritud koostöö soodustab vajalikku koosmõju ja ENISA oskusteabe kasvu. Vajaduse korral </w:t>
      </w:r>
      <w:r>
        <w:rPr>
          <w:noProof/>
        </w:rPr>
        <w:t>tuleks kahe organisatsiooni vahel kehtestada erikord, et määrata kindlaks sellise koostöö praktiline kulg.</w:t>
      </w:r>
    </w:p>
    <w:p w:rsidR="00F4358D" w:rsidRDefault="00D1585A">
      <w:pPr>
        <w:pStyle w:val="ManualConsidrant"/>
        <w:rPr>
          <w:noProof/>
        </w:rPr>
      </w:pPr>
      <w:r>
        <w:t>(21)</w:t>
      </w:r>
      <w:r>
        <w:tab/>
      </w:r>
      <w:r>
        <w:rPr>
          <w:noProof/>
        </w:rPr>
        <w:t>Amet peaks kooskõlas oma operatiivülesannetega suutma pakkuda liikmesriikidele toetust, näiteks jagama nõu ja tehnilist abi või tagama ohtude ja</w:t>
      </w:r>
      <w:r>
        <w:rPr>
          <w:noProof/>
        </w:rPr>
        <w:t xml:space="preserve"> intsidentide analüüsimise. Komisjoni soovituses koordineeritud reageerimiseks ulatuslike küberturvalisuse intsidentide ja kriiside korral on öeldud, et liikmesriigid peaksid tegema heas usus koostööd ja jagama ilma põhjendamatute viivitusteta nii omavahel</w:t>
      </w:r>
      <w:r>
        <w:rPr>
          <w:noProof/>
        </w:rPr>
        <w:t xml:space="preserve"> kui ka ENISAga teavet mastaapsete küberturvalisuse intsidentide ja kriiside kohta. Sellisest teabest oleks ENISA-l oma operatiivülesannete täitmisel täiendavat abi.</w:t>
      </w:r>
    </w:p>
    <w:p w:rsidR="00F4358D" w:rsidRDefault="00D1585A">
      <w:pPr>
        <w:pStyle w:val="ManualConsidrant"/>
        <w:rPr>
          <w:noProof/>
        </w:rPr>
      </w:pPr>
      <w:r>
        <w:t>(22)</w:t>
      </w:r>
      <w:r>
        <w:tab/>
      </w:r>
      <w:r>
        <w:rPr>
          <w:noProof/>
        </w:rPr>
        <w:t>Amet peaks liidu olukorrateadlikkust toetava tehnilise tasandi korrapärase koostöö ra</w:t>
      </w:r>
      <w:r>
        <w:rPr>
          <w:noProof/>
        </w:rPr>
        <w:t>ames korrapäraselt koostama intsidentide ja ohtude kohta ELi küberturvalisuse tehnilist olukorda käsitlevaid aruandeid, mis põhinevad avalikult kättesaadaval teabel, tema enda analüüsidel ja aruannetel, mida jagavad temaga liikmesriikide CSIRTid (vabatahtl</w:t>
      </w:r>
      <w:r>
        <w:rPr>
          <w:noProof/>
        </w:rPr>
        <w:t>ikkuse alusel) või võrgu- ja infosüsteemide direktiivi kohased ühtsed kontaktpunktid, Europoli juures tegutsev küberkuritegevuse vastase võitluse Euroopa keskus (EC3) ja CERT-EU ja kui asjakohane, siis Euroopa Liidu luureandmete analüüsi keskus (INTCEN) Eu</w:t>
      </w:r>
      <w:r>
        <w:rPr>
          <w:noProof/>
        </w:rPr>
        <w:t>roopa välisteenistuse juures. Aruanne tuleks teha kättesaadavaks nõukogu asjakohastele organitele, komisjonile, liidu välisasjade ja julgeolekupoliitika kõrgele esindajale ja CSIRTide võrgustikule.</w:t>
      </w:r>
    </w:p>
    <w:p w:rsidR="00F4358D" w:rsidRDefault="00D1585A">
      <w:pPr>
        <w:pStyle w:val="ManualConsidrant"/>
        <w:rPr>
          <w:noProof/>
        </w:rPr>
      </w:pPr>
      <w:r>
        <w:t>(23)</w:t>
      </w:r>
      <w:r>
        <w:tab/>
      </w:r>
      <w:r>
        <w:rPr>
          <w:noProof/>
        </w:rPr>
        <w:t>Kui intsidendil on oluline mõju mitmes liikmesriigis,</w:t>
      </w:r>
      <w:r>
        <w:rPr>
          <w:noProof/>
        </w:rPr>
        <w:t xml:space="preserve"> peaks tehniline järeluurimine, mida amet toetab või teostab asjaomaste liikmesriikide taotluse korral või nende nõusolekuga, keskenduma edasiste intsidentide ärahoidmisele ning see tuleks ellu viia ilma, et see piiraks süüd või vastutust omistavaid kohtu-</w:t>
      </w:r>
      <w:r>
        <w:rPr>
          <w:noProof/>
        </w:rPr>
        <w:t>või haldusmenetlusi.</w:t>
      </w:r>
    </w:p>
    <w:p w:rsidR="00F4358D" w:rsidRDefault="00D1585A">
      <w:pPr>
        <w:pStyle w:val="ManualConsidrant"/>
        <w:rPr>
          <w:noProof/>
        </w:rPr>
      </w:pPr>
      <w:r>
        <w:t>(24)</w:t>
      </w:r>
      <w:r>
        <w:tab/>
      </w:r>
      <w:r>
        <w:rPr>
          <w:noProof/>
        </w:rPr>
        <w:t>Asjaomased liikmesriigid peaksid uurimise käigus pakkuma ametile vajalikku teavet ja abi, ilma et see piiraks Euroopa Liidu toimimise lepingu artikli 346 sätteid või muid avaliku poliitikaga seotud põhjuseid.</w:t>
      </w:r>
    </w:p>
    <w:p w:rsidR="00F4358D" w:rsidRDefault="00D1585A">
      <w:pPr>
        <w:pStyle w:val="ManualConsidrant"/>
        <w:rPr>
          <w:noProof/>
        </w:rPr>
      </w:pPr>
      <w:r>
        <w:t>(25)</w:t>
      </w:r>
      <w:r>
        <w:tab/>
      </w:r>
      <w:r>
        <w:rPr>
          <w:noProof/>
        </w:rPr>
        <w:t xml:space="preserve">Liikmesriigid </w:t>
      </w:r>
      <w:r>
        <w:rPr>
          <w:noProof/>
        </w:rPr>
        <w:t>võivad paluda, et intsidendist mõjutatud ettevõtjad teeksid koostööd ning pakuksid ametile vajalikku teavet ja abi, ilma et see piiraks nende õigust kaitsta tundlikku äriteavet. </w:t>
      </w:r>
    </w:p>
    <w:p w:rsidR="00F4358D" w:rsidRDefault="00D1585A">
      <w:pPr>
        <w:pStyle w:val="ManualConsidrant"/>
        <w:rPr>
          <w:noProof/>
        </w:rPr>
      </w:pPr>
      <w:r>
        <w:t>(26)</w:t>
      </w:r>
      <w:r>
        <w:tab/>
      </w:r>
      <w:r>
        <w:rPr>
          <w:noProof/>
        </w:rPr>
        <w:t>Et küberturvalisuse valdkonna probleemidest paremini aru saada ning liik</w:t>
      </w:r>
      <w:r>
        <w:rPr>
          <w:noProof/>
        </w:rPr>
        <w:t>mesriikidele ja liidu institutsioonidele pikaajalist strateegilist nõu anda, peab amet analüüsima praeguseid ja kujunemisjärgus riske. Sel eesmärgil peaks amet koostöös liikmesriikidega ja vajaduse korral ka statistikaasutuste ja muude asutustega koguma as</w:t>
      </w:r>
      <w:r>
        <w:rPr>
          <w:noProof/>
        </w:rPr>
        <w:t xml:space="preserve">jakohast teavet ning analüüsima kujunemisjärgus tehnoloogiaid ja andma teemakohaseid hinnanguid võrgu- ja infoturbe, eeskätt küberturvalisuse tehnoloogiliste uuenduste eeldatavale ühiskondlikule, õiguslikule, majanduslikule ja regulatiivsele mõjule. Peale </w:t>
      </w:r>
      <w:r>
        <w:rPr>
          <w:noProof/>
        </w:rPr>
        <w:t>selle peaks amet toetama ohtude ja intsidentide analüüsimise kaudu liikmesriike ja liidu institutsioone, organeid ja asutusi esilekerkivate suundumuste kindlakstegemisel ja küberturvalisusega seotud probleemide vältimisel.</w:t>
      </w:r>
    </w:p>
    <w:p w:rsidR="00F4358D" w:rsidRDefault="00D1585A">
      <w:pPr>
        <w:pStyle w:val="ManualConsidrant"/>
        <w:rPr>
          <w:noProof/>
        </w:rPr>
      </w:pPr>
      <w:r>
        <w:t>(27)</w:t>
      </w:r>
      <w:r>
        <w:tab/>
      </w:r>
      <w:r>
        <w:rPr>
          <w:noProof/>
        </w:rPr>
        <w:t>Amet peaks liidu vastupidavu</w:t>
      </w:r>
      <w:r>
        <w:rPr>
          <w:noProof/>
        </w:rPr>
        <w:t>se suurendamiseks arendama internetitaristu ja elutähtsate infrastruktuuride turvalisuse alaseid teadmisi, pakkudes nõuandeid, juhiseid ja parimaid tavasid. Et tagada hõlpsam juurdepääs paremini struktureeritud teabele küberturvalisuse riskide ja võimalike</w:t>
      </w:r>
      <w:r>
        <w:rPr>
          <w:noProof/>
        </w:rPr>
        <w:t xml:space="preserve"> lahenduste kohta, peaks amet arendama välja liidu teabekeskuse ja hoidma seda käigus. Teabekeskus oleks universaalne portaal, mis jagaks üldsusele küberturvalisuse kohta teavet, mis on saadud ELi ja riikide institutsioonidelt, organitelt ja asutustelt.</w:t>
      </w:r>
    </w:p>
    <w:p w:rsidR="00F4358D" w:rsidRDefault="00D1585A">
      <w:pPr>
        <w:pStyle w:val="ManualConsidrant"/>
        <w:rPr>
          <w:rFonts w:eastAsia="Times New Roman"/>
          <w:noProof/>
        </w:rPr>
      </w:pPr>
      <w:r>
        <w:t>(2</w:t>
      </w:r>
      <w:r>
        <w:t>8)</w:t>
      </w:r>
      <w:r>
        <w:tab/>
      </w:r>
      <w:r>
        <w:rPr>
          <w:noProof/>
        </w:rPr>
        <w:t>Amet peaks aitama suurendada üldsuse teadlikkust küberturvalisusega seotud riskidest ja jagama kodanikele ja organisatsioonidele mõeldud juhiseid individuaalsete kasutajate heade tavade kohta; Amet peaks aitama kaasa ka parimate tavade ja lahenduste pro</w:t>
      </w:r>
      <w:r>
        <w:rPr>
          <w:noProof/>
        </w:rPr>
        <w:t>pageerimisele üksikisikute ja organisatsioonide tasandil; selleks tuleks koguda ja analüüsida avalikult kättesaadavat teavet oluliste intsidentide kohta ning koostada aruanded, et pakkuda ettevõtjatele ja kodanikele juhiseid ning parandada valmisoleku ja v</w:t>
      </w:r>
      <w:r>
        <w:rPr>
          <w:noProof/>
        </w:rPr>
        <w:t xml:space="preserve">astupidavuse üldist taset. Amet peaks korraldama koostöös liikmesriikide ja liidu institutsioonide, organite, asutuste ja ametitega korrapäraseid lõppkasutajatele suunatud üldsuse harimise ja teavituskampaaniaid, mille eesmärk on propageerida üksikisikute </w:t>
      </w:r>
      <w:r>
        <w:rPr>
          <w:noProof/>
        </w:rPr>
        <w:t>ohutumat veebikäitumist ja suurendada teadlikkust küberkeskkonnas varitseda võivatest ohtudest, sealhulgas sellistest küberkuritegudest nagu andmepüügi rünnakud, robotvõrgud, finants- ja pangapettused, ning tutvustada autentimise ja andmekaitse alaseid ele</w:t>
      </w:r>
      <w:r>
        <w:rPr>
          <w:noProof/>
        </w:rPr>
        <w:t>mentaarseid nõuandeid. Ametil peaks olema keskne roll selles, et lõppkasutajad saaksid kiiremini teadlikuks seadmete turvalisusest.</w:t>
      </w:r>
    </w:p>
    <w:p w:rsidR="00F4358D" w:rsidRDefault="00D1585A">
      <w:pPr>
        <w:pStyle w:val="ManualConsidrant"/>
        <w:rPr>
          <w:noProof/>
        </w:rPr>
      </w:pPr>
      <w:r>
        <w:t>(29)</w:t>
      </w:r>
      <w:r>
        <w:tab/>
      </w:r>
      <w:r>
        <w:rPr>
          <w:noProof/>
        </w:rPr>
        <w:t>Küberturvalisuse sektoris tegutsevate ettevõtjate, aga ka küberturvalisuse lahenduste kasutajate toetuseks peaks amet r</w:t>
      </w:r>
      <w:r>
        <w:rPr>
          <w:noProof/>
        </w:rPr>
        <w:t>ajama nn turuseirekeskuse ja seda käigus hoidma, analüüsides korrapäraselt nii küberturvalisuse turu nõudluse kui ka pakkumise poole peamisi suundumusi ja neid tutvustades.</w:t>
      </w:r>
    </w:p>
    <w:p w:rsidR="00F4358D" w:rsidRDefault="00D1585A">
      <w:pPr>
        <w:pStyle w:val="ManualConsidrant"/>
        <w:rPr>
          <w:noProof/>
        </w:rPr>
      </w:pPr>
      <w:r>
        <w:t>(30)</w:t>
      </w:r>
      <w:r>
        <w:tab/>
      </w:r>
      <w:r>
        <w:rPr>
          <w:noProof/>
        </w:rPr>
        <w:t>Tagamaks, et amet saavutab oma eesmärgid täies ulatuses, peaks ta suhtlema asj</w:t>
      </w:r>
      <w:r>
        <w:rPr>
          <w:noProof/>
        </w:rPr>
        <w:t>aomaste institutsioonide, organite ja asutustega, kelle hulgas on CERT-EU, Europoli juures tegutsev küberkuritegevuse vastase võitluse Euroopa keskus (EC3), Euroopa Kaitseagentuur (EDA), Vabadusel, Turvalisusel ja Õigusel Rajaneva Ala Suuremahuliste IT-süs</w:t>
      </w:r>
      <w:r>
        <w:rPr>
          <w:noProof/>
        </w:rPr>
        <w:t>teemide Operatiivjuhtimise Euroopa Amet (eu-LISA), Euroopa Lennundusohutusamet (EASA) ja mistahes muud ELi ametid, kes tegelevad küberturvalisusega. Peale selle peaks ta suhtlema veel andmekaitsega tegelevate ametiasutustega, et vahetada oskusteavet ja par</w:t>
      </w:r>
      <w:r>
        <w:rPr>
          <w:noProof/>
        </w:rPr>
        <w:t>imaid tavasid ning anda nõu küberturvalisuse aspektide kohta, mis võiksid mõjutada nende tööd. Riikide ja liidu õiguskaitseasutuste ja andmekaitseasutuste esindajad peaksid olema esindatud ameti alalises sidusrühmas. Õiguskaitseasutustega koostöö tegemisel</w:t>
      </w:r>
      <w:r>
        <w:rPr>
          <w:noProof/>
        </w:rPr>
        <w:t xml:space="preserve"> võrgu- ja infoturbe küsimustes, mis võivad nende tööd mõjutada, peaks amet arvestama olemasolevate teabekanalite ja rajatud võrgustikega.</w:t>
      </w:r>
    </w:p>
    <w:p w:rsidR="00F4358D" w:rsidRDefault="00D1585A">
      <w:pPr>
        <w:pStyle w:val="ManualConsidrant"/>
        <w:rPr>
          <w:noProof/>
        </w:rPr>
      </w:pPr>
      <w:r>
        <w:t>(31)</w:t>
      </w:r>
      <w:r>
        <w:tab/>
      </w:r>
      <w:r>
        <w:rPr>
          <w:noProof/>
        </w:rPr>
        <w:t>Amet on CSIRTide võrgustiku liige ja pakub neile ka sekretariaaditeenuseid ning peaks toetama liikmesriikide CSI</w:t>
      </w:r>
      <w:r>
        <w:rPr>
          <w:noProof/>
        </w:rPr>
        <w:t>RTe ja CERT-EUd operatiivkoostöös, mis lisandub CSIRTide võrgustiku kõigile asjaomastele ülesannetele, mis on kindlaks määratud võrgu- ja infoturbe direktiivis. Veelgi enam, amet peaks edendama ja toetama ka asjaomaste CSIRTide koostööd, kui toimuvad intsi</w:t>
      </w:r>
      <w:r>
        <w:rPr>
          <w:noProof/>
        </w:rPr>
        <w:t>dendid, ründed või häired CSIRTide hallatavates või kaitstavates võrkudes või taristutes, mis hõlmavad või võivad hõlmata vähemalt kahte CSIRTi, võttes sealjuures nõuetekohaselt arvesse CSIRTide võrgustiku standardset töökorda.</w:t>
      </w:r>
    </w:p>
    <w:p w:rsidR="00F4358D" w:rsidRDefault="00D1585A">
      <w:pPr>
        <w:pStyle w:val="ManualConsidrant"/>
        <w:rPr>
          <w:noProof/>
        </w:rPr>
      </w:pPr>
      <w:r>
        <w:t>(32)</w:t>
      </w:r>
      <w:r>
        <w:tab/>
      </w:r>
      <w:r>
        <w:rPr>
          <w:noProof/>
        </w:rPr>
        <w:t>Selleks et suurendada l</w:t>
      </w:r>
      <w:r>
        <w:rPr>
          <w:noProof/>
        </w:rPr>
        <w:t>iidu valmisolekut reageerida küberturvalisuse intsidentidele, peaks amet korraldama igal aastal liidu tasandi küberturvalisuse õppusi ning toetama liikmesriike ja ELi institutsioone, organeid ja asutusi nende taotluse korral õppuste korraldamisel.</w:t>
      </w:r>
    </w:p>
    <w:p w:rsidR="00F4358D" w:rsidRDefault="00D1585A">
      <w:pPr>
        <w:pStyle w:val="ManualConsidrant"/>
        <w:rPr>
          <w:noProof/>
        </w:rPr>
      </w:pPr>
      <w:r>
        <w:t>(33)</w:t>
      </w:r>
      <w:r>
        <w:tab/>
      </w:r>
      <w:r>
        <w:rPr>
          <w:noProof/>
        </w:rPr>
        <w:t>Lis</w:t>
      </w:r>
      <w:r>
        <w:rPr>
          <w:noProof/>
        </w:rPr>
        <w:t>aks peaks amet arendama ja säilitama oma oskusteavet küberturvalisuse sertifitseerimise kohta, et toetada liidu poliitikat selles valdkonnas. Amet peaks edendama küberturvalisuse sertifitseerimise kasutuselevõttu liidus muu hulgas sellega, et aitab kehtest</w:t>
      </w:r>
      <w:r>
        <w:rPr>
          <w:noProof/>
        </w:rPr>
        <w:t>ada liidu tasandil küberturvalisuse sertifitseerimise raamistiku ja seda hallata, et suurendada IKT toodete ja teenuste küberturvalisuse alase usaldusväärsuse läbipaistvust ning tugevdada seeläbi usaldust digitaalse siseturu vastu.</w:t>
      </w:r>
    </w:p>
    <w:p w:rsidR="00F4358D" w:rsidRDefault="00D1585A">
      <w:pPr>
        <w:pStyle w:val="ManualConsidrant"/>
        <w:rPr>
          <w:noProof/>
        </w:rPr>
      </w:pPr>
      <w:r>
        <w:t>(34)</w:t>
      </w:r>
      <w:r>
        <w:tab/>
      </w:r>
      <w:r>
        <w:rPr>
          <w:noProof/>
        </w:rPr>
        <w:t>Tõhusad küberturval</w:t>
      </w:r>
      <w:r>
        <w:rPr>
          <w:noProof/>
        </w:rPr>
        <w:t>isuse põhimõtted peaksid tuginema hästi väljatöötatud riskihindamismeetoditele, seda nii avalikus kui ka erasektoris. Riskihindamisemeetodeid kasutatakse erinevatel tasanditel ning puudub nende tõhusa kohaldamise üldine tava. Riskide hindamise ja koostalit</w:t>
      </w:r>
      <w:r>
        <w:rPr>
          <w:noProof/>
        </w:rPr>
        <w:t>lusvõimeliste riskihalduse lahenduste parimate tavade propageerimine ja arendamine avaliku ja erasektori organisatsioonides suurendab küberturvalisuse taset liidus. Selleks peaks amet toetama sidusrühmade koostööd liidu tasandil, hõlbustades nende jõupingu</w:t>
      </w:r>
      <w:r>
        <w:rPr>
          <w:noProof/>
        </w:rPr>
        <w:t>tusi seoses elektrooniliste toodete, süsteemide, võrkude ja teenuste – mis koos tarkvaraga moodustavad võrgu- ja infosüsteemid – riskihalduse ja mõõdetava turvalisuse Euroopa ja rahvusvaheliste standardite väljatöötamise ja kasutuselevõtmisega.</w:t>
      </w:r>
    </w:p>
    <w:p w:rsidR="00F4358D" w:rsidRDefault="00D1585A">
      <w:pPr>
        <w:pStyle w:val="ManualConsidrant"/>
        <w:rPr>
          <w:noProof/>
        </w:rPr>
      </w:pPr>
      <w:r>
        <w:t>(35)</w:t>
      </w:r>
      <w:r>
        <w:tab/>
      </w:r>
      <w:r>
        <w:rPr>
          <w:noProof/>
        </w:rPr>
        <w:t>Amet p</w:t>
      </w:r>
      <w:r>
        <w:rPr>
          <w:noProof/>
        </w:rPr>
        <w:t>eaks innustama liikmesriike ja teenusepakkujaid tõstma oma üldisi turbestandardeid, et kõik internetikasutajad saaksid võtta vajalikud meetmed oma isikliku küberturvalisuse tagamiseks. Eelkõige peaksid tootjad ja teenuseosutajad võtma tagasi või taaskasutu</w:t>
      </w:r>
      <w:r>
        <w:rPr>
          <w:noProof/>
        </w:rPr>
        <w:t>sse tooted ja teenused, mis ei vasta küberturvalisuse standarditele. Koostöös pädevate asutustega võib ENISA jagada teavet siseturul pakutavate toodete ja teenuste küberturvalisuse taseme kohta ning avaldada teenusepakkujatele ja tootjatele suunatud hoiatu</w:t>
      </w:r>
      <w:r>
        <w:rPr>
          <w:noProof/>
        </w:rPr>
        <w:t>si, milles nõutakse nende toodete ja teenuste turvalisuse, sealhulgas küberturvalisuse parandamist.</w:t>
      </w:r>
    </w:p>
    <w:p w:rsidR="00F4358D" w:rsidRDefault="00D1585A">
      <w:pPr>
        <w:pStyle w:val="ManualConsidrant"/>
        <w:rPr>
          <w:noProof/>
        </w:rPr>
      </w:pPr>
      <w:r>
        <w:t>(36)</w:t>
      </w:r>
      <w:r>
        <w:tab/>
      </w:r>
      <w:r>
        <w:rPr>
          <w:noProof/>
        </w:rPr>
        <w:t>Amet peaks täies ulatuses võtma arvesse tehtavaid teadusuuringuid, arendustegevust ja tehnoloogilisi hindamisi, eelkõige neid, mida tehakse mitmesugust</w:t>
      </w:r>
      <w:r>
        <w:rPr>
          <w:noProof/>
        </w:rPr>
        <w:t>e Euroopa Liidu teadusalgatuste raames, et nõustada liidu institutsioone, organeid ja asutusi ning kui see on asjakohane, liikmesriike nende taotlusel seoses vajadusega teadusuuringute järele võrgu- ja infoturbe, eelkõige küberturvalisuse valdkonnas.</w:t>
      </w:r>
    </w:p>
    <w:p w:rsidR="00F4358D" w:rsidRDefault="00D1585A">
      <w:pPr>
        <w:pStyle w:val="ManualConsidrant"/>
        <w:rPr>
          <w:noProof/>
        </w:rPr>
      </w:pPr>
      <w:r>
        <w:t>(37)</w:t>
      </w:r>
      <w:r>
        <w:tab/>
      </w:r>
      <w:r>
        <w:rPr>
          <w:noProof/>
        </w:rPr>
        <w:t>Küberturvalisusega seotud probleemid on ülemaailmsed. Vaja on teha tihedamat rahvusvahelist koostööd, et parandada turbestandardeid, (sealhulgas määratleda ühised käitumisnormid) ja teabe jagamist, millega edendatakse nii kiiremat rahvusvahelist koostööd r</w:t>
      </w:r>
      <w:r>
        <w:rPr>
          <w:noProof/>
        </w:rPr>
        <w:t>eageerimise valdkonnas kui ka ühtset ülemaailmset lähenemisviisi võrgu- ja infoturbele. Selleks peaks amet toetama liidu tihedamat kaasamist ning koostööd kolmandate riikide ja rahvusvaheliste organisatsioonidega, pakkudes vajaduse korral asjaomastele liid</w:t>
      </w:r>
      <w:r>
        <w:rPr>
          <w:noProof/>
        </w:rPr>
        <w:t>u institutsioonidele, organitele ja asutustele vajalikku oskusteavet ja analüüsi.</w:t>
      </w:r>
    </w:p>
    <w:p w:rsidR="00F4358D" w:rsidRDefault="00D1585A">
      <w:pPr>
        <w:pStyle w:val="ManualConsidrant"/>
        <w:rPr>
          <w:noProof/>
        </w:rPr>
      </w:pPr>
      <w:r>
        <w:t>(38)</w:t>
      </w:r>
      <w:r>
        <w:tab/>
      </w:r>
      <w:r>
        <w:rPr>
          <w:noProof/>
        </w:rPr>
        <w:t xml:space="preserve">Amet peaks suutma reageerida liikmesriikide ja ELi institutsioonide, ametite ja organite </w:t>
      </w:r>
      <w:r>
        <w:rPr>
          <w:i/>
          <w:noProof/>
        </w:rPr>
        <w:t>ad hoc</w:t>
      </w:r>
      <w:r>
        <w:rPr>
          <w:noProof/>
        </w:rPr>
        <w:t xml:space="preserve"> nõuande- ja abitaotlustele, mis kuuluvad ameti eesmärkide hulka.</w:t>
      </w:r>
    </w:p>
    <w:p w:rsidR="00F4358D" w:rsidRDefault="00D1585A">
      <w:pPr>
        <w:pStyle w:val="ManualConsidrant"/>
        <w:rPr>
          <w:noProof/>
        </w:rPr>
      </w:pPr>
      <w:r>
        <w:t>(39)</w:t>
      </w:r>
      <w:r>
        <w:tab/>
      </w:r>
      <w:r>
        <w:rPr>
          <w:noProof/>
        </w:rPr>
        <w:t>Ame</w:t>
      </w:r>
      <w:r>
        <w:rPr>
          <w:noProof/>
        </w:rPr>
        <w:t xml:space="preserve">ti juhtimisel on oluline rakendada teatavaid põhimõtteid, et järgida ühisavaldust ja ühist lähenemisviisi, mille institutsioonidevaheline ELi detsentraliseeritud ametite töörühm juulis 2012 kokku leppis ning mille eesmärk on ühtlustada ametite tegevust ja </w:t>
      </w:r>
      <w:r>
        <w:rPr>
          <w:noProof/>
        </w:rPr>
        <w:t>parandada nende toimimist. Ühisavaldus ja ühine lähenemisviis peaksid vajaduse korral samuti kajastuma ameti tööprogrammides, ameti hindamistes ning ameti aruandlus- ja haldustavades.</w:t>
      </w:r>
    </w:p>
    <w:p w:rsidR="00F4358D" w:rsidRDefault="00D1585A">
      <w:pPr>
        <w:pStyle w:val="ManualConsidrant"/>
        <w:rPr>
          <w:noProof/>
        </w:rPr>
      </w:pPr>
      <w:r>
        <w:t>(40)</w:t>
      </w:r>
      <w:r>
        <w:tab/>
      </w:r>
      <w:r>
        <w:rPr>
          <w:noProof/>
        </w:rPr>
        <w:t>Liikmesriikide ja komisjoni esindajatest koosnev haldusnõukogu peak</w:t>
      </w:r>
      <w:r>
        <w:rPr>
          <w:noProof/>
        </w:rPr>
        <w:t xml:space="preserve">s kindlaks määrama ameti tegevuse üldsuuna ning tagama, et amet täidab oma ülesandeid vastavalt käesolevale määrusele. Haldusnõukogule tuleks anda õigus koostada ameti eelarve ja kontrollida selle täitmist, võtta vastu kohased finantseeskirjad, kehtestada </w:t>
      </w:r>
      <w:r>
        <w:rPr>
          <w:noProof/>
        </w:rPr>
        <w:t>ameti otsuste tegemiseks läbipaistev kord, võtta vastu ameti ühtne programmdokument, võtta vastu ameti töökord, nimetada ametisse tegevdirektor ning otsustada tegevdirektori ametiaja pikendamise ja tema ametiaja lõpetamise üle.</w:t>
      </w:r>
    </w:p>
    <w:p w:rsidR="00F4358D" w:rsidRDefault="00D1585A">
      <w:pPr>
        <w:pStyle w:val="ManualConsidrant"/>
        <w:rPr>
          <w:noProof/>
        </w:rPr>
      </w:pPr>
      <w:r>
        <w:t>(41)</w:t>
      </w:r>
      <w:r>
        <w:tab/>
      </w:r>
      <w:r>
        <w:rPr>
          <w:noProof/>
        </w:rPr>
        <w:t>Ameti nõuetekohaseks ja</w:t>
      </w:r>
      <w:r>
        <w:rPr>
          <w:noProof/>
        </w:rPr>
        <w:t xml:space="preserve"> tulemuslikuks toimimiseks peaksid komisjon ja liikmesriigid tagama, et haldusnõukogu liikmeteks nimetatavatel isikutel on vajalikud erialateadmised ja kogemused. Komisjon ja liikmesriigid peaksid püüdma piirata oma esindajate vahetumist haldusnõukogus, et</w:t>
      </w:r>
      <w:r>
        <w:rPr>
          <w:noProof/>
        </w:rPr>
        <w:t xml:space="preserve"> tagada selle töö järjepidevus.</w:t>
      </w:r>
    </w:p>
    <w:p w:rsidR="00F4358D" w:rsidRDefault="00D1585A">
      <w:pPr>
        <w:pStyle w:val="ManualConsidrant"/>
        <w:rPr>
          <w:noProof/>
        </w:rPr>
      </w:pPr>
      <w:r>
        <w:t>(42)</w:t>
      </w:r>
      <w:r>
        <w:tab/>
      </w:r>
      <w:r>
        <w:rPr>
          <w:noProof/>
        </w:rPr>
        <w:t>Ameti sujuvaks toimimiseks on tarvis, et tegevdirektor nimetataks ametisse silmas pidades tema teeneid, dokumenteeritud haldamis- ja juhtimisoskust ning küberturvalisuse alaseid teadmisi ja kogemusi ning et tegevdirekto</w:t>
      </w:r>
      <w:r>
        <w:rPr>
          <w:noProof/>
        </w:rPr>
        <w:t>ri ülesandeid täidetaks täiesti sõltumatult. Tegevdirektor peaks pärast komisjoniga konsulteerimist koostama ettepaneku ameti tööprogrammi kohta ning võtma kõik vajalikud meetmed ameti tööprogrammi nõuetekohase täitmise tagamiseks. Tegevdirektor peaks koos</w:t>
      </w:r>
      <w:r>
        <w:rPr>
          <w:noProof/>
        </w:rPr>
        <w:t>tama igal aastal haldusnõukogule esitatava aruande, koostama ameti tulude ja kulude kalkulatsiooni eelnõu ning vastutama eelarve täitmise eest. Lisaks peaks tegevdirektoril olema võimalus luua ajutisi töörühmi selleks, et käsitleda eelkõige teaduslikke, te</w:t>
      </w:r>
      <w:r>
        <w:rPr>
          <w:noProof/>
        </w:rPr>
        <w:t>hnilisi, juriidilisi või sotsiaal-majanduslikke küsimusi. Tegevdirektor peaks tagama, et ajutistesse töörühmadesse valitakse liikmed kõige põhjalikumate erialateadmiste põhjal, võttes nõuetekohaselt arvesse, et seal oleksid (lähtuvalt sellest, kuidas see o</w:t>
      </w:r>
      <w:r>
        <w:rPr>
          <w:noProof/>
        </w:rPr>
        <w:t>n konkreetset küsimust arvestades asjakohane) tasakaalustatult esindatud liikmesriikide riiklikud haldusorganid, liidu institutsioonid ja erasektor, sealhulgas majandusringkonnad, kasutajad ning võrgu- ja infoturbe alal pädevad teaduseksperdid.</w:t>
      </w:r>
    </w:p>
    <w:p w:rsidR="00F4358D" w:rsidRDefault="00D1585A">
      <w:pPr>
        <w:pStyle w:val="ManualConsidrant"/>
        <w:rPr>
          <w:noProof/>
        </w:rPr>
      </w:pPr>
      <w:r>
        <w:t>(43)</w:t>
      </w:r>
      <w:r>
        <w:tab/>
      </w:r>
      <w:r>
        <w:rPr>
          <w:noProof/>
        </w:rPr>
        <w:t>Juhatu</w:t>
      </w:r>
      <w:r>
        <w:rPr>
          <w:noProof/>
        </w:rPr>
        <w:t>s peaks aitama kaasa haldusnõukogu tõhusale toimimisele. Osana haldusnõukogu otsustega seotud ettevalmistustööst peaks juhatus põhjalikult analüüsima asjakohast teavet ja olemasolevaid võimalusi ning pakkuma nõuandeid ja lahendusi haldusnõukogu asjakohaste</w:t>
      </w:r>
      <w:r>
        <w:rPr>
          <w:noProof/>
        </w:rPr>
        <w:t xml:space="preserve"> otsuste ettevalmistamiseks.</w:t>
      </w:r>
    </w:p>
    <w:p w:rsidR="00F4358D" w:rsidRDefault="00D1585A">
      <w:pPr>
        <w:pStyle w:val="ManualConsidrant"/>
        <w:rPr>
          <w:noProof/>
        </w:rPr>
      </w:pPr>
      <w:r>
        <w:t>(44)</w:t>
      </w:r>
      <w:r>
        <w:tab/>
      </w:r>
      <w:r>
        <w:rPr>
          <w:noProof/>
        </w:rPr>
        <w:t xml:space="preserve">Ametil peaks olema nõuandva organina alaline sidusrühm, mis tagaks regulaarse dialoogi erasektori, tarbijate organisatsioonide ja teiste asjaomaste sidusrühmadega. Tegevdirektori ettepanekul haldusnõukogu asutatud alaline </w:t>
      </w:r>
      <w:r>
        <w:rPr>
          <w:noProof/>
        </w:rPr>
        <w:t>sidusrühm peaks keskenduma sidusrühmade jaoks olulistele küsimustele ja juhtima neile ameti tähelepanu. Alalise sidusrühma koosseis ja ülesanded (eelkõige tuleb rühmaga konsulteerida tööprogrammi projekti üle) peaksid tagama sidusrühmade piisava esindatuse</w:t>
      </w:r>
      <w:r>
        <w:rPr>
          <w:noProof/>
        </w:rPr>
        <w:t xml:space="preserve"> ameti töös.</w:t>
      </w:r>
    </w:p>
    <w:p w:rsidR="00F4358D" w:rsidRDefault="00D1585A">
      <w:pPr>
        <w:pStyle w:val="ManualConsidrant"/>
        <w:rPr>
          <w:noProof/>
        </w:rPr>
      </w:pPr>
      <w:r>
        <w:t>(45)</w:t>
      </w:r>
      <w:r>
        <w:tab/>
      </w:r>
      <w:r>
        <w:rPr>
          <w:noProof/>
        </w:rPr>
        <w:t xml:space="preserve">Amet peaks vastu võtma huvide konfliktide ennetamise ja lahendamise eeskirjad. Amet peaks kohaldama ka asjaomaseid liidu sätteid, mis käsitlevad üldsuse juurdepääsu dokumentidele, nagu on sätestatud Euroopa Parlamendi ja nõukogu määruses </w:t>
      </w:r>
      <w:r>
        <w:rPr>
          <w:noProof/>
        </w:rPr>
        <w:t>(EÜ) nr 1049/2001</w:t>
      </w:r>
      <w:r>
        <w:rPr>
          <w:rStyle w:val="FootnoteReference"/>
          <w:noProof/>
        </w:rPr>
        <w:footnoteReference w:id="35"/>
      </w:r>
      <w:r>
        <w:rPr>
          <w:noProof/>
        </w:rPr>
        <w:t>. Isikuandmeid tuleks töödelda vastavalt Euroopa Parlamendi ja nõukogu 18. detsembri 2000. aasta määrusele (EÜ) nr 45/2001 üksikisikute kaitse kohta isikuandmete töötlemisel ühenduse institutsioonides ja asutustes ning selliste andmete va</w:t>
      </w:r>
      <w:r>
        <w:rPr>
          <w:noProof/>
        </w:rPr>
        <w:t>ba liikumise kohta</w:t>
      </w:r>
      <w:r>
        <w:rPr>
          <w:rStyle w:val="FootnoteReference"/>
          <w:noProof/>
        </w:rPr>
        <w:footnoteReference w:id="36"/>
      </w:r>
      <w:r>
        <w:rPr>
          <w:noProof/>
        </w:rPr>
        <w:t>. Amet peaks teabe käitlemisel, eelkõige tundliku kuid salastamata teabe ja ELi salastatud teabe käitlemisel järgima liidu institutsioonide kohta kehtivaid sätteid ja liikmesriikide õigusakte.</w:t>
      </w:r>
    </w:p>
    <w:p w:rsidR="00F4358D" w:rsidRDefault="00D1585A">
      <w:pPr>
        <w:pStyle w:val="ManualConsidrant"/>
        <w:rPr>
          <w:noProof/>
        </w:rPr>
      </w:pPr>
      <w:r>
        <w:t>(46)</w:t>
      </w:r>
      <w:r>
        <w:tab/>
      </w:r>
      <w:r>
        <w:rPr>
          <w:noProof/>
        </w:rPr>
        <w:t>Et tagada ameti täielik autonoomia ja s</w:t>
      </w:r>
      <w:r>
        <w:rPr>
          <w:noProof/>
        </w:rPr>
        <w:t>õltumatus ning võimaldada tal täita uusi ja lisaülesandeid, sealhulgas kiireloomulisi erakorralisi ülesandeid, tuleks ametile eraldada piisav ja autonoomne eelarve, mille peamine tulu tuleb liidu osamaksest ja ameti töös osalevate kolmandate riikide sissem</w:t>
      </w:r>
      <w:r>
        <w:rPr>
          <w:noProof/>
        </w:rPr>
        <w:t>aksetest. Enamik ameti töötajaid peaks olema otseselt tegev ameti mandaadi rakendamises. Asukohaliikmesriigil või mis tahes muul liikmesriigil peaks olema lubatud teha ameti tuludesse vabatahtlikult sissemakseid. Liidu eelarvemenetluse kohaldamist tuleks j</w:t>
      </w:r>
      <w:r>
        <w:rPr>
          <w:noProof/>
        </w:rPr>
        <w:t>ätkata mis tahes subsiidiumide suhtes, mida makstakse Euroopa Liidu üldeelarvest. Lisaks sellele peaks ameti raamatupidamisarvestust läbipaistvuse ja vastutuse tagamiseks auditeerima kontrollikoda.</w:t>
      </w:r>
    </w:p>
    <w:p w:rsidR="00F4358D" w:rsidRDefault="00D1585A">
      <w:pPr>
        <w:pStyle w:val="ManualConsidrant"/>
        <w:rPr>
          <w:noProof/>
        </w:rPr>
      </w:pPr>
      <w:r>
        <w:t>(47)</w:t>
      </w:r>
      <w:r>
        <w:tab/>
      </w:r>
      <w:r>
        <w:rPr>
          <w:noProof/>
        </w:rPr>
        <w:t>Vastavushindamine on hindamisprotsess, mille käigus h</w:t>
      </w:r>
      <w:r>
        <w:rPr>
          <w:noProof/>
        </w:rPr>
        <w:t xml:space="preserve">innatakse, kas toote, protsessi, teenuse, süsteemi, isiku või asutusega seotud erinõuded on täidetud. Käesoleva määruse kohaldamisel tuleks sertifitseerimist käsitada teatavat liiki vastavushindamisena, mis puudutab toote, protsessi, teenuse, süsteemi või </w:t>
      </w:r>
      <w:r>
        <w:rPr>
          <w:noProof/>
        </w:rPr>
        <w:t xml:space="preserve">nende kombinatsiooni (edaspidi „IKT tooted ja teenused“) küberturvalisuse elemente ja mida teostab sõltumatu kolmas isik, mitte tootja või teenusepakkuja. Sertifitseerimine iseenesest ei taga, et sertifitseeritud IKT tooted ja teenused on küberturvalised. </w:t>
      </w:r>
      <w:r>
        <w:rPr>
          <w:noProof/>
        </w:rPr>
        <w:t>Pigem on see menetlus ja tehniline metoodika tõendamaks, et IKT tooteid ja teenuseid on kontrollitud ja et need vastavad teatavatele küberturvalisuse nõuetele, mis on sätestatud mujal, näiteks tehnilistes standardites.</w:t>
      </w:r>
    </w:p>
    <w:p w:rsidR="00F4358D" w:rsidRDefault="00D1585A">
      <w:pPr>
        <w:pStyle w:val="ManualConsidrant"/>
        <w:rPr>
          <w:noProof/>
        </w:rPr>
      </w:pPr>
      <w:r>
        <w:t>(48)</w:t>
      </w:r>
      <w:r>
        <w:tab/>
      </w:r>
      <w:r>
        <w:rPr>
          <w:noProof/>
        </w:rPr>
        <w:t>Küberturvalisuse sertifitseerimi</w:t>
      </w:r>
      <w:r>
        <w:rPr>
          <w:noProof/>
        </w:rPr>
        <w:t>sel on tähtis ülesanne IKT toodete ja teenuste turvalisuse ja nende vastu usalduse suurendamises. Digitaalne ühtne turg ning eelkõige andmepõhine majandus ja asjade internet saavad olla edukad vaid juhul, kui avalikkusel on kindlustunne, et sellised tooted</w:t>
      </w:r>
      <w:r>
        <w:rPr>
          <w:noProof/>
        </w:rPr>
        <w:t xml:space="preserve"> ja teenused pakuvad teatavat küberturvalisuse taset. Internetiühendusega ja automatiseeritud autod, elektroonilised meditsiiniseadmed, tööstuslikud automatiseeritud juhtimissüsteemid või arukad võrgud on vaid mõned näited sektoritest, kus sertifitseerimis</w:t>
      </w:r>
      <w:r>
        <w:rPr>
          <w:noProof/>
        </w:rPr>
        <w:t>t juba ulatuslikult kasutatakse või tõenäoliselt hakatakse lähitulevikus kasutama. Võrgu- ja infoturbe direktiiviga reguleeritud sektorid on ka sektorid, kus küberturvalisuse sertifitseerimine on äärmiselt oluline.</w:t>
      </w:r>
    </w:p>
    <w:p w:rsidR="00F4358D" w:rsidRDefault="00D1585A">
      <w:pPr>
        <w:pStyle w:val="ManualConsidrant"/>
        <w:rPr>
          <w:noProof/>
        </w:rPr>
      </w:pPr>
      <w:r>
        <w:t>(49)</w:t>
      </w:r>
      <w:r>
        <w:tab/>
      </w:r>
      <w:r>
        <w:rPr>
          <w:noProof/>
        </w:rPr>
        <w:t>2016. aasta teatises „Euroopa küberv</w:t>
      </w:r>
      <w:r>
        <w:rPr>
          <w:noProof/>
        </w:rPr>
        <w:t>astupidavusvõime süsteemi tugevdamine ning konkurentsivõimelise ja uuendusliku küberjulgeolekutööstuse soodustamine“ tõi komisjon välja vajaduse kvaliteetsete, taskukohaste ja koostalitlusvõimeliste küberturvalisuse toodete ja -lahenduste järele. IKT toode</w:t>
      </w:r>
      <w:r>
        <w:rPr>
          <w:noProof/>
        </w:rPr>
        <w:t>te ja teenuste pakkumine ühtsel turul on endiselt geograafiliselt väga killustatud. Selle põhjuseks on asjaolu, et küberturvalisuse tööstus on Euroopas peamiselt arenenud riikliku, täpsemalt valitsuse nõudluse najal. Lisaks kuulub kübeturvalisuse ühtse tur</w:t>
      </w:r>
      <w:r>
        <w:rPr>
          <w:noProof/>
        </w:rPr>
        <w:t>u kitsaskohtade hulka koostalitusvõimeliste lahenduste (tehniliste standardite), tavade ja kogu ELi hõlmavate sertifitseerimismehhanismide puudumine. Ühest küljest teeb see riiklikul, Euroopa ja üleilmsel tasandil konkureerimise Euroopa ettevõtjate jaoks k</w:t>
      </w:r>
      <w:r>
        <w:rPr>
          <w:noProof/>
        </w:rPr>
        <w:t>eerukaks. Teisest küljest tähendab see üksikisikute ja ettevõtjate jaoks võimaliku ja kasutatava küberturvalisuse tehnoloogia kättesaadavust väiksemas valikus. Euroopa digitaalse ühtse turu strateegia rakendamise vahekokkuvõttes rõhutas komisjon vajadust t</w:t>
      </w:r>
      <w:r>
        <w:rPr>
          <w:noProof/>
        </w:rPr>
        <w:t>urvaliste võrgustatud toodete ja süsteemide järele ning märkis, et Euroopa IKT turvalisuse raamistiku loomine, millega kehtestatakse õigusnormid selle kohta, kuidas korraldada IKT turvalisuse sertifitseerimist liidus, võib aidata säilitada usaldust interne</w:t>
      </w:r>
      <w:r>
        <w:rPr>
          <w:noProof/>
        </w:rPr>
        <w:t>ti vastu ja vähendada küberturvalisuse turu praegust killustatust.</w:t>
      </w:r>
    </w:p>
    <w:p w:rsidR="00F4358D" w:rsidRDefault="00D1585A">
      <w:pPr>
        <w:pStyle w:val="ManualConsidrant"/>
        <w:rPr>
          <w:rFonts w:eastAsia="Times New Roman"/>
          <w:noProof/>
        </w:rPr>
      </w:pPr>
      <w:r>
        <w:t>(50)</w:t>
      </w:r>
      <w:r>
        <w:tab/>
      </w:r>
      <w:r>
        <w:rPr>
          <w:noProof/>
        </w:rPr>
        <w:t>Praegu kasutatakse IKT toodete ja teenuste küberturvalisuse sertifitseerimist ainult piiratud ulatuses. Kui sertifitseerimine on olemas, siis peamiselt liikmesriigi tasandil või tööstu</w:t>
      </w:r>
      <w:r>
        <w:rPr>
          <w:noProof/>
        </w:rPr>
        <w:t>sest lähtuvate kavade raames. Sellistes tingimustes ei tunnusta teised liikmesriigid üldiselt ühe riigi küberturvalisuse asutuse poolt välja antud sertifikaati. Seega võib juhtuda, et ettevõtted peavad sertifitseerima oma tooted ja teenused mitmes liikmesr</w:t>
      </w:r>
      <w:r>
        <w:rPr>
          <w:noProof/>
        </w:rPr>
        <w:t>iigis, kus nad tegutsevad, näiteks et osaleda riiklikes hankemenetlustes. Lisaks sellele paistab, et kuigi on tekkimas uusi kavasid, ei ole ühtset ja terviklikku lähenemisviisi küberturvalisuse horisontaalsetele küsimustele, näiteks asjade interneti valdko</w:t>
      </w:r>
      <w:r>
        <w:rPr>
          <w:noProof/>
        </w:rPr>
        <w:t>nnas. Olemasolevatel kavadel on märkimisväärseid puudujääke ning erinevusi tootehõlmavuses, usaldusväärsuse tasemetes, sisulistes kriteeriumides ja tegelikus kasutamises.</w:t>
      </w:r>
    </w:p>
    <w:p w:rsidR="00F4358D" w:rsidRDefault="00D1585A">
      <w:pPr>
        <w:pStyle w:val="ManualConsidrant"/>
        <w:rPr>
          <w:rFonts w:eastAsia="Times New Roman"/>
          <w:noProof/>
        </w:rPr>
      </w:pPr>
      <w:r>
        <w:t>(51)</w:t>
      </w:r>
      <w:r>
        <w:tab/>
      </w:r>
      <w:r>
        <w:rPr>
          <w:noProof/>
        </w:rPr>
        <w:t>Minevikus on tehtud pingutusi, et saavutada Euroopas sertifikaatide vastastikune</w:t>
      </w:r>
      <w:r>
        <w:rPr>
          <w:noProof/>
        </w:rPr>
        <w:t xml:space="preserve"> tunnustamine. See on olnud aga vaid osaliselt edukas. Kõige olulisem näide siinkohal on kõrgemate ametnike infosüsteemide turvalisuse rühma (SOG-IS) vastastikuse tunnustamise kokkulepe. Kuigi see on kõige tähtsam koostöö ja vastastikuse tunnustamise mudel</w:t>
      </w:r>
      <w:r>
        <w:rPr>
          <w:noProof/>
        </w:rPr>
        <w:t xml:space="preserve"> turvalisuse sertifitseerimise valdkonnas, esineb SOG-IS vastastikuse tunnustamise kokkuleppes siiski märkimisväärseid puudujääke seoses selle suurte kulude ja piiratud ulatusega. Praeguseks on välja arendatud vaid mõned digitaalsete toodete kaitseprofiili</w:t>
      </w:r>
      <w:r>
        <w:rPr>
          <w:noProof/>
        </w:rPr>
        <w:t>d, näiteks digitaalallkiri, digitaalne sõidumeerik ja kiipkaardid. Kõige olulisem on aga see, et SOG-IS hõlmab vaid osa liidu liikmesriike. See on piiranud SOG-IS vastastikuse tunnustamise kokkuleppe tulemuslikkust siseturu seisukohast.</w:t>
      </w:r>
    </w:p>
    <w:p w:rsidR="00F4358D" w:rsidRDefault="00D1585A">
      <w:pPr>
        <w:pStyle w:val="ManualConsidrant"/>
        <w:rPr>
          <w:noProof/>
        </w:rPr>
      </w:pPr>
      <w:r>
        <w:t>(52)</w:t>
      </w:r>
      <w:r>
        <w:tab/>
      </w:r>
      <w:r>
        <w:rPr>
          <w:noProof/>
        </w:rPr>
        <w:t xml:space="preserve">Eelnevat </w:t>
      </w:r>
      <w:r>
        <w:rPr>
          <w:noProof/>
        </w:rPr>
        <w:t>arvestades on vaja luua Euroopa küberturvalisuse sertifitseerimise raamistik, milles kehtestatakse välja töötatavate Euroopa küberturvalisuse sertifitseerimise kavade peamised horisontaalsed nõuded ning mis võimaldab tunnustada ja kasutada IKT toodete ja t</w:t>
      </w:r>
      <w:r>
        <w:rPr>
          <w:noProof/>
        </w:rPr>
        <w:t>eenuste sertifikaate kõigis liikmesriikides. Euroopa raamistikul peaks olema kaks eesmärki: ühest küljest peaks see aitama suurendada usaldust nende kavade kohaselt sertifitseeritud IKT toodete ja teenuste vastu. Teisest küljest peaks see vältima üksteisel</w:t>
      </w:r>
      <w:r>
        <w:rPr>
          <w:noProof/>
        </w:rPr>
        <w:t>e vastukäivate või kattuvate riiklike küberturvalisuse sertifikaatide paljusust ja seeläbi vähendama digitaalsel ühtsel turul tegutsevate ettevõtjate kulusid. Kavad peaksid olema mittediskrimineerivad ning põhinema rahvusvahelistel ja/või ELi standarditel,</w:t>
      </w:r>
      <w:r>
        <w:rPr>
          <w:noProof/>
        </w:rPr>
        <w:t xml:space="preserve"> välja arvatud juhul, kui need standardid on ebatõhusad või ebasobivad ELi õiguspäraste eesmärkide saavutamiseks selles valdkonnas.</w:t>
      </w:r>
    </w:p>
    <w:p w:rsidR="00F4358D" w:rsidRDefault="00D1585A">
      <w:pPr>
        <w:pStyle w:val="ManualConsidrant"/>
        <w:rPr>
          <w:noProof/>
        </w:rPr>
      </w:pPr>
      <w:r>
        <w:t>(53)</w:t>
      </w:r>
      <w:r>
        <w:tab/>
      </w:r>
      <w:r>
        <w:rPr>
          <w:noProof/>
        </w:rPr>
        <w:t>Komisjonile tuleks anda volitused võtta vastu Euroopa küberturvalisuse sertifitseerimise kavad konkreetsete IKT toodete</w:t>
      </w:r>
      <w:r>
        <w:rPr>
          <w:noProof/>
        </w:rPr>
        <w:t xml:space="preserve"> ja teenuste rühmade kohta. Neid kavu peaksid rakendama ja nende üle järelevalvet teostama riiklikud sertifitseerimise järelevalveasutused ning nende kavade kohaselt välja antud sertifikaadid peaksid kehtima ja olema tunnustatud kogu liidus. Tööstuse või m</w:t>
      </w:r>
      <w:r>
        <w:rPr>
          <w:noProof/>
        </w:rPr>
        <w:t>uude eraorganisatsioonide rakendatavad sertifitseerimiskavad peaksid jääma väljapoole määruse kohaldamisala. Siiski võivad selliseid kavu haldavad asutused teha komisjonile ettepaneku kaaluda nende heakskiitmist Euroopa kavana.</w:t>
      </w:r>
    </w:p>
    <w:p w:rsidR="00F4358D" w:rsidRDefault="00D1585A">
      <w:pPr>
        <w:pStyle w:val="ManualConsidrant"/>
        <w:rPr>
          <w:noProof/>
        </w:rPr>
      </w:pPr>
      <w:r>
        <w:t>(54)</w:t>
      </w:r>
      <w:r>
        <w:tab/>
      </w:r>
      <w:r>
        <w:rPr>
          <w:noProof/>
        </w:rPr>
        <w:t>Käesoleva määruse sätte</w:t>
      </w:r>
      <w:r>
        <w:rPr>
          <w:noProof/>
        </w:rPr>
        <w:t>d ei tohiks mõjutada liidu õigusakte, milles on sätestatud konkreetsed eeskirjad IKT toodete ja teenuste sertifitseerimise kohta. Isikuandmete kaitse üldmäärus sisaldab sätteid selliste sertifitseerimismehhanismide ning andmekaitsepitserite ja -märgiste ka</w:t>
      </w:r>
      <w:r>
        <w:rPr>
          <w:noProof/>
        </w:rPr>
        <w:t>sutuselevõtuks, mille abil saab tõendada, et vastutavate töötlejate ja volitatud töötlejate isikuandmete töötlemise toimingud vastavad kõnealusele määrusele. Sellised sertifitseerimismehhanismid ning andmekaitsepitserid ja -märgised peaksid võimaldama andm</w:t>
      </w:r>
      <w:r>
        <w:rPr>
          <w:noProof/>
        </w:rPr>
        <w:t>esubjektidel kiiresti hinnata asjakohaste toodete ja teenuste andmekaitse taset. Käesolev määrus ei piira andmetöötlustoimingute sertifitseerimist isikuandmete kaitse üldmääruse kohaselt, sealhulgas juhul, kui sellised toimingud sisalduvad toodetes või tee</w:t>
      </w:r>
      <w:r>
        <w:rPr>
          <w:noProof/>
        </w:rPr>
        <w:t>nustes.</w:t>
      </w:r>
    </w:p>
    <w:p w:rsidR="00F4358D" w:rsidRDefault="00D1585A">
      <w:pPr>
        <w:pStyle w:val="ManualConsidrant"/>
        <w:rPr>
          <w:noProof/>
        </w:rPr>
      </w:pPr>
      <w:r>
        <w:t>(55)</w:t>
      </w:r>
      <w:r>
        <w:tab/>
      </w:r>
      <w:r>
        <w:rPr>
          <w:noProof/>
        </w:rPr>
        <w:t xml:space="preserve">Euroopa küberturvalisuse sertifitseerimise kavade eesmärk on kinnitada, et sellise kava kohaselt sertifitseeritud IKT tooted ja teenused vastavad kirjeldatud nõuetele. Nimetatud nõuded puudutavad võimet pidada teataval usaldusväärsuse tasemel </w:t>
      </w:r>
      <w:r>
        <w:rPr>
          <w:noProof/>
        </w:rPr>
        <w:t>vastu tegevustele, mille eesmärk on rikkuda salvestatud, edastatud või töödeldud andmete või nende toodete, protsesside, teenuste ja süsteemide asjaomaste funktsioonide või nende poolt pakutavate või nende kaudu juurdepääsetavate teenuste käideldavust, aut</w:t>
      </w:r>
      <w:r>
        <w:rPr>
          <w:noProof/>
        </w:rPr>
        <w:t xml:space="preserve">entsust, terviklust või konfidentsiaalsust käesoleva määruse tähenduses. Käesolevas määruses ei ole võimalik üksikasjalikult kirjeldada kõigi IKT toodete ja teenuste suhtes kohaldatavaid küberturvalisuse nõudeid. IKT tooted ja teenused ning nendega seotud </w:t>
      </w:r>
      <w:r>
        <w:rPr>
          <w:noProof/>
        </w:rPr>
        <w:t>küberturvalisuse vajadused on nii mitmekesised, et on väga raske esitada üldiseid küberturvalisuse nõudeid, mis kehtiksid kõikjal. Seetõttu on vaja sertifitseerimise eesmärgil võtta kasutusele lai ja üldine küberturvalisuse mõiste, mida täiendab rida konkr</w:t>
      </w:r>
      <w:r>
        <w:rPr>
          <w:noProof/>
        </w:rPr>
        <w:t>eetseid küberturvalisuse eesmärke, mida tuleb Euroopa küberturvalisuse sertifitseerimise kavade koostamisel arvesse võtta. Nende eesmärkide saavutamise meetodid konkreetsete IKT toodete ja teenuste puhul tuleks täpsustada üksikasjalikult igas individuaalse</w:t>
      </w:r>
      <w:r>
        <w:rPr>
          <w:noProof/>
        </w:rPr>
        <w:t>s sertifitseerimiskavas, mille komisjon vastu võtab, näiteks viidates standarditele või tehnilistele kirjeldustele.</w:t>
      </w:r>
    </w:p>
    <w:p w:rsidR="00F4358D" w:rsidRDefault="00D1585A">
      <w:pPr>
        <w:pStyle w:val="ManualConsidrant"/>
        <w:rPr>
          <w:noProof/>
        </w:rPr>
      </w:pPr>
      <w:r>
        <w:t>(56)</w:t>
      </w:r>
      <w:r>
        <w:tab/>
      </w:r>
      <w:r>
        <w:rPr>
          <w:noProof/>
        </w:rPr>
        <w:t>Komisjonile tuleks anda volitused paluda ENISA-l koostada ettevalmistav sertifitseerimiskava konkreetsete IKT toodete ja teenuste jaoks</w:t>
      </w:r>
      <w:r>
        <w:rPr>
          <w:noProof/>
        </w:rPr>
        <w:t>. Seejärel tuleks anda komisjonile volitused võtta ENISA esitatud ettevalmistava kava põhjal rakendusaktidega vastu Euroopa küberturvalisuse sertifitseerimise kava. Võttes arvesse käesolevas määruses määratletud üldeesmärki ja turvalisusega seotud eesmärke</w:t>
      </w:r>
      <w:r>
        <w:rPr>
          <w:noProof/>
        </w:rPr>
        <w:t>, tuleks komisjoni poolt vastu võetud Euroopa küberturvalisuse sertifitseerimise kavades täpsustada konkreetse kava sisu, ulatuse ja toimimise minimaalsed üksikasjad. Need peaksid hõlmama muu hulgas küberturvalisuse sertifikaadi ulatust ja sisu, sealhulgas</w:t>
      </w:r>
      <w:r>
        <w:rPr>
          <w:noProof/>
        </w:rPr>
        <w:t xml:space="preserve"> hõlmatud IKT toodete ja teenuste kategooriad, küberturvalisuse nõuete üksikasjalik kirjeldus, näiteks viide standarditele või tehnilistele kirjeldustele, konkreetsed hindamiskriteeriumid ja -meetodid ning kavandatud usaldusväärsuse tase: baastase, märkimi</w:t>
      </w:r>
      <w:r>
        <w:rPr>
          <w:noProof/>
        </w:rPr>
        <w:t>sväärne ja/või kõrge tase.</w:t>
      </w:r>
    </w:p>
    <w:p w:rsidR="00F4358D" w:rsidRDefault="00D1585A">
      <w:pPr>
        <w:pStyle w:val="ManualConsidrant"/>
        <w:rPr>
          <w:noProof/>
        </w:rPr>
      </w:pPr>
      <w:r>
        <w:t>(57)</w:t>
      </w:r>
      <w:r>
        <w:tab/>
      </w:r>
      <w:r>
        <w:rPr>
          <w:noProof/>
        </w:rPr>
        <w:t>Euroopa küberturvalisuse sertifitseerimise kasutamine peaks jääma vabatahtlikuks, kui liidu või siseriiklikes õigusaktides pole sätestatud teisiti. Käesoleva määruse eesmärkide saavutamiseks ja siseturu killustumise vältimis</w:t>
      </w:r>
      <w:r>
        <w:rPr>
          <w:noProof/>
        </w:rPr>
        <w:t>eks tuleks siiski lõpetada riiklike küberturvalisuse sertifitseerimise kavade või menetluste kohaldamine Euroopa küberturvalisuse sertifitseerimise kavaga hõlmatud IKT toodete ja teenuste suhtes alates kuupäevast, mille komisjon on rakendusaktiga kehtestan</w:t>
      </w:r>
      <w:r>
        <w:rPr>
          <w:noProof/>
        </w:rPr>
        <w:t>ud. Lisaks ei peaks liikmesriigid kehtestama uusi riiklikke küberturvalisuse sertifitseerimise kavasid IKT toodetele ja teenustele, mis on juba kaetud kehtiva Euroopa küberturvalisuse sertifitseerimise kavaga.</w:t>
      </w:r>
    </w:p>
    <w:p w:rsidR="00F4358D" w:rsidRDefault="00D1585A">
      <w:pPr>
        <w:pStyle w:val="ManualConsidrant"/>
        <w:rPr>
          <w:noProof/>
        </w:rPr>
      </w:pPr>
      <w:r>
        <w:t>(58)</w:t>
      </w:r>
      <w:r>
        <w:tab/>
      </w:r>
      <w:r>
        <w:rPr>
          <w:noProof/>
        </w:rPr>
        <w:t>Kui Euroopa küberturvalisuse sertifitseer</w:t>
      </w:r>
      <w:r>
        <w:rPr>
          <w:noProof/>
        </w:rPr>
        <w:t>imise kava on vastu võetud, peaksid IKT toodete tootjad või IKT teenuste osutajad saama esitada enda valitud vastavushindamisasutusele taotluse oma toodete või teenuste sertifitseerimiseks. Kui vastavushindamisasutused vastavad käesolevas määruses sätestat</w:t>
      </w:r>
      <w:r>
        <w:rPr>
          <w:noProof/>
        </w:rPr>
        <w:t>ud teatavatele konkreetsetele nõuetele, peaks akrediteerimisasutus need akrediteerima. Akrediteeringu saab anda maksimaalselt viieks aastaks ja selle kehtivust võib pikendada samadel tingimustel senikaua, kuni vastavushindamisasutus vastab nõuetele. Akredi</w:t>
      </w:r>
      <w:r>
        <w:rPr>
          <w:noProof/>
        </w:rPr>
        <w:t>teerimisasutus peaks vastavushindamisasutuse akrediteerimise tühistama, kui akrediteerimise tingimused ei ole täidetud või ei ole enam täidetud või asutuse poolt võetavad meetmed rikuvad käesolevat määrust.</w:t>
      </w:r>
    </w:p>
    <w:p w:rsidR="00F4358D" w:rsidRDefault="00D1585A">
      <w:pPr>
        <w:pStyle w:val="ManualConsidrant"/>
        <w:rPr>
          <w:noProof/>
        </w:rPr>
      </w:pPr>
      <w:r>
        <w:t>(59)</w:t>
      </w:r>
      <w:r>
        <w:tab/>
      </w:r>
      <w:r>
        <w:rPr>
          <w:noProof/>
        </w:rPr>
        <w:t>Liikmesriike tuleb kohustada määrama ühe küb</w:t>
      </w:r>
      <w:r>
        <w:rPr>
          <w:noProof/>
        </w:rPr>
        <w:t>erturvalisuse sertifitseerimise järelevalveasutuse, kes jälgiks nende territooriumil asutatud vastavushindamisasutuste ja nende väljastatud sertifikaatide vastavust käesoleva määruse ja vastavate küberturvalisuse sertifitseerimise kavade nõuetele. Riikliku</w:t>
      </w:r>
      <w:r>
        <w:rPr>
          <w:noProof/>
        </w:rPr>
        <w:t>d sertifitseerimise järelevalveasutused peavad käsitlema füüsiliste või juriidiliste isikute esitatud kaebusi seoses nende riigi territooriumil asutatud vastavushindamisasutuste väljastatud sertifikaatidega, uurima asjakohasel määral kaebuse sisu ja teavit</w:t>
      </w:r>
      <w:r>
        <w:rPr>
          <w:noProof/>
        </w:rPr>
        <w:t>ama kaebuse esitajat mõistliku aja jooksul uurimise käigust ja tulemusest. Lisaks peavad nad tegema koostööd teiste riiklike sertifitseerimise järelevalveasutuste või muude avaliku sektori asutustega, sealhulgas jagades teavet IKT toodete ja teenuste võima</w:t>
      </w:r>
      <w:r>
        <w:rPr>
          <w:noProof/>
        </w:rPr>
        <w:t>liku mittevastavuse kohta käesoleva määruse või konkreetsete küberturvalisuse sertifitseerimise kavade nõuetele.</w:t>
      </w:r>
    </w:p>
    <w:p w:rsidR="00F4358D" w:rsidRDefault="00D1585A">
      <w:pPr>
        <w:pStyle w:val="ManualConsidrant"/>
        <w:rPr>
          <w:noProof/>
        </w:rPr>
      </w:pPr>
      <w:r>
        <w:t>(60)</w:t>
      </w:r>
      <w:r>
        <w:tab/>
      </w:r>
      <w:r>
        <w:rPr>
          <w:noProof/>
        </w:rPr>
        <w:t>Et tagada Euroopa küberturvalisuse sertifitseerimise raamistiku järjekindel rakendamine, tuleks luua Euroopa küberturvalisuse sertifitseer</w:t>
      </w:r>
      <w:r>
        <w:rPr>
          <w:noProof/>
        </w:rPr>
        <w:t>imise rühm (edaspidi „rühm“), mis koosneb riiklikest sertifitseerimise järelevalveasutustest. Rühma peamised ülesanded peaksid olema nõustada ja abistada komisjoni töös, mille eesmärk on tagada Euroopa küberturvalisuse sertifitseerimise raamistiku järjepid</w:t>
      </w:r>
      <w:r>
        <w:rPr>
          <w:noProof/>
        </w:rPr>
        <w:t>ev rakendamine ja kohaldamine; aidata ametit ja teha temaga tihedat koostööd ettevalmistavate küberturvalisuse sertifitseerimise kavade koostamisel; soovitada, et komisjon paluks ametil koostada ettevalmistav Euroopa küberturvalisuse sertifitseerimise kava</w:t>
      </w:r>
      <w:r>
        <w:rPr>
          <w:noProof/>
        </w:rPr>
        <w:t xml:space="preserve"> ning võtta vastu komisjonile suunatud arvamusi seoses olemasolevate Euroopa küberturvalisuse sertifitseerimise kavade alalhoidmise ja läbivaatamisega;</w:t>
      </w:r>
    </w:p>
    <w:p w:rsidR="00F4358D" w:rsidRDefault="00D1585A">
      <w:pPr>
        <w:pStyle w:val="ManualConsidrant"/>
        <w:rPr>
          <w:noProof/>
        </w:rPr>
      </w:pPr>
      <w:r>
        <w:t>(61)</w:t>
      </w:r>
      <w:r>
        <w:tab/>
      </w:r>
      <w:r>
        <w:rPr>
          <w:noProof/>
        </w:rPr>
        <w:t xml:space="preserve">Et suurendada teadlikkust ja hõlbustada tulevaste Euroopa küberturvalisuse kavade aktsepteerimist, </w:t>
      </w:r>
      <w:r>
        <w:rPr>
          <w:noProof/>
        </w:rPr>
        <w:t>võib Euroopa Komisjon välja anda üldiseid või sektoripõhiseid küberturvalisuse suuniseid, näiteks küberturvalisuse heade tavade või vastutustundliku küberruumis käitumise kohta, tuues välja sertifitseeritud IKT toodete ja teenuste kasutamise positiivse mõj</w:t>
      </w:r>
      <w:r>
        <w:rPr>
          <w:noProof/>
        </w:rPr>
        <w:t>u.</w:t>
      </w:r>
    </w:p>
    <w:p w:rsidR="00F4358D" w:rsidRDefault="00D1585A">
      <w:pPr>
        <w:pStyle w:val="ManualConsidrant"/>
        <w:rPr>
          <w:noProof/>
          <w:szCs w:val="24"/>
        </w:rPr>
      </w:pPr>
      <w:r>
        <w:t>(62)</w:t>
      </w:r>
      <w:r>
        <w:tab/>
      </w:r>
      <w:r>
        <w:rPr>
          <w:noProof/>
        </w:rPr>
        <w:t>Ameti toetus küberturvalisuse sertifitseerimisele peaks hõlmama ka teabevahetust nõukogu julgeolekukomitee ja asjaomaste riiklike asutustega seoses turvaklassvõrkudes kasutatavate toodete krüptograafilise heakskiiduga.</w:t>
      </w:r>
    </w:p>
    <w:p w:rsidR="00F4358D" w:rsidRDefault="00D1585A">
      <w:pPr>
        <w:pStyle w:val="ManualConsidrant"/>
        <w:rPr>
          <w:noProof/>
        </w:rPr>
      </w:pPr>
      <w:r>
        <w:t>(63)</w:t>
      </w:r>
      <w:r>
        <w:tab/>
      </w:r>
      <w:r>
        <w:rPr>
          <w:noProof/>
        </w:rPr>
        <w:t>Et vastavushindamisasutu</w:t>
      </w:r>
      <w:r>
        <w:rPr>
          <w:noProof/>
        </w:rPr>
        <w:t xml:space="preserve">ste akrediteerimise kriteeriume veelgi täpsustada, peaks komisjonil olema õigus võtta kooskõlas Euroopa Liidu toimimise lepingu artikliga 290 vastu delegeeritud õigusakte. Komisjon peaks oma ettevalmistustöö jooksul pidama asjakohaseid konsultatsioone, sh </w:t>
      </w:r>
      <w:r>
        <w:rPr>
          <w:noProof/>
        </w:rPr>
        <w:t>ekspertide tasandil. Need konsultatsioonid tuleb läbi viia kooskõlas 13. aprilli 2016. aasta institutsioonidevahelise parema õigusloome kokkuleppes sätestatud põhimõtetega. Eelkõige selleks, et tagada võrdne osalemine delegeeritud õigusaktide ettevalmistam</w:t>
      </w:r>
      <w:r>
        <w:rPr>
          <w:noProof/>
        </w:rPr>
        <w:t>ises, peaksid Euroopa Parlament ja nõukogu saama kõik dokumendid liikmesriikide ekspertidega samal ajal ning nende ekspertidel peaks olema pidev juurdepääs komisjoni eksperdirühmade koosolekutele, millel arutatakse delegeeritud õigusaktide ettevalmistamist</w:t>
      </w:r>
      <w:r>
        <w:rPr>
          <w:noProof/>
        </w:rPr>
        <w:t>.</w:t>
      </w:r>
    </w:p>
    <w:p w:rsidR="00F4358D" w:rsidRDefault="00D1585A">
      <w:pPr>
        <w:pStyle w:val="ManualConsidrant"/>
        <w:rPr>
          <w:noProof/>
        </w:rPr>
      </w:pPr>
      <w:r>
        <w:t>(64)</w:t>
      </w:r>
      <w:r>
        <w:tab/>
      </w:r>
      <w:r>
        <w:rPr>
          <w:noProof/>
        </w:rPr>
        <w:t>Et tagada ühetaolised tingimused käesoleva määruse rakendamiseks, tuleks komisjonile anda käesolevas määruses sätestatud rakendusvolitused. Neid volitusi tuleks teostada kooskõlas määrusega (EL) nr 182/2011.</w:t>
      </w:r>
    </w:p>
    <w:p w:rsidR="00F4358D" w:rsidRDefault="00D1585A">
      <w:pPr>
        <w:pStyle w:val="ManualConsidrant"/>
        <w:rPr>
          <w:noProof/>
        </w:rPr>
      </w:pPr>
      <w:r>
        <w:t>(65)</w:t>
      </w:r>
      <w:r>
        <w:tab/>
      </w:r>
      <w:r>
        <w:rPr>
          <w:noProof/>
        </w:rPr>
        <w:t>Kontrollimenetlust tuleks kasutada s</w:t>
      </w:r>
      <w:r>
        <w:rPr>
          <w:noProof/>
        </w:rPr>
        <w:t>elliste rakendusaktide vastuvõtmiseks, milles käsitletakse IKT toodete ja teenuste suhtes kohaldatavaid Euroopa küberturvalisuse sertifitseerimise kavasid; ameti korraldatavate uurimiste üksikasju ning asjaolusid, vorminguid ja korda, mille kohaselt riikli</w:t>
      </w:r>
      <w:r>
        <w:rPr>
          <w:noProof/>
        </w:rPr>
        <w:t>kud sertifitseerimise järelevalveasutused teavitavad komisjoni akrediteeritud vastavushindamisasutustest.</w:t>
      </w:r>
    </w:p>
    <w:p w:rsidR="00F4358D" w:rsidRDefault="00D1585A">
      <w:pPr>
        <w:pStyle w:val="ManualConsidrant"/>
        <w:rPr>
          <w:noProof/>
        </w:rPr>
      </w:pPr>
      <w:r>
        <w:t>(66)</w:t>
      </w:r>
      <w:r>
        <w:tab/>
      </w:r>
      <w:r>
        <w:rPr>
          <w:noProof/>
        </w:rPr>
        <w:t>Ameti tööd tuleks hinna sõltumatult. Hindamisel tuleks pidada silmas ameti eesmärkide saavutamist, selle töövõtteid ning ülesannete asjakohasust.</w:t>
      </w:r>
      <w:r>
        <w:rPr>
          <w:noProof/>
        </w:rPr>
        <w:t xml:space="preserve"> Selle hindamise käigus tuleks vaadelda ka Euroopa küberturvalisuse sertifitseerimise raamistiku mõju, tulemuslikkust ja tõhusust.</w:t>
      </w:r>
    </w:p>
    <w:p w:rsidR="00F4358D" w:rsidRDefault="00D1585A">
      <w:pPr>
        <w:pStyle w:val="ManualConsidrant"/>
        <w:rPr>
          <w:noProof/>
        </w:rPr>
      </w:pPr>
      <w:r>
        <w:t>(67)</w:t>
      </w:r>
      <w:r>
        <w:tab/>
      </w:r>
      <w:r>
        <w:rPr>
          <w:noProof/>
        </w:rPr>
        <w:t>Määrus (EL) nr 526/2013 tuleks kehtetuks tunnistada.</w:t>
      </w:r>
    </w:p>
    <w:p w:rsidR="00F4358D" w:rsidRDefault="00D1585A">
      <w:pPr>
        <w:pStyle w:val="ManualConsidrant"/>
        <w:rPr>
          <w:noProof/>
        </w:rPr>
      </w:pPr>
      <w:r>
        <w:t>(68)</w:t>
      </w:r>
      <w:r>
        <w:tab/>
      </w:r>
      <w:r>
        <w:rPr>
          <w:noProof/>
        </w:rPr>
        <w:t>Kuna käesoleva määruse eesmärke ei suuda liikmesriigid piisava</w:t>
      </w:r>
      <w:r>
        <w:rPr>
          <w:noProof/>
        </w:rPr>
        <w:t>lt saavutada ning seetõttu on neid parem saavutada liidu tasandil, võib liit võtta meetmeid kooskõlas Euroopa Liidu lepingu artiklis 5 sätestatud subsidiaarsuse põhimõttega. Nimetatud artiklis sätestatud proportsionaalsuspõhimõtte kohaselt ei lähe käesolev</w:t>
      </w:r>
      <w:r>
        <w:rPr>
          <w:noProof/>
        </w:rPr>
        <w:t xml:space="preserve"> direktiiv kaugemale sellest, mis on vajalik nimetatud eesmärgi saavutamiseks,</w:t>
      </w:r>
    </w:p>
    <w:p w:rsidR="00F4358D" w:rsidRDefault="00F4358D">
      <w:pPr>
        <w:rPr>
          <w:noProof/>
        </w:rPr>
      </w:pPr>
    </w:p>
    <w:p w:rsidR="00F4358D" w:rsidRDefault="00D1585A">
      <w:pPr>
        <w:pStyle w:val="Formuledadoption"/>
        <w:rPr>
          <w:noProof/>
        </w:rPr>
      </w:pPr>
      <w:r>
        <w:rPr>
          <w:noProof/>
        </w:rPr>
        <w:t>ON VASTU VÕTNUD KÄESOLEVA MÄÄRUSE:</w:t>
      </w:r>
    </w:p>
    <w:p w:rsidR="00F4358D" w:rsidRDefault="00D1585A">
      <w:pPr>
        <w:pStyle w:val="PartTitle"/>
        <w:rPr>
          <w:noProof/>
        </w:rPr>
      </w:pPr>
      <w:bookmarkStart w:id="21" w:name="_Toc492216466"/>
      <w:r>
        <w:rPr>
          <w:noProof/>
        </w:rPr>
        <w:t>I JAOTIS</w:t>
      </w:r>
      <w:r>
        <w:rPr>
          <w:noProof/>
        </w:rPr>
        <w:br/>
        <w:t>ÜLDSÄTTED</w:t>
      </w:r>
      <w:bookmarkEnd w:id="21"/>
    </w:p>
    <w:p w:rsidR="00F4358D" w:rsidRDefault="00D1585A">
      <w:pPr>
        <w:pStyle w:val="Titrearticle"/>
        <w:spacing w:before="0" w:after="0"/>
        <w:rPr>
          <w:rFonts w:eastAsia="Times New Roman"/>
          <w:b/>
          <w:noProof/>
        </w:rPr>
      </w:pPr>
      <w:r>
        <w:rPr>
          <w:noProof/>
        </w:rPr>
        <w:t>Artikkel 1</w:t>
      </w:r>
      <w:r>
        <w:rPr>
          <w:noProof/>
        </w:rPr>
        <w:br/>
      </w:r>
      <w:r>
        <w:rPr>
          <w:b/>
          <w:noProof/>
        </w:rPr>
        <w:t>Reguleerimisese ja kohaldamisala</w:t>
      </w:r>
    </w:p>
    <w:p w:rsidR="00F4358D" w:rsidRDefault="00D1585A">
      <w:pPr>
        <w:rPr>
          <w:noProof/>
        </w:rPr>
      </w:pPr>
      <w:r>
        <w:rPr>
          <w:noProof/>
        </w:rPr>
        <w:t>Et tagada siseturu nõuetekohane toimimine ja püüelda samas küberturvalisuse, k</w:t>
      </w:r>
      <w:r>
        <w:rPr>
          <w:noProof/>
        </w:rPr>
        <w:t>übervastupidavusvõime ja usalduse kõrge taseme poole liidus, tehakse käesoleva määrusega järgmist:</w:t>
      </w:r>
    </w:p>
    <w:p w:rsidR="00F4358D" w:rsidRDefault="00D1585A">
      <w:pPr>
        <w:pStyle w:val="Point0letter"/>
        <w:numPr>
          <w:ilvl w:val="1"/>
          <w:numId w:val="81"/>
        </w:numPr>
        <w:rPr>
          <w:noProof/>
        </w:rPr>
      </w:pPr>
      <w:r>
        <w:rPr>
          <w:noProof/>
        </w:rPr>
        <w:t>sätestatakse ENISA ehk nn ELi küberturvalisuse ameti (edaspidi „amet“) eesmärgid, ülesanded ja organisatsioonilised aspektid ning</w:t>
      </w:r>
    </w:p>
    <w:p w:rsidR="00F4358D" w:rsidRDefault="00D1585A">
      <w:pPr>
        <w:pStyle w:val="Point0letter"/>
        <w:numPr>
          <w:ilvl w:val="1"/>
          <w:numId w:val="81"/>
        </w:numPr>
        <w:rPr>
          <w:noProof/>
        </w:rPr>
      </w:pPr>
      <w:r>
        <w:rPr>
          <w:noProof/>
        </w:rPr>
        <w:t>sätestatakse Euroopa kübert</w:t>
      </w:r>
      <w:r>
        <w:rPr>
          <w:noProof/>
        </w:rPr>
        <w:t>urvalisuse sertifitseerimise kavade kehtestamise raamistik, et kindlustada liidus IKT toodete ja teenuste küberturvalisuse piisav tase. Sellise raamistiku kohaldamine ei piira konkreetseid sätteid, mis puudutavad muudes liidu õigusaktides kirjeldatud vabat</w:t>
      </w:r>
      <w:r>
        <w:rPr>
          <w:noProof/>
        </w:rPr>
        <w:t>ahtlikku või kohustuslikku sertifitseerimist.</w:t>
      </w:r>
    </w:p>
    <w:p w:rsidR="00F4358D" w:rsidRDefault="00F4358D">
      <w:pPr>
        <w:rPr>
          <w:i/>
          <w:noProof/>
          <w:szCs w:val="24"/>
        </w:rPr>
      </w:pPr>
    </w:p>
    <w:p w:rsidR="00F4358D" w:rsidRDefault="00D1585A">
      <w:pPr>
        <w:pStyle w:val="Titrearticle"/>
        <w:spacing w:before="0" w:after="0"/>
        <w:rPr>
          <w:rFonts w:eastAsia="Times New Roman"/>
          <w:b/>
          <w:i w:val="0"/>
          <w:noProof/>
        </w:rPr>
      </w:pPr>
      <w:r>
        <w:rPr>
          <w:noProof/>
        </w:rPr>
        <w:t xml:space="preserve">Artikkel </w:t>
      </w:r>
      <w:r>
        <w:rPr>
          <w:i w:val="0"/>
          <w:noProof/>
        </w:rPr>
        <w:t>2</w:t>
      </w:r>
      <w:r>
        <w:rPr>
          <w:noProof/>
        </w:rPr>
        <w:br/>
      </w:r>
      <w:r>
        <w:rPr>
          <w:b/>
          <w:noProof/>
        </w:rPr>
        <w:t>Mõisted</w:t>
      </w:r>
    </w:p>
    <w:p w:rsidR="00F4358D" w:rsidRDefault="00D1585A">
      <w:pPr>
        <w:rPr>
          <w:noProof/>
          <w:szCs w:val="24"/>
        </w:rPr>
      </w:pPr>
      <w:r>
        <w:rPr>
          <w:noProof/>
        </w:rPr>
        <w:t>Käesolevas määruses kasutatakse järgmisi mõisteid:</w:t>
      </w:r>
    </w:p>
    <w:p w:rsidR="00F4358D" w:rsidRDefault="00D1585A">
      <w:pPr>
        <w:pStyle w:val="Point0number"/>
        <w:numPr>
          <w:ilvl w:val="0"/>
          <w:numId w:val="20"/>
        </w:numPr>
        <w:rPr>
          <w:noProof/>
        </w:rPr>
      </w:pPr>
      <w:r>
        <w:rPr>
          <w:noProof/>
        </w:rPr>
        <w:t>„küberturvalisus“ – hõlmab kõiki tegevusi, mis on vajalikud, et kaitsta võrgu- ja infosüsteeme, nende kasutajaid ja mõjutatud isikuid küber</w:t>
      </w:r>
      <w:r>
        <w:rPr>
          <w:noProof/>
        </w:rPr>
        <w:t>ohtude eest;</w:t>
      </w:r>
    </w:p>
    <w:p w:rsidR="00F4358D" w:rsidRDefault="00D1585A">
      <w:pPr>
        <w:pStyle w:val="Point0number"/>
        <w:numPr>
          <w:ilvl w:val="0"/>
          <w:numId w:val="20"/>
        </w:numPr>
        <w:rPr>
          <w:noProof/>
        </w:rPr>
      </w:pPr>
      <w:r>
        <w:rPr>
          <w:noProof/>
        </w:rPr>
        <w:t>„võrgu- ja infosüsteem“ – direktiivi (EL) 2016/1148 artikli 4 punktis 1 määratletud süsteem;</w:t>
      </w:r>
    </w:p>
    <w:p w:rsidR="00F4358D" w:rsidRDefault="00D1585A">
      <w:pPr>
        <w:pStyle w:val="Point0number"/>
        <w:numPr>
          <w:ilvl w:val="0"/>
          <w:numId w:val="20"/>
        </w:numPr>
        <w:rPr>
          <w:noProof/>
        </w:rPr>
      </w:pPr>
      <w:r>
        <w:rPr>
          <w:noProof/>
        </w:rPr>
        <w:t xml:space="preserve"> „riiklik võrgu- ja infosüsteemide turvalisuse strateegia“ – direktiivi (EL) 2016/1148 artikli 4 punktis 3 määratletud raamistik;</w:t>
      </w:r>
    </w:p>
    <w:p w:rsidR="00F4358D" w:rsidRDefault="00D1585A">
      <w:pPr>
        <w:pStyle w:val="Point0number"/>
        <w:numPr>
          <w:ilvl w:val="0"/>
          <w:numId w:val="20"/>
        </w:numPr>
        <w:rPr>
          <w:noProof/>
        </w:rPr>
      </w:pPr>
      <w:r>
        <w:rPr>
          <w:noProof/>
        </w:rPr>
        <w:t xml:space="preserve">„oluliste teenuste </w:t>
      </w:r>
      <w:r>
        <w:rPr>
          <w:noProof/>
        </w:rPr>
        <w:t>operaator“ – direktiivi (EL) 2016/1148 artikli 4 punktis 4 määratletud avaliku või erasektori üksus;</w:t>
      </w:r>
    </w:p>
    <w:p w:rsidR="00F4358D" w:rsidRDefault="00D1585A">
      <w:pPr>
        <w:pStyle w:val="Point0number"/>
        <w:numPr>
          <w:ilvl w:val="0"/>
          <w:numId w:val="20"/>
        </w:numPr>
        <w:rPr>
          <w:noProof/>
        </w:rPr>
      </w:pPr>
      <w:r>
        <w:rPr>
          <w:noProof/>
        </w:rPr>
        <w:t>„digitaalse teenuse osutaja“ – direktiivi (EL) 2016/1148 artikli 4 punktis 6 määratletud juriidiline isik, kes pakub digitaalset teenust;</w:t>
      </w:r>
    </w:p>
    <w:p w:rsidR="00F4358D" w:rsidRDefault="00D1585A">
      <w:pPr>
        <w:pStyle w:val="Point0number"/>
        <w:numPr>
          <w:ilvl w:val="0"/>
          <w:numId w:val="20"/>
        </w:numPr>
        <w:rPr>
          <w:noProof/>
        </w:rPr>
      </w:pPr>
      <w:r>
        <w:rPr>
          <w:noProof/>
        </w:rPr>
        <w:t>„intsident“ – dir</w:t>
      </w:r>
      <w:r>
        <w:rPr>
          <w:noProof/>
        </w:rPr>
        <w:t>ektiivi (EL) 2016/1148 artikli 4 punktis 7 määratletud sündmus;</w:t>
      </w:r>
    </w:p>
    <w:p w:rsidR="00F4358D" w:rsidRDefault="00D1585A">
      <w:pPr>
        <w:pStyle w:val="Point0number"/>
        <w:numPr>
          <w:ilvl w:val="0"/>
          <w:numId w:val="20"/>
        </w:numPr>
        <w:rPr>
          <w:noProof/>
        </w:rPr>
      </w:pPr>
      <w:r>
        <w:rPr>
          <w:noProof/>
        </w:rPr>
        <w:t>„intsidendi käsitlemine“ – direktiivi (EL) 2016/1148 artikli 4 punktis 8 määratletud protseduur;</w:t>
      </w:r>
    </w:p>
    <w:p w:rsidR="00F4358D" w:rsidRDefault="00D1585A">
      <w:pPr>
        <w:pStyle w:val="Point0number"/>
        <w:numPr>
          <w:ilvl w:val="0"/>
          <w:numId w:val="20"/>
        </w:numPr>
        <w:rPr>
          <w:noProof/>
        </w:rPr>
      </w:pPr>
      <w:r>
        <w:rPr>
          <w:noProof/>
        </w:rPr>
        <w:t>„küberoht“ – mistahes võimalik asjaolu või sündmus, mis võib kahjustada võrgu- ja infosüsteeme,</w:t>
      </w:r>
      <w:r>
        <w:rPr>
          <w:noProof/>
        </w:rPr>
        <w:t xml:space="preserve"> nende kasutajaid ja mõjutatud isikuid.</w:t>
      </w:r>
    </w:p>
    <w:p w:rsidR="00F4358D" w:rsidRDefault="00D1585A">
      <w:pPr>
        <w:pStyle w:val="Point0number"/>
        <w:numPr>
          <w:ilvl w:val="0"/>
          <w:numId w:val="20"/>
        </w:numPr>
        <w:rPr>
          <w:noProof/>
        </w:rPr>
      </w:pPr>
      <w:r>
        <w:rPr>
          <w:noProof/>
        </w:rPr>
        <w:t>„Euroopa küberturvalisuse sertifitseerimise kava“ – ELi tasandil määratletud normide, tehniliste nõuete, standardite ja menetluste põhjalik kogum, mida kasutatakse selle konkreetse kava kohaldamisalasse kuuluvate inf</w:t>
      </w:r>
      <w:r>
        <w:rPr>
          <w:noProof/>
        </w:rPr>
        <w:t>o- ja kommunikatsioonitehnoloogia (IKT) toodete ja teenuste sertifitseerimiseks;</w:t>
      </w:r>
    </w:p>
    <w:p w:rsidR="00F4358D" w:rsidRDefault="00D1585A">
      <w:pPr>
        <w:pStyle w:val="Point0number"/>
        <w:numPr>
          <w:ilvl w:val="0"/>
          <w:numId w:val="20"/>
        </w:numPr>
        <w:rPr>
          <w:noProof/>
        </w:rPr>
      </w:pPr>
      <w:r>
        <w:rPr>
          <w:noProof/>
        </w:rPr>
        <w:t>„Euroopa küberturvalisuse sertifikaat“ – dokument, mille annab välja vastavushindamisasutus ja mis tõendab, et asjaomane IKT toode või teenus vastab Euroopa küberturvalisuse s</w:t>
      </w:r>
      <w:r>
        <w:rPr>
          <w:noProof/>
        </w:rPr>
        <w:t>ertifitseerimise kavas sätestatud konkreetsetele nõuetele;</w:t>
      </w:r>
    </w:p>
    <w:p w:rsidR="00F4358D" w:rsidRDefault="00D1585A">
      <w:pPr>
        <w:pStyle w:val="Point0number"/>
        <w:numPr>
          <w:ilvl w:val="0"/>
          <w:numId w:val="20"/>
        </w:numPr>
        <w:rPr>
          <w:noProof/>
        </w:rPr>
      </w:pPr>
      <w:r>
        <w:rPr>
          <w:noProof/>
        </w:rPr>
        <w:t xml:space="preserve"> „IKT toode ja teenus“ – võrgu- ja infosüsteemide mistahes element või elementide rühm;</w:t>
      </w:r>
    </w:p>
    <w:p w:rsidR="00F4358D" w:rsidRDefault="00D1585A">
      <w:pPr>
        <w:pStyle w:val="Point0number"/>
        <w:numPr>
          <w:ilvl w:val="0"/>
          <w:numId w:val="20"/>
        </w:numPr>
        <w:rPr>
          <w:noProof/>
        </w:rPr>
      </w:pPr>
      <w:r>
        <w:rPr>
          <w:noProof/>
        </w:rPr>
        <w:t>„akrediteerimine“ – akrediteerimine, nagu on kindlaks määratud määruse (EÜ) nr 765/2008 artikli 2 punktis 10;</w:t>
      </w:r>
    </w:p>
    <w:p w:rsidR="00F4358D" w:rsidRDefault="00D1585A">
      <w:pPr>
        <w:pStyle w:val="Point0number"/>
        <w:numPr>
          <w:ilvl w:val="0"/>
          <w:numId w:val="20"/>
        </w:numPr>
        <w:rPr>
          <w:noProof/>
        </w:rPr>
      </w:pPr>
      <w:r>
        <w:rPr>
          <w:noProof/>
        </w:rPr>
        <w:t>„riiklik akrediteerimisasutus“ – riiklik akrediteerimisasutus, nagu on kindlaks määratud määruse (EÜ) nr 765/2008 artikli 2 punktis 11;</w:t>
      </w:r>
    </w:p>
    <w:p w:rsidR="00F4358D" w:rsidRDefault="00D1585A">
      <w:pPr>
        <w:pStyle w:val="Point0number"/>
        <w:numPr>
          <w:ilvl w:val="0"/>
          <w:numId w:val="20"/>
        </w:numPr>
        <w:rPr>
          <w:noProof/>
        </w:rPr>
      </w:pPr>
      <w:r>
        <w:rPr>
          <w:noProof/>
        </w:rPr>
        <w:t>„vastavushindamine” – määruse (EÜ) nr 765/2008 artikli 2 punktis 12 määratletud vastavushindamine;</w:t>
      </w:r>
    </w:p>
    <w:p w:rsidR="00F4358D" w:rsidRDefault="00D1585A">
      <w:pPr>
        <w:pStyle w:val="Point0number"/>
        <w:numPr>
          <w:ilvl w:val="0"/>
          <w:numId w:val="20"/>
        </w:numPr>
        <w:rPr>
          <w:noProof/>
        </w:rPr>
      </w:pPr>
      <w:r>
        <w:rPr>
          <w:noProof/>
        </w:rPr>
        <w:t>„vastavushindamisasutus” – määruse (EÜ) nr 765/2008 artikli 2 punktis 13 määratletud vastavushindamisasutus;</w:t>
      </w:r>
    </w:p>
    <w:p w:rsidR="00F4358D" w:rsidRDefault="00D1585A">
      <w:pPr>
        <w:pStyle w:val="Point0number"/>
        <w:numPr>
          <w:ilvl w:val="0"/>
          <w:numId w:val="20"/>
        </w:numPr>
        <w:rPr>
          <w:noProof/>
        </w:rPr>
      </w:pPr>
      <w:r>
        <w:rPr>
          <w:noProof/>
        </w:rPr>
        <w:t>„standard“ – määruse (EL) nr 1025/2012 artikli 2 punktis 1 määratletud standard.</w:t>
      </w:r>
    </w:p>
    <w:p w:rsidR="00F4358D" w:rsidRDefault="00F4358D">
      <w:pPr>
        <w:rPr>
          <w:noProof/>
        </w:rPr>
      </w:pPr>
    </w:p>
    <w:p w:rsidR="00F4358D" w:rsidRDefault="00F4358D">
      <w:pPr>
        <w:rPr>
          <w:noProof/>
        </w:rPr>
      </w:pPr>
    </w:p>
    <w:p w:rsidR="00F4358D" w:rsidRDefault="00F4358D">
      <w:pPr>
        <w:rPr>
          <w:noProof/>
        </w:rPr>
      </w:pPr>
    </w:p>
    <w:p w:rsidR="00F4358D" w:rsidRDefault="00D1585A">
      <w:pPr>
        <w:pStyle w:val="PartTitle"/>
        <w:rPr>
          <w:noProof/>
        </w:rPr>
      </w:pPr>
      <w:bookmarkStart w:id="22" w:name="_Toc492216467"/>
      <w:r>
        <w:rPr>
          <w:rStyle w:val="TitleChar"/>
          <w:rFonts w:ascii="Times New Roman" w:hAnsi="Times New Roman"/>
          <w:noProof/>
          <w:color w:val="auto"/>
        </w:rPr>
        <w:t>II JAOTIS</w:t>
      </w:r>
      <w:r>
        <w:rPr>
          <w:rStyle w:val="TitleChar"/>
          <w:noProof/>
          <w:color w:val="auto"/>
        </w:rPr>
        <w:br/>
      </w:r>
      <w:r>
        <w:rPr>
          <w:noProof/>
        </w:rPr>
        <w:t>ENISA – ELi küberturvalisuse amet</w:t>
      </w:r>
      <w:bookmarkEnd w:id="22"/>
    </w:p>
    <w:p w:rsidR="00F4358D" w:rsidRDefault="00D1585A">
      <w:pPr>
        <w:pStyle w:val="ChapterTitle"/>
        <w:rPr>
          <w:noProof/>
        </w:rPr>
      </w:pPr>
      <w:bookmarkStart w:id="23" w:name="_Toc492216468"/>
      <w:r>
        <w:rPr>
          <w:noProof/>
        </w:rPr>
        <w:t>I PEATÜKK</w:t>
      </w:r>
      <w:r>
        <w:rPr>
          <w:noProof/>
        </w:rPr>
        <w:br/>
        <w:t xml:space="preserve">MANDAAT, </w:t>
      </w:r>
      <w:r>
        <w:rPr>
          <w:noProof/>
        </w:rPr>
        <w:t>EESMÄRGID JA ÜLESANDED</w:t>
      </w:r>
      <w:bookmarkEnd w:id="23"/>
    </w:p>
    <w:p w:rsidR="00F4358D" w:rsidRDefault="00D1585A">
      <w:pPr>
        <w:pStyle w:val="Titrearticle"/>
        <w:spacing w:before="0" w:after="0"/>
        <w:rPr>
          <w:rFonts w:eastAsia="Times New Roman"/>
          <w:b/>
          <w:i w:val="0"/>
          <w:noProof/>
        </w:rPr>
      </w:pPr>
      <w:r>
        <w:rPr>
          <w:noProof/>
        </w:rPr>
        <w:t>Artikkel 3</w:t>
      </w:r>
      <w:r>
        <w:rPr>
          <w:noProof/>
        </w:rPr>
        <w:br/>
      </w:r>
      <w:r>
        <w:rPr>
          <w:b/>
          <w:noProof/>
        </w:rPr>
        <w:t>Mandaat</w:t>
      </w:r>
    </w:p>
    <w:p w:rsidR="00F4358D" w:rsidRDefault="00D1585A">
      <w:pPr>
        <w:pStyle w:val="ManualNumPar1"/>
        <w:rPr>
          <w:noProof/>
        </w:rPr>
      </w:pPr>
      <w:r>
        <w:t>1.</w:t>
      </w:r>
      <w:r>
        <w:tab/>
      </w:r>
      <w:r>
        <w:rPr>
          <w:noProof/>
        </w:rPr>
        <w:t>Amet hakkab tegelema ülesannetega, mis talle käesoleva määrusega pannakse, et panustada kõrgetasemelisse küberturvalisusse liidus.</w:t>
      </w:r>
    </w:p>
    <w:p w:rsidR="00F4358D" w:rsidRDefault="00D1585A">
      <w:pPr>
        <w:pStyle w:val="ManualNumPar1"/>
        <w:rPr>
          <w:noProof/>
        </w:rPr>
      </w:pPr>
      <w:r>
        <w:t>2.</w:t>
      </w:r>
      <w:r>
        <w:tab/>
      </w:r>
      <w:r>
        <w:rPr>
          <w:noProof/>
        </w:rPr>
        <w:t>Amet teostab ülesandeid, mis talle antakse liidu õigusaktidega, milles sätest</w:t>
      </w:r>
      <w:r>
        <w:rPr>
          <w:noProof/>
        </w:rPr>
        <w:t>atakse meetmed liikmesriikide küberturvalisusega seotud õigus- ja haldusnormide lähendamiseks.</w:t>
      </w:r>
    </w:p>
    <w:p w:rsidR="00F4358D" w:rsidRDefault="00D1585A">
      <w:pPr>
        <w:pStyle w:val="ManualNumPar1"/>
        <w:rPr>
          <w:noProof/>
        </w:rPr>
      </w:pPr>
      <w:r>
        <w:t>3.</w:t>
      </w:r>
      <w:r>
        <w:tab/>
      </w:r>
      <w:r>
        <w:rPr>
          <w:noProof/>
        </w:rPr>
        <w:t>Ameti eesmärgid ja ülesanded ei piira liikmesriikide küberturvalisuse alast pädevust ning samuti ei piira need mingil juhul tegevusi, mis on seotud avaliku ju</w:t>
      </w:r>
      <w:r>
        <w:rPr>
          <w:noProof/>
        </w:rPr>
        <w:t>lgeoleku, riigikaitse, riikliku julgeoleku ja riigi tegevusega kriminaalõiguse valdkonnas.</w:t>
      </w:r>
    </w:p>
    <w:p w:rsidR="00F4358D" w:rsidRDefault="00F4358D">
      <w:pPr>
        <w:rPr>
          <w:noProof/>
        </w:rPr>
      </w:pPr>
    </w:p>
    <w:p w:rsidR="00F4358D" w:rsidRDefault="00D1585A">
      <w:pPr>
        <w:pStyle w:val="Titrearticle"/>
        <w:spacing w:before="0" w:after="0"/>
        <w:rPr>
          <w:rFonts w:eastAsia="Times New Roman"/>
          <w:b/>
          <w:i w:val="0"/>
          <w:noProof/>
        </w:rPr>
      </w:pPr>
      <w:r>
        <w:rPr>
          <w:noProof/>
        </w:rPr>
        <w:t>Artikkel 4</w:t>
      </w:r>
      <w:r>
        <w:rPr>
          <w:noProof/>
        </w:rPr>
        <w:br/>
      </w:r>
      <w:r>
        <w:rPr>
          <w:b/>
          <w:noProof/>
        </w:rPr>
        <w:t>Eesmärgid</w:t>
      </w:r>
    </w:p>
    <w:p w:rsidR="00F4358D" w:rsidRDefault="00D1585A">
      <w:pPr>
        <w:pStyle w:val="ManualNumPar1"/>
        <w:rPr>
          <w:noProof/>
        </w:rPr>
      </w:pPr>
      <w:r>
        <w:t>1.</w:t>
      </w:r>
      <w:r>
        <w:tab/>
      </w:r>
      <w:r>
        <w:rPr>
          <w:noProof/>
        </w:rPr>
        <w:t>Ametist saab küberturvalisuse alaste teadmiste keskus tänu oma sõltumatusele, antava nõu ja abi ning levitatava teabe teaduslikule ja tehnil</w:t>
      </w:r>
      <w:r>
        <w:rPr>
          <w:noProof/>
        </w:rPr>
        <w:t>isele kvaliteedile, töökorra ja töömeetodite läbipaistvusele ning oma ülesannete hoolikale täitmisele.</w:t>
      </w:r>
    </w:p>
    <w:p w:rsidR="00F4358D" w:rsidRDefault="00D1585A">
      <w:pPr>
        <w:pStyle w:val="ManualNumPar1"/>
        <w:rPr>
          <w:noProof/>
        </w:rPr>
      </w:pPr>
      <w:r>
        <w:t>2.</w:t>
      </w:r>
      <w:r>
        <w:tab/>
      </w:r>
      <w:r>
        <w:rPr>
          <w:noProof/>
        </w:rPr>
        <w:t>Amet aitab liidu institutsioonidel, ametitel ja asutustel ning liikmesriikidel töötada välja küberturvalisuse valdkonna põhimõtted ja neid rakendada.</w:t>
      </w:r>
    </w:p>
    <w:p w:rsidR="00F4358D" w:rsidRDefault="00D1585A">
      <w:pPr>
        <w:pStyle w:val="ManualNumPar1"/>
        <w:rPr>
          <w:noProof/>
        </w:rPr>
      </w:pPr>
      <w:r>
        <w:t>3.</w:t>
      </w:r>
      <w:r>
        <w:tab/>
      </w:r>
      <w:r>
        <w:rPr>
          <w:noProof/>
        </w:rPr>
        <w:t>Amet toetab suutlikkuse ja valmisoleku arendamist kogu liidus sellega, et aitab liidul, liikmesriikidel ning avaliku ja erasektori sidusrühmadel suurendada võrgu- ja infosüsteemide kaitset, arendada küberturvalisuse valdkonna oskusi ja pädevusi ning saa</w:t>
      </w:r>
      <w:r>
        <w:rPr>
          <w:noProof/>
        </w:rPr>
        <w:t>vutada kübervastupidavusvõime.</w:t>
      </w:r>
    </w:p>
    <w:p w:rsidR="00F4358D" w:rsidRDefault="00D1585A">
      <w:pPr>
        <w:pStyle w:val="ManualNumPar1"/>
        <w:rPr>
          <w:noProof/>
        </w:rPr>
      </w:pPr>
      <w:r>
        <w:t>4.</w:t>
      </w:r>
      <w:r>
        <w:tab/>
      </w:r>
      <w:r>
        <w:rPr>
          <w:noProof/>
        </w:rPr>
        <w:t>Amet edendab liidu tasandil küberturvalisusega seotud küsimuste alast koostööd ja koordineerimist liikmesriikide, liidu institutsioonide, ametite ja asutuste ning asjaomaste sidusrühmade seas, kaasa arvatud erasektoris.</w:t>
      </w:r>
    </w:p>
    <w:p w:rsidR="00F4358D" w:rsidRDefault="00D1585A">
      <w:pPr>
        <w:pStyle w:val="ManualNumPar1"/>
        <w:rPr>
          <w:noProof/>
        </w:rPr>
      </w:pPr>
      <w:r>
        <w:t>5.</w:t>
      </w:r>
      <w:r>
        <w:tab/>
      </w:r>
      <w:r>
        <w:rPr>
          <w:noProof/>
        </w:rPr>
        <w:t>Amet suurendab liidu tasandil küberturvalisuse alast suutlikkust, et täiendada liikmesriikide tegevust küberohtude ennetamisel ja neile reageerimisel, seda eeskätt piiriüleste intsidentide puhul.</w:t>
      </w:r>
    </w:p>
    <w:p w:rsidR="00F4358D" w:rsidRDefault="00D1585A">
      <w:pPr>
        <w:pStyle w:val="ManualNumPar1"/>
        <w:rPr>
          <w:noProof/>
        </w:rPr>
      </w:pPr>
      <w:r>
        <w:t>6.</w:t>
      </w:r>
      <w:r>
        <w:tab/>
      </w:r>
      <w:r>
        <w:rPr>
          <w:noProof/>
        </w:rPr>
        <w:t>Amet propageerib sertifitseerimist muu hulgas sellega, e</w:t>
      </w:r>
      <w:r>
        <w:rPr>
          <w:noProof/>
        </w:rPr>
        <w:t>t aitab kaasa küberturvalisuse sertifitseerimise raamistiku loomisele ja haldamisele liidu tasandil vastavalt käesoleva määruse III jaotisele, et suurendada IKT toodete ja teenuste küberturvalisuse alase usaldusväärsuse läbipaistvust ning tugevdada seeläbi</w:t>
      </w:r>
      <w:r>
        <w:rPr>
          <w:noProof/>
        </w:rPr>
        <w:t xml:space="preserve"> usaldust digitaalse siseturu vastu.</w:t>
      </w:r>
    </w:p>
    <w:p w:rsidR="00F4358D" w:rsidRDefault="00D1585A">
      <w:pPr>
        <w:pStyle w:val="ManualNumPar1"/>
        <w:rPr>
          <w:noProof/>
        </w:rPr>
      </w:pPr>
      <w:r>
        <w:t>7.</w:t>
      </w:r>
      <w:r>
        <w:tab/>
      </w:r>
      <w:r>
        <w:rPr>
          <w:noProof/>
        </w:rPr>
        <w:t>Amet edendab kodanike ja ettevõtjate heal tasemel teadlikkust küberturvalisusega seotud küsimustest.</w:t>
      </w:r>
    </w:p>
    <w:p w:rsidR="00F4358D" w:rsidRDefault="00F4358D">
      <w:pPr>
        <w:jc w:val="center"/>
        <w:rPr>
          <w:rFonts w:eastAsia="Times New Roman"/>
          <w:i/>
          <w:iCs/>
          <w:noProof/>
          <w:szCs w:val="24"/>
        </w:rPr>
      </w:pPr>
    </w:p>
    <w:p w:rsidR="00F4358D" w:rsidRDefault="00D1585A">
      <w:pPr>
        <w:pStyle w:val="Titrearticle"/>
        <w:rPr>
          <w:rFonts w:eastAsia="Times New Roman"/>
          <w:b/>
          <w:noProof/>
        </w:rPr>
      </w:pPr>
      <w:r>
        <w:rPr>
          <w:noProof/>
        </w:rPr>
        <w:t>Artikkel</w:t>
      </w:r>
      <w:bookmarkStart w:id="24" w:name="bookmark10"/>
      <w:r>
        <w:rPr>
          <w:noProof/>
        </w:rPr>
        <w:t xml:space="preserve"> 5 </w:t>
      </w:r>
      <w:r>
        <w:rPr>
          <w:noProof/>
        </w:rPr>
        <w:br/>
      </w:r>
      <w:r>
        <w:rPr>
          <w:b/>
          <w:noProof/>
        </w:rPr>
        <w:t>Liidu põhimõtete ja õiguse arendamise ja rakendamisega seotud ülesanded</w:t>
      </w:r>
      <w:bookmarkEnd w:id="24"/>
    </w:p>
    <w:p w:rsidR="00F4358D" w:rsidRDefault="00D1585A">
      <w:pPr>
        <w:pStyle w:val="Titrearticle"/>
        <w:jc w:val="both"/>
        <w:rPr>
          <w:i w:val="0"/>
          <w:noProof/>
        </w:rPr>
      </w:pPr>
      <w:r>
        <w:rPr>
          <w:i w:val="0"/>
          <w:noProof/>
        </w:rPr>
        <w:t>Amet aitab liidu põhimõtete ja</w:t>
      </w:r>
      <w:r>
        <w:rPr>
          <w:i w:val="0"/>
          <w:noProof/>
        </w:rPr>
        <w:t xml:space="preserve"> õiguse arendamisele ja rakendamisele kaasa järgmiselt.</w:t>
      </w:r>
    </w:p>
    <w:p w:rsidR="00F4358D" w:rsidRDefault="00D1585A">
      <w:pPr>
        <w:pStyle w:val="ManualNumPar1"/>
        <w:rPr>
          <w:noProof/>
        </w:rPr>
      </w:pPr>
      <w:r>
        <w:t>1.</w:t>
      </w:r>
      <w:r>
        <w:tab/>
      </w:r>
      <w:r>
        <w:rPr>
          <w:noProof/>
        </w:rPr>
        <w:t>Abistab ja annab nõu, eeskätt jagab oma sõltumatut arvamust ja teeb ettevalmistusi liidu põhimõtete ja õiguse arendamise ja läbivaatamise jaoks küberturvalisuse valdkonnas, aga ka valdkonnaspetsiif</w:t>
      </w:r>
      <w:r>
        <w:rPr>
          <w:noProof/>
        </w:rPr>
        <w:t>iliste poliitiliste ja õiguslike algatuste jaoks, kui need puudutavad küberturvalisusega seotud küsimusi.</w:t>
      </w:r>
    </w:p>
    <w:p w:rsidR="00F4358D" w:rsidRDefault="00D1585A">
      <w:pPr>
        <w:pStyle w:val="ManualNumPar1"/>
        <w:rPr>
          <w:noProof/>
        </w:rPr>
      </w:pPr>
      <w:r>
        <w:t>2.</w:t>
      </w:r>
      <w:r>
        <w:tab/>
      </w:r>
      <w:r>
        <w:rPr>
          <w:noProof/>
        </w:rPr>
        <w:t xml:space="preserve">Aitab liikmesriikidel järjekindlalt rakendada küberturvalisusega seotud liidu põhimõtteid ja õigusakte eeskätt seoses direktiiviga (EL) 2016/1148, </w:t>
      </w:r>
      <w:r>
        <w:rPr>
          <w:noProof/>
        </w:rPr>
        <w:t>kasutades selleks muu hulgas arvamusi, juhiseid, nõuandeid ja parimaid tavasid sellistes küsimustes nagu riskihaldus, intsidentidest teatamine ja teabe jagamine ning aidates kaasa selle valdkonna parimate tavade jagamisele pädevate asutuste vahel.</w:t>
      </w:r>
    </w:p>
    <w:p w:rsidR="00F4358D" w:rsidRDefault="00D1585A">
      <w:pPr>
        <w:pStyle w:val="ManualNumPar1"/>
        <w:rPr>
          <w:noProof/>
        </w:rPr>
      </w:pPr>
      <w:r>
        <w:t>3.</w:t>
      </w:r>
      <w:r>
        <w:tab/>
      </w:r>
      <w:r>
        <w:rPr>
          <w:noProof/>
        </w:rPr>
        <w:t>Annab</w:t>
      </w:r>
      <w:r>
        <w:rPr>
          <w:noProof/>
        </w:rPr>
        <w:t xml:space="preserve"> oma panuse direktiivi (EL) 2016/1148 artikliga 11 loodud koostöörühma töösse, pakkudes selleks oma oskusteavet ja abi.</w:t>
      </w:r>
    </w:p>
    <w:p w:rsidR="00F4358D" w:rsidRDefault="00D1585A">
      <w:pPr>
        <w:pStyle w:val="ManualNumPar1"/>
        <w:rPr>
          <w:noProof/>
        </w:rPr>
      </w:pPr>
      <w:r>
        <w:t>4.</w:t>
      </w:r>
      <w:r>
        <w:tab/>
      </w:r>
      <w:r>
        <w:rPr>
          <w:noProof/>
        </w:rPr>
        <w:t>Toetab:</w:t>
      </w:r>
    </w:p>
    <w:p w:rsidR="00F4358D" w:rsidRDefault="00D1585A">
      <w:pPr>
        <w:pStyle w:val="Point2number"/>
        <w:numPr>
          <w:ilvl w:val="4"/>
          <w:numId w:val="85"/>
        </w:numPr>
        <w:rPr>
          <w:noProof/>
        </w:rPr>
      </w:pPr>
      <w:r>
        <w:rPr>
          <w:noProof/>
        </w:rPr>
        <w:t>liidu põhimõtete arendamist ja rakendamist e-identimise ja usaldusteenuste valdkonnas, eeskätt pakkudes nõu ja tehnilisi juhi</w:t>
      </w:r>
      <w:r>
        <w:rPr>
          <w:noProof/>
        </w:rPr>
        <w:t>seid ning aidates kaasa parimate tavade vahetamisele pädevate asutuste vahel;</w:t>
      </w:r>
    </w:p>
    <w:p w:rsidR="00F4358D" w:rsidRDefault="00D1585A">
      <w:pPr>
        <w:pStyle w:val="Point2number"/>
        <w:numPr>
          <w:ilvl w:val="4"/>
          <w:numId w:val="85"/>
        </w:numPr>
        <w:rPr>
          <w:noProof/>
        </w:rPr>
      </w:pPr>
      <w:r>
        <w:rPr>
          <w:noProof/>
        </w:rPr>
        <w:t>elektroonilise side suurema turvalisuse edendamist, muu hulgas oskusteabe ja nõu pakkumisega ning pädevate asutuste vaheliste parimate tavade jagamise soodustamisega.</w:t>
      </w:r>
    </w:p>
    <w:p w:rsidR="00F4358D" w:rsidRDefault="00D1585A">
      <w:pPr>
        <w:pStyle w:val="ManualNumPar1"/>
        <w:rPr>
          <w:noProof/>
        </w:rPr>
      </w:pPr>
      <w:r>
        <w:t>5.</w:t>
      </w:r>
      <w:r>
        <w:tab/>
      </w:r>
      <w:r>
        <w:rPr>
          <w:noProof/>
        </w:rPr>
        <w:t>Toetab l</w:t>
      </w:r>
      <w:r>
        <w:rPr>
          <w:noProof/>
        </w:rPr>
        <w:t>iidu põhimõtetega seotud tegevuse regulaarset läbivaatamist ning esitab selleks igal aastal aruande vastava õigusraamistiku rakendamise seisu kohta seoses järgmisega:</w:t>
      </w:r>
    </w:p>
    <w:p w:rsidR="00F4358D" w:rsidRDefault="00D1585A">
      <w:pPr>
        <w:pStyle w:val="Point1letter"/>
        <w:numPr>
          <w:ilvl w:val="3"/>
          <w:numId w:val="89"/>
        </w:numPr>
        <w:rPr>
          <w:noProof/>
        </w:rPr>
      </w:pPr>
      <w:r>
        <w:rPr>
          <w:noProof/>
        </w:rPr>
        <w:t>liikmesriikide teated intsidentide kohta, mille ühtsed kontaktpunktid on esitanud koostöö</w:t>
      </w:r>
      <w:r>
        <w:rPr>
          <w:noProof/>
        </w:rPr>
        <w:t>rühmale vastavalt direktiivi (EL) 2016/1148 artikli 10 lõikele 3;</w:t>
      </w:r>
    </w:p>
    <w:p w:rsidR="00F4358D" w:rsidRDefault="00D1585A">
      <w:pPr>
        <w:pStyle w:val="Point1letter"/>
        <w:rPr>
          <w:noProof/>
        </w:rPr>
      </w:pPr>
      <w:r>
        <w:rPr>
          <w:noProof/>
        </w:rPr>
        <w:t>teated usaldusteenuse osutajaid puudutavate turvalisuse rikkumiste ja tervikluse kadude kohta, mille järelevalveasutused esitavad ametile vastavalt määruse (EL) nr 910/2014 artikli 19 lõikel</w:t>
      </w:r>
      <w:r>
        <w:rPr>
          <w:noProof/>
        </w:rPr>
        <w:t>e 3;</w:t>
      </w:r>
    </w:p>
    <w:p w:rsidR="00F4358D" w:rsidRDefault="00D1585A">
      <w:pPr>
        <w:pStyle w:val="Point1letter"/>
        <w:rPr>
          <w:noProof/>
        </w:rPr>
      </w:pPr>
      <w:r>
        <w:rPr>
          <w:noProof/>
        </w:rPr>
        <w:t>üldkasutatavaid sidevõrke või üldkasutatavaid elektroonilise side teenuseid pakkuvate ettevõtjate edastatud teated turvalisuse rikkumise kohta, mille pädevad asutused esitavad ametile vastavalt [Euroopa elektroonilise side seadustiku kehtestamise dire</w:t>
      </w:r>
      <w:r>
        <w:rPr>
          <w:noProof/>
        </w:rPr>
        <w:t>ktiivi] artiklile 40.</w:t>
      </w:r>
    </w:p>
    <w:p w:rsidR="00F4358D" w:rsidRDefault="00F4358D">
      <w:pPr>
        <w:rPr>
          <w:noProof/>
        </w:rPr>
      </w:pPr>
    </w:p>
    <w:p w:rsidR="00F4358D" w:rsidRDefault="00F4358D">
      <w:pPr>
        <w:rPr>
          <w:noProof/>
          <w:szCs w:val="24"/>
        </w:rPr>
      </w:pPr>
    </w:p>
    <w:p w:rsidR="00F4358D" w:rsidRDefault="00D1585A">
      <w:pPr>
        <w:pStyle w:val="Titrearticle"/>
        <w:rPr>
          <w:rFonts w:eastAsia="Times New Roman"/>
          <w:b/>
          <w:noProof/>
        </w:rPr>
      </w:pPr>
      <w:r>
        <w:rPr>
          <w:noProof/>
        </w:rPr>
        <w:t>Artikkel</w:t>
      </w:r>
      <w:bookmarkStart w:id="25" w:name="bookmark11"/>
      <w:r>
        <w:rPr>
          <w:noProof/>
        </w:rPr>
        <w:t xml:space="preserve"> 6 </w:t>
      </w:r>
      <w:r>
        <w:rPr>
          <w:noProof/>
        </w:rPr>
        <w:br/>
      </w:r>
      <w:r>
        <w:rPr>
          <w:b/>
          <w:i w:val="0"/>
          <w:noProof/>
        </w:rPr>
        <w:t>Suutlikkuse arendamisega seotud ülesanded</w:t>
      </w:r>
      <w:bookmarkEnd w:id="25"/>
    </w:p>
    <w:p w:rsidR="00F4358D" w:rsidRDefault="00D1585A">
      <w:pPr>
        <w:pStyle w:val="ManualNumPar1"/>
        <w:rPr>
          <w:noProof/>
        </w:rPr>
      </w:pPr>
      <w:r>
        <w:t>1.</w:t>
      </w:r>
      <w:r>
        <w:tab/>
      </w:r>
      <w:r>
        <w:rPr>
          <w:noProof/>
        </w:rPr>
        <w:t>Amet abistab:</w:t>
      </w:r>
    </w:p>
    <w:p w:rsidR="00F4358D" w:rsidRDefault="00D1585A">
      <w:pPr>
        <w:pStyle w:val="Point0letter"/>
        <w:numPr>
          <w:ilvl w:val="1"/>
          <w:numId w:val="22"/>
        </w:numPr>
        <w:rPr>
          <w:noProof/>
        </w:rPr>
      </w:pPr>
      <w:r>
        <w:rPr>
          <w:noProof/>
        </w:rPr>
        <w:t>liikmesriike nende tegevuses, et parandada küberturvalisuse probleemide ja intsidentide ennetamist, avastamist, analüüsimist ja neile reageerimise suutlikkust, p</w:t>
      </w:r>
      <w:r>
        <w:rPr>
          <w:noProof/>
        </w:rPr>
        <w:t>akkudes neile vajalikke teadmisi ja oskusteavet;</w:t>
      </w:r>
    </w:p>
    <w:p w:rsidR="00F4358D" w:rsidRDefault="00D1585A">
      <w:pPr>
        <w:pStyle w:val="Point0letter"/>
        <w:numPr>
          <w:ilvl w:val="1"/>
          <w:numId w:val="22"/>
        </w:numPr>
        <w:rPr>
          <w:noProof/>
        </w:rPr>
      </w:pPr>
      <w:r>
        <w:rPr>
          <w:noProof/>
        </w:rPr>
        <w:t>liidu institutsioone, organeid ja asutusi nende tegevuses, et parandada küberturvalisuse probleemide ja intsidentide ennetamist, avastamist, analüüsimist ja neile reageerimise suutlikkust, pakkudes asjakohas</w:t>
      </w:r>
      <w:r>
        <w:rPr>
          <w:noProof/>
        </w:rPr>
        <w:t>t toetust liidu institutsioonide, organite ja asutuste CERTile (CERT-EU);</w:t>
      </w:r>
    </w:p>
    <w:p w:rsidR="00F4358D" w:rsidRDefault="00D1585A">
      <w:pPr>
        <w:pStyle w:val="Point0letter"/>
        <w:numPr>
          <w:ilvl w:val="1"/>
          <w:numId w:val="22"/>
        </w:numPr>
        <w:rPr>
          <w:noProof/>
        </w:rPr>
      </w:pPr>
      <w:r>
        <w:rPr>
          <w:noProof/>
        </w:rPr>
        <w:t>liikmesriike, kui need seda taotlevad, et arendada välja riiklikud küberturbe intsidentide lahendamise üksused (CSIRTid) vastavalt direktiivi (EL) 2016/1148 artikli 9 lõikele 5;</w:t>
      </w:r>
    </w:p>
    <w:p w:rsidR="00F4358D" w:rsidRDefault="00D1585A">
      <w:pPr>
        <w:pStyle w:val="Point0letter"/>
        <w:numPr>
          <w:ilvl w:val="1"/>
          <w:numId w:val="22"/>
        </w:numPr>
        <w:rPr>
          <w:noProof/>
        </w:rPr>
      </w:pPr>
      <w:r>
        <w:rPr>
          <w:noProof/>
        </w:rPr>
        <w:t>liik</w:t>
      </w:r>
      <w:r>
        <w:rPr>
          <w:noProof/>
        </w:rPr>
        <w:t>mesriike, kui need seda taotlevad, et arendada välja riiklikud võrgu- ja infosüsteemide turvalisuse strateegiad vastavalt direktiivi (EL) 2016/1148 artikli 7 lõikele 2; ühtlasi edendab amet nende strateegiate levitamist ja jälgib nende rakendamisel tehtava</w:t>
      </w:r>
      <w:r>
        <w:rPr>
          <w:noProof/>
        </w:rPr>
        <w:t>id edusamme kogu liidus, et propageerida parimaid tavasid;</w:t>
      </w:r>
    </w:p>
    <w:p w:rsidR="00F4358D" w:rsidRDefault="00D1585A">
      <w:pPr>
        <w:pStyle w:val="Point0letter"/>
        <w:numPr>
          <w:ilvl w:val="1"/>
          <w:numId w:val="22"/>
        </w:numPr>
        <w:rPr>
          <w:noProof/>
        </w:rPr>
      </w:pPr>
      <w:r>
        <w:rPr>
          <w:noProof/>
        </w:rPr>
        <w:t>liidu institutsioone liidu küberturvalisuse alaste strateegiate arendamisel ja läbivaatamisel, nende levitamisel ja nende rakendamisel tehtavate edusammude jälgimisel;</w:t>
      </w:r>
    </w:p>
    <w:p w:rsidR="00F4358D" w:rsidRDefault="00D1585A">
      <w:pPr>
        <w:pStyle w:val="Point0letter"/>
        <w:numPr>
          <w:ilvl w:val="1"/>
          <w:numId w:val="22"/>
        </w:numPr>
        <w:rPr>
          <w:noProof/>
        </w:rPr>
      </w:pPr>
      <w:r>
        <w:rPr>
          <w:noProof/>
        </w:rPr>
        <w:t>riiklikke ja liidu CSIRTe nen</w:t>
      </w:r>
      <w:r>
        <w:rPr>
          <w:noProof/>
        </w:rPr>
        <w:t>de suutlikkuse arendamisel, muu hulgas edendades dialoogi ja teabevahetust tagamaks, et iga CSIRT vastab tehnika taseme osas ühistele miinimumsuutlikkuse nõuetele ning toimib kooskõlas parimate tavadega;</w:t>
      </w:r>
    </w:p>
    <w:p w:rsidR="00F4358D" w:rsidRDefault="00D1585A">
      <w:pPr>
        <w:pStyle w:val="Point0letter"/>
        <w:numPr>
          <w:ilvl w:val="1"/>
          <w:numId w:val="22"/>
        </w:numPr>
        <w:rPr>
          <w:noProof/>
        </w:rPr>
      </w:pPr>
      <w:r>
        <w:rPr>
          <w:noProof/>
        </w:rPr>
        <w:t>liikmesriike, korraldades igal aastal liidu tasandil</w:t>
      </w:r>
      <w:r>
        <w:rPr>
          <w:noProof/>
        </w:rPr>
        <w:t xml:space="preserve"> artikli 7 lõikes 6 osutatud ulatuslikud küberturvalisuse õppused ja andes õppuste hindamise ja õppuste käigus omandatud kogemuste põhjal poliitilisi soovitusi;</w:t>
      </w:r>
    </w:p>
    <w:p w:rsidR="00F4358D" w:rsidRDefault="00D1585A">
      <w:pPr>
        <w:pStyle w:val="Point0letter"/>
        <w:numPr>
          <w:ilvl w:val="1"/>
          <w:numId w:val="22"/>
        </w:numPr>
        <w:rPr>
          <w:noProof/>
        </w:rPr>
      </w:pPr>
      <w:r>
        <w:rPr>
          <w:noProof/>
        </w:rPr>
        <w:t>asjaomaseid avalik-õiguslikke asutusi, pakkudes neile vajaduse korral koostöös sidusrühmadega k</w:t>
      </w:r>
      <w:r>
        <w:rPr>
          <w:noProof/>
        </w:rPr>
        <w:t>überturvalisuse alast koolitust;</w:t>
      </w:r>
    </w:p>
    <w:p w:rsidR="00F4358D" w:rsidRDefault="00D1585A">
      <w:pPr>
        <w:pStyle w:val="Point0letter"/>
        <w:numPr>
          <w:ilvl w:val="1"/>
          <w:numId w:val="22"/>
        </w:numPr>
        <w:rPr>
          <w:noProof/>
        </w:rPr>
      </w:pPr>
      <w:r>
        <w:rPr>
          <w:noProof/>
        </w:rPr>
        <w:t>koostöörühma, vahetades parimaid tavasid eeskätt seoses oluliste teenuste operaatorite identifitseerimisega liikmesriikide poolt, muu hulgas selles osas, mis puudutab riskide ja intsidentidega seotud piiriüleseid sõltuvusse</w:t>
      </w:r>
      <w:r>
        <w:rPr>
          <w:noProof/>
        </w:rPr>
        <w:t>oseid vastavalt direktiivi (EL) 2016/1148 artikli 11 lõike 3 punktile l;</w:t>
      </w:r>
    </w:p>
    <w:p w:rsidR="00F4358D" w:rsidRDefault="00D1585A">
      <w:pPr>
        <w:pStyle w:val="ManualNumPar1"/>
        <w:rPr>
          <w:noProof/>
        </w:rPr>
      </w:pPr>
      <w:r>
        <w:t>2.</w:t>
      </w:r>
      <w:r>
        <w:tab/>
      </w:r>
      <w:r>
        <w:rPr>
          <w:noProof/>
        </w:rPr>
        <w:t>Amet soodustab valdkondlike teabe jagamise ja analüüsimise keskuste (ISACide) loomist ja toetab neid pidevalt eeskätt direktiivi (EL) 2016/1148 II lisas loetletud valdkondades, pak</w:t>
      </w:r>
      <w:r>
        <w:rPr>
          <w:noProof/>
        </w:rPr>
        <w:t>kudes parimaid tavasid ja juhiseid kättesaadavate töövahendite ja menetluste kohta ning selle kohta, kuidas lahendada teabe jagamisega seotud regulatiivsed küsimused.</w:t>
      </w:r>
    </w:p>
    <w:p w:rsidR="00F4358D" w:rsidRDefault="00F4358D">
      <w:pPr>
        <w:rPr>
          <w:noProof/>
          <w:szCs w:val="24"/>
        </w:rPr>
      </w:pPr>
    </w:p>
    <w:p w:rsidR="00F4358D" w:rsidRDefault="00F4358D">
      <w:pPr>
        <w:rPr>
          <w:noProof/>
          <w:szCs w:val="24"/>
        </w:rPr>
      </w:pPr>
    </w:p>
    <w:p w:rsidR="00F4358D" w:rsidRDefault="00F4358D">
      <w:pPr>
        <w:rPr>
          <w:noProof/>
          <w:szCs w:val="24"/>
        </w:rPr>
      </w:pPr>
    </w:p>
    <w:p w:rsidR="00F4358D" w:rsidRDefault="00D1585A">
      <w:pPr>
        <w:pStyle w:val="Titrearticle"/>
        <w:rPr>
          <w:rFonts w:eastAsia="Times New Roman"/>
          <w:b/>
          <w:noProof/>
        </w:rPr>
      </w:pPr>
      <w:r>
        <w:rPr>
          <w:noProof/>
        </w:rPr>
        <w:t>Artikkel 7</w:t>
      </w:r>
      <w:r>
        <w:rPr>
          <w:noProof/>
        </w:rPr>
        <w:br/>
      </w:r>
      <w:r>
        <w:rPr>
          <w:b/>
          <w:i w:val="0"/>
          <w:noProof/>
        </w:rPr>
        <w:t>Liidu tasandi operatiivkoostööga seotud ülesanded</w:t>
      </w:r>
    </w:p>
    <w:p w:rsidR="00F4358D" w:rsidRDefault="00D1585A">
      <w:pPr>
        <w:pStyle w:val="ManualNumPar1"/>
        <w:rPr>
          <w:noProof/>
        </w:rPr>
      </w:pPr>
      <w:r>
        <w:t>1.</w:t>
      </w:r>
      <w:r>
        <w:tab/>
      </w:r>
      <w:r>
        <w:rPr>
          <w:noProof/>
        </w:rPr>
        <w:t>Amet toetab operatiivk</w:t>
      </w:r>
      <w:r>
        <w:rPr>
          <w:noProof/>
        </w:rPr>
        <w:t>oostööd pädevate avalik-õiguslike asutuste seas ja sidusrühmade vahel.</w:t>
      </w:r>
    </w:p>
    <w:p w:rsidR="00F4358D" w:rsidRDefault="00D1585A">
      <w:pPr>
        <w:pStyle w:val="ManualNumPar1"/>
        <w:rPr>
          <w:noProof/>
        </w:rPr>
      </w:pPr>
      <w:r>
        <w:t>2.</w:t>
      </w:r>
      <w:r>
        <w:tab/>
      </w:r>
      <w:r>
        <w:rPr>
          <w:noProof/>
        </w:rPr>
        <w:t xml:space="preserve">Amet teeb operatiivtasandil koostööd ja loob koostoimet liidu institutsioonide, organite ja asutustega (sealhulgas CERT-EU, need talitused, kelle tegevus puudutab küberkuritegevust, </w:t>
      </w:r>
      <w:r>
        <w:rPr>
          <w:noProof/>
        </w:rPr>
        <w:t>ning järelevalveasutused, kes tegelevad privaatsuse ja isikuandmete kaitsega), et lahendada ühist muret tekitavaid küsimusi, sealhulgas:</w:t>
      </w:r>
    </w:p>
    <w:p w:rsidR="00F4358D" w:rsidRDefault="00D1585A">
      <w:pPr>
        <w:pStyle w:val="Point1letter"/>
        <w:numPr>
          <w:ilvl w:val="3"/>
          <w:numId w:val="61"/>
        </w:numPr>
        <w:rPr>
          <w:noProof/>
        </w:rPr>
      </w:pPr>
      <w:r>
        <w:rPr>
          <w:noProof/>
        </w:rPr>
        <w:t>oskusteabe ja parimate tavade vahetamine;</w:t>
      </w:r>
    </w:p>
    <w:p w:rsidR="00F4358D" w:rsidRDefault="00D1585A">
      <w:pPr>
        <w:pStyle w:val="Point1letter"/>
        <w:rPr>
          <w:noProof/>
        </w:rPr>
      </w:pPr>
      <w:r>
        <w:rPr>
          <w:noProof/>
        </w:rPr>
        <w:t xml:space="preserve">nõu andmine ja juhiste jagamine küberturvalisusega seotud asjaomastes </w:t>
      </w:r>
      <w:r>
        <w:rPr>
          <w:noProof/>
        </w:rPr>
        <w:t>küsimustes;</w:t>
      </w:r>
    </w:p>
    <w:p w:rsidR="00F4358D" w:rsidRDefault="00D1585A">
      <w:pPr>
        <w:pStyle w:val="Point1letter"/>
        <w:rPr>
          <w:noProof/>
        </w:rPr>
      </w:pPr>
      <w:r>
        <w:rPr>
          <w:noProof/>
        </w:rPr>
        <w:t>konkreetsete ülesannete täitmise praktilise korra kehtestamine pärast komisjoniga konsulteerimist.</w:t>
      </w:r>
    </w:p>
    <w:p w:rsidR="00F4358D" w:rsidRDefault="00D1585A">
      <w:pPr>
        <w:pStyle w:val="ManualNumPar1"/>
        <w:rPr>
          <w:noProof/>
        </w:rPr>
      </w:pPr>
      <w:r>
        <w:t>3.</w:t>
      </w:r>
      <w:r>
        <w:tab/>
      </w:r>
      <w:r>
        <w:rPr>
          <w:noProof/>
        </w:rPr>
        <w:t xml:space="preserve">Amet tagab CSIRTide võrgustiku sekretariaaditeenused vastavalt direktiivi (EL) 2016/1148 artikli 12 lõikele 2 ning soodustab aktiivselt teabe </w:t>
      </w:r>
      <w:r>
        <w:rPr>
          <w:noProof/>
        </w:rPr>
        <w:t>jagamist ja koostööd võrgustiku liikmete vahel.</w:t>
      </w:r>
    </w:p>
    <w:p w:rsidR="00F4358D" w:rsidRDefault="00D1585A">
      <w:pPr>
        <w:pStyle w:val="ManualNumPar1"/>
        <w:rPr>
          <w:noProof/>
        </w:rPr>
      </w:pPr>
      <w:r>
        <w:t>4.</w:t>
      </w:r>
      <w:r>
        <w:tab/>
      </w:r>
      <w:r>
        <w:rPr>
          <w:noProof/>
        </w:rPr>
        <w:t>Amet annab oma panuse CSIRTide võrgustikus toimuvasse operatiivkoostöösse ning toetab liikmesriike järgmiselt:</w:t>
      </w:r>
    </w:p>
    <w:p w:rsidR="00F4358D" w:rsidRDefault="00D1585A">
      <w:pPr>
        <w:pStyle w:val="Point1letter"/>
        <w:numPr>
          <w:ilvl w:val="3"/>
          <w:numId w:val="72"/>
        </w:numPr>
        <w:rPr>
          <w:noProof/>
        </w:rPr>
      </w:pPr>
      <w:r>
        <w:rPr>
          <w:noProof/>
        </w:rPr>
        <w:t>annab nõu, kuidas parandada intsidentide vältimise, nende avastamise ja neile reageerimise suu</w:t>
      </w:r>
      <w:r>
        <w:rPr>
          <w:noProof/>
        </w:rPr>
        <w:t>tlikkust;</w:t>
      </w:r>
    </w:p>
    <w:p w:rsidR="00F4358D" w:rsidRDefault="00D1585A">
      <w:pPr>
        <w:pStyle w:val="Point1letter"/>
        <w:numPr>
          <w:ilvl w:val="3"/>
          <w:numId w:val="72"/>
        </w:numPr>
        <w:rPr>
          <w:noProof/>
        </w:rPr>
      </w:pPr>
      <w:r>
        <w:rPr>
          <w:noProof/>
        </w:rPr>
        <w:t>pakub liikmesriikidele nende taotlusel tehnilist abi märkimisväärse või olulise mõjuga intsidentide korral;</w:t>
      </w:r>
    </w:p>
    <w:p w:rsidR="00F4358D" w:rsidRDefault="00D1585A">
      <w:pPr>
        <w:pStyle w:val="Point1letter"/>
        <w:numPr>
          <w:ilvl w:val="3"/>
          <w:numId w:val="72"/>
        </w:numPr>
        <w:rPr>
          <w:noProof/>
        </w:rPr>
      </w:pPr>
      <w:r>
        <w:rPr>
          <w:noProof/>
        </w:rPr>
        <w:t>analüüsib nõrkusi, moonutusi ja intsidente.</w:t>
      </w:r>
    </w:p>
    <w:p w:rsidR="00F4358D" w:rsidRDefault="00D1585A">
      <w:pPr>
        <w:rPr>
          <w:noProof/>
        </w:rPr>
      </w:pPr>
      <w:r>
        <w:rPr>
          <w:noProof/>
        </w:rPr>
        <w:t>Et saada kasu koostoimest, teevad amet ja CERT-EU neid ülesandeid täites struktureeritud koost</w:t>
      </w:r>
      <w:r>
        <w:rPr>
          <w:noProof/>
        </w:rPr>
        <w:t>ööd, eeskätt operatiivaspektides.</w:t>
      </w:r>
    </w:p>
    <w:p w:rsidR="00F4358D" w:rsidRDefault="00D1585A">
      <w:pPr>
        <w:pStyle w:val="ManualNumPar1"/>
        <w:rPr>
          <w:noProof/>
        </w:rPr>
      </w:pPr>
      <w:r>
        <w:t>5.</w:t>
      </w:r>
      <w:r>
        <w:tab/>
      </w:r>
      <w:r>
        <w:rPr>
          <w:noProof/>
        </w:rPr>
        <w:t>Kahe või enama asjaomase liikmesriigi taotluse korral ja üksnes selleks, et anda nõu edasiste intsidentide vältimiseks, teeb amet tehnilise järeluurimise või pakub selleks vajalikku toetust pärast seda, kui mõjutatud et</w:t>
      </w:r>
      <w:r>
        <w:rPr>
          <w:noProof/>
        </w:rPr>
        <w:t>tevõtjad on teatanud märkimisväärse või olulise mõjuga intsidendist vastavalt direktiivile (EL) 2016/1148. Amet teeb sellise uurimise ka juhul, kui selline intsident on mõjutanud rohkem kui kaht liikmesriiki ning kui komisjon esitab asjaomaste liikmesriiki</w:t>
      </w:r>
      <w:r>
        <w:rPr>
          <w:noProof/>
        </w:rPr>
        <w:t>de nõusolekul põhjendatud taotluse.</w:t>
      </w:r>
    </w:p>
    <w:p w:rsidR="00F4358D" w:rsidRDefault="00D1585A">
      <w:pPr>
        <w:pStyle w:val="Text1"/>
        <w:rPr>
          <w:noProof/>
        </w:rPr>
      </w:pPr>
      <w:r>
        <w:rPr>
          <w:noProof/>
        </w:rPr>
        <w:t>Sellise uurimise ulatuses ja selle teostamise korras lepivad kokku asjaomased liikmesriigid ja amet ning see ei piira ühtegi sama intsidendi kohta pooleli olevat kriminaaluurimist. Uurimise lõpuks koostab amet eeskätt as</w:t>
      </w:r>
      <w:r>
        <w:rPr>
          <w:noProof/>
        </w:rPr>
        <w:t>jaomaste liikmesriikide ja ettevõtjate esitatud teabe ja kommentaaride põhjal lõpliku tehnilise aruande, mis lepitakse kokku asjaomaste liikmesriikidega. Aruande kokkuvõtet, milles keskendutakse soovitustele selle kohta, kuidas edaspidi intsidente vältida,</w:t>
      </w:r>
      <w:r>
        <w:rPr>
          <w:noProof/>
        </w:rPr>
        <w:t xml:space="preserve"> jagatakse CSIRTide võrgustikuga.</w:t>
      </w:r>
    </w:p>
    <w:p w:rsidR="00F4358D" w:rsidRDefault="00D1585A">
      <w:pPr>
        <w:pStyle w:val="ManualNumPar1"/>
        <w:rPr>
          <w:noProof/>
        </w:rPr>
      </w:pPr>
      <w:r>
        <w:t>6.</w:t>
      </w:r>
      <w:r>
        <w:tab/>
      </w:r>
      <w:r>
        <w:rPr>
          <w:noProof/>
        </w:rPr>
        <w:t>Amet korraldab iga-aastaseid liidu tasandi küberõppusi ning toetab liikmesriike ja ELi institutsioone, organeid ja asutusi nende taotluse korral õppuste korraldamisel. Iga-aastased liidu tasandi õppused sisaldavad tehni</w:t>
      </w:r>
      <w:r>
        <w:rPr>
          <w:noProof/>
        </w:rPr>
        <w:t>lisi, operatiivseid ja strateegilisi elemente, et aidata ette valmistada liidu tasandi koostööl põhinevat reageerimist ulatuslikele piiriülestele küberturvalisuse intsidentidele. Lisaks annab amet vajaduse korral oma panuse valdkondlike küberõppuste korral</w:t>
      </w:r>
      <w:r>
        <w:rPr>
          <w:noProof/>
        </w:rPr>
        <w:t>damisse ja aitab neid korraldada koos asjaomaste teabe jagamise ja analüüsimise keskustega ning lubab keskustel osaleda ka liidu tasandi küberturvalisuse õppustel.</w:t>
      </w:r>
    </w:p>
    <w:p w:rsidR="00F4358D" w:rsidRDefault="00D1585A">
      <w:pPr>
        <w:pStyle w:val="ManualNumPar1"/>
        <w:rPr>
          <w:noProof/>
        </w:rPr>
      </w:pPr>
      <w:r>
        <w:t>7.</w:t>
      </w:r>
      <w:r>
        <w:tab/>
      </w:r>
      <w:r>
        <w:rPr>
          <w:noProof/>
        </w:rPr>
        <w:t>Amet koostab korrapäraselt ELi küberturvalisuse tehnilise olukorra aruandeid intsidentide</w:t>
      </w:r>
      <w:r>
        <w:rPr>
          <w:noProof/>
        </w:rPr>
        <w:t xml:space="preserve"> ja ohtude kohta, võttes aluseks avatud allikatest pärit teabe, omaenda tehtud analüüsid ja aruanded, mida jagavad muu hulgas: liikmesriikide CSIRTid (vabatahtlikkuse alusel) või ELi võrgu- ja infoturbe direktiivi alusel loodud ühtsed kontaktpunktid (vasta</w:t>
      </w:r>
      <w:r>
        <w:rPr>
          <w:noProof/>
        </w:rPr>
        <w:t>valt võrgu- ja infoturbe direktiivi artiklit 14 lõikele 5); Europoli küberkuritegevuse vastase võitluse Euroopa keskus (EC3), CERT-EU.</w:t>
      </w:r>
    </w:p>
    <w:p w:rsidR="00F4358D" w:rsidRDefault="00D1585A">
      <w:pPr>
        <w:pStyle w:val="ManualNumPar1"/>
        <w:rPr>
          <w:noProof/>
        </w:rPr>
      </w:pPr>
      <w:r>
        <w:t>8.</w:t>
      </w:r>
      <w:r>
        <w:tab/>
      </w:r>
      <w:r>
        <w:rPr>
          <w:noProof/>
        </w:rPr>
        <w:t>Amet annab oma panuse, et töötada välja liidu ja liikmesriikide tasandi koostööl põhinev reageering ulatuslikele küber</w:t>
      </w:r>
      <w:r>
        <w:rPr>
          <w:noProof/>
        </w:rPr>
        <w:t>turvalisusega seotud piiriülestele intsidentidele või kriisidele, tehes selleks peamiselt järgmist:</w:t>
      </w:r>
    </w:p>
    <w:p w:rsidR="00F4358D" w:rsidRDefault="00D1585A">
      <w:pPr>
        <w:pStyle w:val="Point1letter"/>
        <w:numPr>
          <w:ilvl w:val="3"/>
          <w:numId w:val="64"/>
        </w:numPr>
        <w:rPr>
          <w:noProof/>
        </w:rPr>
      </w:pPr>
      <w:r>
        <w:rPr>
          <w:noProof/>
        </w:rPr>
        <w:t>koondab riiklikest allikatest pärit aruandeid, et aidata kaasa ühise olukorrateadlikkuse tekitamisele;</w:t>
      </w:r>
    </w:p>
    <w:p w:rsidR="00F4358D" w:rsidRDefault="00D1585A">
      <w:pPr>
        <w:pStyle w:val="Point1letter"/>
        <w:numPr>
          <w:ilvl w:val="3"/>
          <w:numId w:val="64"/>
        </w:numPr>
        <w:rPr>
          <w:noProof/>
        </w:rPr>
      </w:pPr>
      <w:r>
        <w:rPr>
          <w:noProof/>
        </w:rPr>
        <w:t>tagab teabe tõhusa liikumise ja eskaleerimismehhanism</w:t>
      </w:r>
      <w:r>
        <w:rPr>
          <w:noProof/>
        </w:rPr>
        <w:t>ide olemasolu CSIRTide võrgustiku ning liidu tasandi tehniliste ja poliitiliste otsuste tegijate vahel;</w:t>
      </w:r>
    </w:p>
    <w:p w:rsidR="00F4358D" w:rsidRDefault="00D1585A">
      <w:pPr>
        <w:pStyle w:val="Point1letter"/>
        <w:numPr>
          <w:ilvl w:val="3"/>
          <w:numId w:val="64"/>
        </w:numPr>
        <w:rPr>
          <w:noProof/>
        </w:rPr>
      </w:pPr>
      <w:r>
        <w:rPr>
          <w:noProof/>
        </w:rPr>
        <w:t>toetab intsidendi või kriisi tehnilist lahendamist, hõlbustades muu hulgas tehniliste lahenduste jagamist liikmesriikide vahel;</w:t>
      </w:r>
    </w:p>
    <w:p w:rsidR="00F4358D" w:rsidRDefault="00D1585A">
      <w:pPr>
        <w:pStyle w:val="Point1letter"/>
        <w:numPr>
          <w:ilvl w:val="3"/>
          <w:numId w:val="64"/>
        </w:numPr>
        <w:rPr>
          <w:noProof/>
        </w:rPr>
      </w:pPr>
      <w:r>
        <w:rPr>
          <w:noProof/>
        </w:rPr>
        <w:t>toetab intsidenti või kr</w:t>
      </w:r>
      <w:r>
        <w:rPr>
          <w:noProof/>
        </w:rPr>
        <w:t>iisi puudutavat avalikku teabevahetust;</w:t>
      </w:r>
    </w:p>
    <w:p w:rsidR="00F4358D" w:rsidRDefault="00D1585A">
      <w:pPr>
        <w:pStyle w:val="Point1letter"/>
        <w:numPr>
          <w:ilvl w:val="3"/>
          <w:numId w:val="64"/>
        </w:numPr>
        <w:rPr>
          <w:noProof/>
        </w:rPr>
      </w:pPr>
      <w:r>
        <w:rPr>
          <w:noProof/>
        </w:rPr>
        <w:t>testib sellistele intsidentidele või kriisidele reageerimiseks mõeldud koostööplaane.</w:t>
      </w:r>
    </w:p>
    <w:p w:rsidR="00F4358D" w:rsidRDefault="00D1585A">
      <w:pPr>
        <w:pStyle w:val="Titrearticle"/>
        <w:rPr>
          <w:rFonts w:eastAsia="Times New Roman"/>
          <w:b/>
          <w:i w:val="0"/>
          <w:noProof/>
        </w:rPr>
      </w:pPr>
      <w:r>
        <w:rPr>
          <w:noProof/>
        </w:rPr>
        <w:t xml:space="preserve">Artikkel </w:t>
      </w:r>
      <w:r>
        <w:rPr>
          <w:i w:val="0"/>
          <w:noProof/>
        </w:rPr>
        <w:t>8</w:t>
      </w:r>
      <w:r>
        <w:rPr>
          <w:rFonts w:eastAsia="Times New Roman"/>
          <w:i w:val="0"/>
          <w:noProof/>
        </w:rPr>
        <w:br/>
      </w:r>
      <w:r>
        <w:rPr>
          <w:b/>
          <w:i w:val="0"/>
          <w:noProof/>
        </w:rPr>
        <w:t>Turu, küberturvalisuse sertifitseerimise ja standardimisega seotud ülesanded</w:t>
      </w:r>
    </w:p>
    <w:p w:rsidR="00F4358D" w:rsidRDefault="00D1585A">
      <w:pPr>
        <w:tabs>
          <w:tab w:val="left" w:pos="7320"/>
        </w:tabs>
        <w:rPr>
          <w:noProof/>
          <w:szCs w:val="24"/>
        </w:rPr>
      </w:pPr>
      <w:r>
        <w:rPr>
          <w:noProof/>
        </w:rPr>
        <w:t>Amet teeb järgmist:</w:t>
      </w:r>
      <w:r>
        <w:rPr>
          <w:noProof/>
        </w:rPr>
        <w:tab/>
      </w:r>
    </w:p>
    <w:p w:rsidR="00F4358D" w:rsidRDefault="00D1585A">
      <w:pPr>
        <w:pStyle w:val="Point0letter"/>
        <w:numPr>
          <w:ilvl w:val="1"/>
          <w:numId w:val="58"/>
        </w:numPr>
        <w:rPr>
          <w:noProof/>
        </w:rPr>
      </w:pPr>
      <w:r>
        <w:rPr>
          <w:noProof/>
        </w:rPr>
        <w:t>toetab ja edendab käe</w:t>
      </w:r>
      <w:r>
        <w:rPr>
          <w:noProof/>
        </w:rPr>
        <w:t>soleva määruse III jaotises kirjeldatud IKT toodete ja teenuste küberturvalisuse sertifitseerimise alaste liidu põhimõtete arendamist ja rakendamist järgmiselt:</w:t>
      </w:r>
    </w:p>
    <w:p w:rsidR="00F4358D" w:rsidRDefault="00D1585A">
      <w:pPr>
        <w:pStyle w:val="Point2number"/>
        <w:numPr>
          <w:ilvl w:val="4"/>
          <w:numId w:val="86"/>
        </w:numPr>
        <w:rPr>
          <w:noProof/>
        </w:rPr>
      </w:pPr>
      <w:r>
        <w:rPr>
          <w:noProof/>
        </w:rPr>
        <w:t>koostab IKT toodete ja teenuste Euroopa küberturvalisuse sertifitseerimise ettevalmistavad kava</w:t>
      </w:r>
      <w:r>
        <w:rPr>
          <w:noProof/>
        </w:rPr>
        <w:t>d vastavalt käesoleva määruse artiklile 44;</w:t>
      </w:r>
    </w:p>
    <w:p w:rsidR="00F4358D" w:rsidRDefault="00D1585A">
      <w:pPr>
        <w:pStyle w:val="Point2number"/>
        <w:numPr>
          <w:ilvl w:val="4"/>
          <w:numId w:val="86"/>
        </w:numPr>
        <w:rPr>
          <w:noProof/>
        </w:rPr>
      </w:pPr>
      <w:r>
        <w:rPr>
          <w:noProof/>
        </w:rPr>
        <w:t>aitab komisjonil pakkuda sekretariaaditeenuseid Euroopa küberturvalisuse sertifitseerimise rühmale vastavalt käesoleva määruse artiklile 53;</w:t>
      </w:r>
    </w:p>
    <w:p w:rsidR="00F4358D" w:rsidRDefault="00D1585A">
      <w:pPr>
        <w:pStyle w:val="Point2number"/>
        <w:numPr>
          <w:ilvl w:val="4"/>
          <w:numId w:val="86"/>
        </w:numPr>
        <w:rPr>
          <w:noProof/>
        </w:rPr>
      </w:pPr>
      <w:r>
        <w:rPr>
          <w:noProof/>
        </w:rPr>
        <w:t>koostab ja avaldab juhiseid ja töötab välja häid tavasid IKT toodete ja</w:t>
      </w:r>
      <w:r>
        <w:rPr>
          <w:noProof/>
        </w:rPr>
        <w:t xml:space="preserve"> teenuste küberturvalisuse nõuete kohta, tehes selleks koostööd riikide sertifitseerimisega tegelevate järelevalveasutuste ja tööstusega;</w:t>
      </w:r>
    </w:p>
    <w:p w:rsidR="00F4358D" w:rsidRDefault="00D1585A">
      <w:pPr>
        <w:pStyle w:val="Point0letter"/>
        <w:numPr>
          <w:ilvl w:val="1"/>
          <w:numId w:val="58"/>
        </w:numPr>
        <w:rPr>
          <w:noProof/>
        </w:rPr>
      </w:pPr>
      <w:r>
        <w:rPr>
          <w:noProof/>
        </w:rPr>
        <w:t>hõlbustab riskihalduse ning IKT toodete ja teenuste turvalisuse Euroopa ja rahvusvaheliste standardite loomist ja kasu</w:t>
      </w:r>
      <w:r>
        <w:rPr>
          <w:noProof/>
        </w:rPr>
        <w:t>tuselevõtmist ning koostab koostöös liikmesriikidega nõuandeid ja juhiseid oluliste teenuste operaatoritele ja digitaalsete teenuste osutajatele esitatavate turvalisusnõuetega seotud tehniliste valdkondade, aga ka juba olemas olevate standardite, kaasa arv</w:t>
      </w:r>
      <w:r>
        <w:rPr>
          <w:noProof/>
        </w:rPr>
        <w:t>atud liikmesriikide riiklike standardite kohta vastavalt direktiivi (EL) 2016/1148 artikli 19 lõikele 2;</w:t>
      </w:r>
    </w:p>
    <w:p w:rsidR="00F4358D" w:rsidRDefault="00D1585A">
      <w:pPr>
        <w:pStyle w:val="Point0letter"/>
        <w:numPr>
          <w:ilvl w:val="1"/>
          <w:numId w:val="58"/>
        </w:numPr>
        <w:rPr>
          <w:noProof/>
          <w:szCs w:val="24"/>
        </w:rPr>
      </w:pPr>
      <w:r>
        <w:rPr>
          <w:noProof/>
        </w:rPr>
        <w:t>analüüsib korrapäraselt nii nõudluse kui ka pakkumise poole peamisi suundumusi küberturvalisuse turul ja levitab analüüsi tulemusi, et arendada kübertu</w:t>
      </w:r>
      <w:r>
        <w:rPr>
          <w:noProof/>
        </w:rPr>
        <w:t>rvalisuse turgu liidus.</w:t>
      </w:r>
    </w:p>
    <w:p w:rsidR="00F4358D" w:rsidRDefault="00F4358D">
      <w:pPr>
        <w:rPr>
          <w:noProof/>
        </w:rPr>
      </w:pPr>
    </w:p>
    <w:p w:rsidR="00F4358D" w:rsidRDefault="00D1585A">
      <w:pPr>
        <w:pStyle w:val="Titrearticle"/>
        <w:rPr>
          <w:rFonts w:eastAsia="Times New Roman"/>
          <w:b/>
          <w:i w:val="0"/>
          <w:noProof/>
        </w:rPr>
      </w:pPr>
      <w:r>
        <w:rPr>
          <w:noProof/>
        </w:rPr>
        <w:t>Artikkel 9</w:t>
      </w:r>
      <w:r>
        <w:rPr>
          <w:noProof/>
        </w:rPr>
        <w:br/>
      </w:r>
      <w:r>
        <w:rPr>
          <w:b/>
          <w:i w:val="0"/>
          <w:noProof/>
        </w:rPr>
        <w:t>Teadmiste, teabe ja teadlikkuse suurendamisega seotud ülesanded</w:t>
      </w:r>
    </w:p>
    <w:p w:rsidR="00F4358D" w:rsidRDefault="00D1585A">
      <w:pPr>
        <w:rPr>
          <w:noProof/>
          <w:szCs w:val="24"/>
        </w:rPr>
      </w:pPr>
      <w:r>
        <w:rPr>
          <w:noProof/>
        </w:rPr>
        <w:t>Amet teeb järgmist:</w:t>
      </w:r>
    </w:p>
    <w:p w:rsidR="00F4358D" w:rsidRDefault="00D1585A">
      <w:pPr>
        <w:pStyle w:val="Point0letter"/>
        <w:numPr>
          <w:ilvl w:val="1"/>
          <w:numId w:val="90"/>
        </w:numPr>
        <w:rPr>
          <w:noProof/>
        </w:rPr>
      </w:pPr>
      <w:r>
        <w:rPr>
          <w:noProof/>
        </w:rPr>
        <w:t>analüüsib kujunemisjärgus tehnoloogiaid ja annab teemapõhiseid hinnanguid sellele, milline on tehnoloogiliste uuenduste eeldatav sotsiaa</w:t>
      </w:r>
      <w:r>
        <w:rPr>
          <w:noProof/>
        </w:rPr>
        <w:t>lne, õiguslik, majanduslik ja regulatiivne mõju küberturvalisusele;</w:t>
      </w:r>
    </w:p>
    <w:p w:rsidR="00F4358D" w:rsidRDefault="00D1585A">
      <w:pPr>
        <w:pStyle w:val="Point0letter"/>
        <w:rPr>
          <w:noProof/>
        </w:rPr>
      </w:pPr>
      <w:r>
        <w:rPr>
          <w:noProof/>
        </w:rPr>
        <w:t>koostab pikaajalisi strateegilisi analüüse küberturvalisuse ohtude ja intsidentide kohta, et teha kindlaks väljakujunevad suundumused ja aidata vältida küberturvalisusega seotud probleeme;</w:t>
      </w:r>
    </w:p>
    <w:p w:rsidR="00F4358D" w:rsidRDefault="00D1585A">
      <w:pPr>
        <w:pStyle w:val="Point0letter"/>
        <w:rPr>
          <w:noProof/>
        </w:rPr>
      </w:pPr>
      <w:r>
        <w:rPr>
          <w:noProof/>
        </w:rPr>
        <w:t>jagab koostöös liikmesriikide ametiasutuste ekspertidega nõu, juhiseid ja parimaid tavasid võrgu- ja infosüsteemide turvalisuse kohta, eeskätt selles osas, mis puudutab internetitaristu ja nende taristute turvalisust, mis toetavad direktiivi (EL) 2016/114</w:t>
      </w:r>
      <w:r>
        <w:rPr>
          <w:noProof/>
        </w:rPr>
        <w:t>8 II lisas loetletud sektoreid;</w:t>
      </w:r>
    </w:p>
    <w:p w:rsidR="00F4358D" w:rsidRDefault="00D1585A">
      <w:pPr>
        <w:pStyle w:val="Point0letter"/>
        <w:rPr>
          <w:noProof/>
        </w:rPr>
      </w:pPr>
      <w:r>
        <w:rPr>
          <w:noProof/>
        </w:rPr>
        <w:t>koondab, korraldab ja teeb avalikkusele spetsiaalse portaali kaudu kättesaadavaks liidu institutsioonide, ametite ja organite esitatud teavet küberturvalisuse kohta;</w:t>
      </w:r>
    </w:p>
    <w:p w:rsidR="00F4358D" w:rsidRDefault="00D1585A">
      <w:pPr>
        <w:pStyle w:val="Point0letter"/>
        <w:rPr>
          <w:noProof/>
        </w:rPr>
      </w:pPr>
      <w:r>
        <w:rPr>
          <w:noProof/>
        </w:rPr>
        <w:t>suurendab üldsuse teadlikkust küberturvalisuse riskidest j</w:t>
      </w:r>
      <w:r>
        <w:rPr>
          <w:noProof/>
        </w:rPr>
        <w:t>a jagab kodanikele ja organisatsioonidele mõeldud juhiseid individuaalsete kasutajate heade tavade kohta;</w:t>
      </w:r>
    </w:p>
    <w:p w:rsidR="00F4358D" w:rsidRDefault="00D1585A">
      <w:pPr>
        <w:pStyle w:val="Point0letter"/>
        <w:rPr>
          <w:noProof/>
        </w:rPr>
      </w:pPr>
      <w:r>
        <w:rPr>
          <w:noProof/>
        </w:rPr>
        <w:t>kogub ja analüüsib avalikult kättesaadavat teavet oluliste intsidentide kohta ning koostab aruandeid, et jagada juhiseid ettevõtjatele ja kodanikele k</w:t>
      </w:r>
      <w:r>
        <w:rPr>
          <w:noProof/>
        </w:rPr>
        <w:t>ogu liidus;</w:t>
      </w:r>
    </w:p>
    <w:p w:rsidR="00F4358D" w:rsidRDefault="00D1585A">
      <w:pPr>
        <w:pStyle w:val="Point0letter"/>
        <w:rPr>
          <w:noProof/>
        </w:rPr>
      </w:pPr>
      <w:r>
        <w:rPr>
          <w:noProof/>
        </w:rPr>
        <w:t>korraldab koostöös liikmesriikide ja liidu institutsioonide, organite ja asutustega korrapäraselt teavituskampaaniaid, et suurendada küberturvalisust ja selle nähtavust liidus.</w:t>
      </w:r>
    </w:p>
    <w:p w:rsidR="00F4358D" w:rsidRDefault="00F4358D">
      <w:pPr>
        <w:jc w:val="center"/>
        <w:rPr>
          <w:i/>
          <w:noProof/>
          <w:szCs w:val="24"/>
        </w:rPr>
      </w:pPr>
    </w:p>
    <w:p w:rsidR="00F4358D" w:rsidRDefault="00D1585A">
      <w:pPr>
        <w:pStyle w:val="Titrearticle"/>
        <w:rPr>
          <w:noProof/>
        </w:rPr>
      </w:pPr>
      <w:r>
        <w:rPr>
          <w:noProof/>
        </w:rPr>
        <w:t>Artikkel 10</w:t>
      </w:r>
      <w:r>
        <w:rPr>
          <w:noProof/>
        </w:rPr>
        <w:br/>
      </w:r>
      <w:r>
        <w:rPr>
          <w:b/>
          <w:i w:val="0"/>
          <w:noProof/>
        </w:rPr>
        <w:t>Teadus- ja uuendustegevusega seotud ülesanded</w:t>
      </w:r>
    </w:p>
    <w:p w:rsidR="00F4358D" w:rsidRDefault="00D1585A">
      <w:pPr>
        <w:rPr>
          <w:noProof/>
          <w:szCs w:val="24"/>
        </w:rPr>
      </w:pPr>
      <w:r>
        <w:rPr>
          <w:noProof/>
        </w:rPr>
        <w:t xml:space="preserve">Teadus- </w:t>
      </w:r>
      <w:r>
        <w:rPr>
          <w:noProof/>
        </w:rPr>
        <w:t>ja uuendustegevuse vallas teeb amet järgmist:</w:t>
      </w:r>
    </w:p>
    <w:p w:rsidR="00F4358D" w:rsidRDefault="00D1585A">
      <w:pPr>
        <w:pStyle w:val="Point0letter"/>
        <w:numPr>
          <w:ilvl w:val="1"/>
          <w:numId w:val="59"/>
        </w:numPr>
        <w:rPr>
          <w:noProof/>
        </w:rPr>
      </w:pPr>
      <w:r>
        <w:rPr>
          <w:noProof/>
        </w:rPr>
        <w:t>annab liidule ja liikmesriikidele nõu küberturvalisuse valdkonnas vajalike teadusuuringute ja prioriteetide kohta, et võimaldada tulemuslikku reageerimist praegustele ja tulevastele riskidele ja ohtudele, sealh</w:t>
      </w:r>
      <w:r>
        <w:rPr>
          <w:noProof/>
        </w:rPr>
        <w:t>ulgas seoses uue ja kujunemisjärgus info- ja kommunikatsioonitehnoloogiaga, ning riskiennetustehnoloogia tõhusat kasutamist;</w:t>
      </w:r>
    </w:p>
    <w:p w:rsidR="00F4358D" w:rsidRDefault="00D1585A">
      <w:pPr>
        <w:pStyle w:val="Point0letter"/>
        <w:numPr>
          <w:ilvl w:val="1"/>
          <w:numId w:val="59"/>
        </w:numPr>
        <w:rPr>
          <w:noProof/>
        </w:rPr>
      </w:pPr>
      <w:r>
        <w:rPr>
          <w:noProof/>
        </w:rPr>
        <w:t>osaleb teadus- ja uuendustegevuse rahastamise programmide rakendamisfaasis, kui komisjon on talle delegeerinud asjakohased volituse</w:t>
      </w:r>
      <w:r>
        <w:rPr>
          <w:noProof/>
        </w:rPr>
        <w:t>d, või tegutseb toetusesaajana.</w:t>
      </w:r>
    </w:p>
    <w:p w:rsidR="00F4358D" w:rsidRDefault="00F4358D">
      <w:pPr>
        <w:ind w:left="720" w:hanging="720"/>
        <w:rPr>
          <w:noProof/>
          <w:szCs w:val="24"/>
        </w:rPr>
      </w:pPr>
    </w:p>
    <w:p w:rsidR="00F4358D" w:rsidRDefault="00D1585A">
      <w:pPr>
        <w:pStyle w:val="Titrearticle"/>
        <w:rPr>
          <w:noProof/>
        </w:rPr>
      </w:pPr>
      <w:r>
        <w:rPr>
          <w:noProof/>
        </w:rPr>
        <w:t>Artikkel 11</w:t>
      </w:r>
      <w:r>
        <w:rPr>
          <w:noProof/>
        </w:rPr>
        <w:br/>
      </w:r>
      <w:r>
        <w:rPr>
          <w:b/>
          <w:noProof/>
        </w:rPr>
        <w:t>Rahvusvahelise koostööga seotud ülesanded</w:t>
      </w:r>
    </w:p>
    <w:p w:rsidR="00F4358D" w:rsidRDefault="00D1585A">
      <w:pPr>
        <w:autoSpaceDE w:val="0"/>
        <w:autoSpaceDN w:val="0"/>
        <w:adjustRightInd w:val="0"/>
        <w:spacing w:before="60" w:after="60"/>
        <w:rPr>
          <w:noProof/>
          <w:szCs w:val="24"/>
        </w:rPr>
      </w:pPr>
      <w:r>
        <w:rPr>
          <w:noProof/>
        </w:rPr>
        <w:t xml:space="preserve">Amet annab panuse liidu jõupingutustesse teha koostööd kolmandate riikide ja rahvusvaheliste organisatsioonidega, et edendada rahvusvahelist koostööd küberturvalisusega </w:t>
      </w:r>
      <w:r>
        <w:rPr>
          <w:noProof/>
        </w:rPr>
        <w:t>seotud küsimustes, sealhulgas:</w:t>
      </w:r>
    </w:p>
    <w:p w:rsidR="00F4358D" w:rsidRDefault="00D1585A">
      <w:pPr>
        <w:pStyle w:val="Point0letter"/>
        <w:numPr>
          <w:ilvl w:val="1"/>
          <w:numId w:val="55"/>
        </w:numPr>
        <w:rPr>
          <w:noProof/>
        </w:rPr>
      </w:pPr>
      <w:r>
        <w:rPr>
          <w:noProof/>
        </w:rPr>
        <w:t>osaleb vajaduse korral vaatlejana rahvusvaheliste õppuste korraldamises ning analüüsib selliste õppuste tulemusi ja annab nende kohta aru haldusnõukogule;</w:t>
      </w:r>
    </w:p>
    <w:p w:rsidR="00F4358D" w:rsidRDefault="00D1585A">
      <w:pPr>
        <w:pStyle w:val="Point0letter"/>
        <w:numPr>
          <w:ilvl w:val="1"/>
          <w:numId w:val="20"/>
        </w:numPr>
        <w:rPr>
          <w:noProof/>
        </w:rPr>
      </w:pPr>
      <w:r>
        <w:rPr>
          <w:noProof/>
        </w:rPr>
        <w:t xml:space="preserve">aitab komisjoni taotlusel kaasa parimate tavade vahetamisele </w:t>
      </w:r>
      <w:r>
        <w:rPr>
          <w:noProof/>
        </w:rPr>
        <w:t>asjaomaste rahvusvaheliste organisatsioonide vahel;</w:t>
      </w:r>
    </w:p>
    <w:p w:rsidR="00F4358D" w:rsidRDefault="00D1585A">
      <w:pPr>
        <w:pStyle w:val="Point0letter"/>
        <w:numPr>
          <w:ilvl w:val="1"/>
          <w:numId w:val="20"/>
        </w:numPr>
        <w:rPr>
          <w:noProof/>
        </w:rPr>
      </w:pPr>
      <w:r>
        <w:rPr>
          <w:noProof/>
        </w:rPr>
        <w:t>pakub komisjonile taotluse korral oskusteavet.</w:t>
      </w:r>
    </w:p>
    <w:p w:rsidR="00F4358D" w:rsidRDefault="00F4358D">
      <w:pPr>
        <w:rPr>
          <w:noProof/>
          <w:szCs w:val="24"/>
        </w:rPr>
      </w:pPr>
    </w:p>
    <w:p w:rsidR="00F4358D" w:rsidRDefault="00F4358D">
      <w:pPr>
        <w:spacing w:after="0"/>
        <w:rPr>
          <w:rFonts w:ascii="Calibri" w:eastAsia="Times New Roman" w:hAnsi="Calibri"/>
          <w:noProof/>
        </w:rPr>
      </w:pPr>
    </w:p>
    <w:p w:rsidR="00F4358D" w:rsidRDefault="00D1585A">
      <w:pPr>
        <w:pStyle w:val="ChapterTitle"/>
        <w:rPr>
          <w:noProof/>
        </w:rPr>
      </w:pPr>
      <w:bookmarkStart w:id="26" w:name="_Toc492216469"/>
      <w:r>
        <w:rPr>
          <w:noProof/>
        </w:rPr>
        <w:t>II PEATÜKK</w:t>
      </w:r>
      <w:r>
        <w:rPr>
          <w:noProof/>
        </w:rPr>
        <w:br/>
        <w:t>AMETI TÖÖKORRALDUS</w:t>
      </w:r>
      <w:bookmarkEnd w:id="26"/>
    </w:p>
    <w:p w:rsidR="00F4358D" w:rsidRDefault="00D1585A">
      <w:pPr>
        <w:pStyle w:val="Titrearticle"/>
        <w:spacing w:before="0" w:after="0"/>
        <w:rPr>
          <w:b/>
          <w:noProof/>
        </w:rPr>
      </w:pPr>
      <w:r>
        <w:rPr>
          <w:noProof/>
        </w:rPr>
        <w:t>Artikkel 12</w:t>
      </w:r>
      <w:r>
        <w:rPr>
          <w:noProof/>
        </w:rPr>
        <w:br/>
      </w:r>
      <w:r>
        <w:rPr>
          <w:b/>
          <w:noProof/>
        </w:rPr>
        <w:t>Struktuur</w:t>
      </w:r>
    </w:p>
    <w:p w:rsidR="00F4358D" w:rsidRDefault="00D1585A">
      <w:pPr>
        <w:spacing w:after="0"/>
        <w:rPr>
          <w:rFonts w:eastAsia="Times New Roman"/>
          <w:noProof/>
          <w:szCs w:val="24"/>
        </w:rPr>
      </w:pPr>
      <w:r>
        <w:rPr>
          <w:noProof/>
        </w:rPr>
        <w:t>Ameti haldus- ja juhtimisstruktuur koosneb järgmistest komponentidest:</w:t>
      </w:r>
    </w:p>
    <w:p w:rsidR="00F4358D" w:rsidRDefault="00D1585A">
      <w:pPr>
        <w:pStyle w:val="Point0letter"/>
        <w:numPr>
          <w:ilvl w:val="1"/>
          <w:numId w:val="56"/>
        </w:numPr>
        <w:rPr>
          <w:rFonts w:eastAsia="Times New Roman"/>
          <w:noProof/>
        </w:rPr>
      </w:pPr>
      <w:r>
        <w:rPr>
          <w:noProof/>
        </w:rPr>
        <w:t>haldusnõukogu, kes täidab artikl</w:t>
      </w:r>
      <w:r>
        <w:rPr>
          <w:noProof/>
        </w:rPr>
        <w:t>is 14 sätestatud ülesandeid;</w:t>
      </w:r>
    </w:p>
    <w:p w:rsidR="00F4358D" w:rsidRDefault="00D1585A">
      <w:pPr>
        <w:pStyle w:val="Point0letter"/>
        <w:numPr>
          <w:ilvl w:val="1"/>
          <w:numId w:val="20"/>
        </w:numPr>
        <w:rPr>
          <w:noProof/>
        </w:rPr>
      </w:pPr>
      <w:r>
        <w:rPr>
          <w:noProof/>
        </w:rPr>
        <w:t>juhatus, kes täidab artiklis 18 sätestatud ülesandeid;</w:t>
      </w:r>
    </w:p>
    <w:p w:rsidR="00F4358D" w:rsidRDefault="00D1585A">
      <w:pPr>
        <w:pStyle w:val="Point0letter"/>
        <w:numPr>
          <w:ilvl w:val="1"/>
          <w:numId w:val="20"/>
        </w:numPr>
        <w:rPr>
          <w:noProof/>
        </w:rPr>
      </w:pPr>
      <w:r>
        <w:rPr>
          <w:noProof/>
        </w:rPr>
        <w:t>tegevdirektor, kes täidab artiklis 19 sätestatud kohustusi, ning</w:t>
      </w:r>
    </w:p>
    <w:p w:rsidR="00F4358D" w:rsidRDefault="00D1585A">
      <w:pPr>
        <w:pStyle w:val="Point0letter"/>
        <w:numPr>
          <w:ilvl w:val="1"/>
          <w:numId w:val="20"/>
        </w:numPr>
        <w:rPr>
          <w:noProof/>
        </w:rPr>
      </w:pPr>
      <w:r>
        <w:rPr>
          <w:noProof/>
        </w:rPr>
        <w:t>alaline sidusrühm, kes täidab artiklis 20 sätestatud ülesandeid.</w:t>
      </w:r>
    </w:p>
    <w:p w:rsidR="00F4358D" w:rsidRDefault="00F4358D">
      <w:pPr>
        <w:spacing w:after="0"/>
        <w:rPr>
          <w:noProof/>
        </w:rPr>
      </w:pPr>
    </w:p>
    <w:p w:rsidR="00F4358D" w:rsidRDefault="00D1585A">
      <w:pPr>
        <w:pStyle w:val="SectionTitle"/>
        <w:rPr>
          <w:noProof/>
        </w:rPr>
      </w:pPr>
      <w:bookmarkStart w:id="27" w:name="_Toc492216470"/>
      <w:r>
        <w:rPr>
          <w:noProof/>
        </w:rPr>
        <w:t>1. JAGU</w:t>
      </w:r>
      <w:r>
        <w:rPr>
          <w:noProof/>
        </w:rPr>
        <w:br/>
        <w:t>HALDUSNÕUKOGU</w:t>
      </w:r>
      <w:bookmarkEnd w:id="27"/>
    </w:p>
    <w:p w:rsidR="00F4358D" w:rsidRDefault="00D1585A">
      <w:pPr>
        <w:pStyle w:val="Titrearticle"/>
        <w:spacing w:before="0" w:after="0"/>
        <w:rPr>
          <w:rFonts w:eastAsia="Times New Roman"/>
          <w:b/>
          <w:i w:val="0"/>
          <w:noProof/>
        </w:rPr>
      </w:pPr>
      <w:r>
        <w:rPr>
          <w:noProof/>
        </w:rPr>
        <w:t>Artikkel 13</w:t>
      </w:r>
      <w:r>
        <w:rPr>
          <w:noProof/>
        </w:rPr>
        <w:br/>
      </w:r>
      <w:r>
        <w:rPr>
          <w:b/>
          <w:noProof/>
        </w:rPr>
        <w:t>Haldusn</w:t>
      </w:r>
      <w:r>
        <w:rPr>
          <w:b/>
          <w:noProof/>
        </w:rPr>
        <w:t>õukogu koosseis</w:t>
      </w:r>
    </w:p>
    <w:p w:rsidR="00F4358D" w:rsidRDefault="00D1585A">
      <w:pPr>
        <w:pStyle w:val="ManualNumPar1"/>
        <w:rPr>
          <w:noProof/>
        </w:rPr>
      </w:pPr>
      <w:r>
        <w:t>1.</w:t>
      </w:r>
      <w:r>
        <w:tab/>
      </w:r>
      <w:r>
        <w:rPr>
          <w:noProof/>
        </w:rPr>
        <w:t>Haldusnõukogusse kuulub igast liikmesriigist üks esindaja ning kaks komisjoni määratud esindajat. Kõigil esindajatel on hääleõigus.</w:t>
      </w:r>
    </w:p>
    <w:p w:rsidR="00F4358D" w:rsidRDefault="00D1585A">
      <w:pPr>
        <w:pStyle w:val="ManualNumPar1"/>
        <w:rPr>
          <w:noProof/>
        </w:rPr>
      </w:pPr>
      <w:r>
        <w:t>2.</w:t>
      </w:r>
      <w:r>
        <w:tab/>
      </w:r>
      <w:r>
        <w:rPr>
          <w:noProof/>
        </w:rPr>
        <w:t>Igal haldusnõukogu liikmel on asendusliige, kes asendab liiget tema äraolekul.</w:t>
      </w:r>
    </w:p>
    <w:p w:rsidR="00F4358D" w:rsidRDefault="00D1585A">
      <w:pPr>
        <w:pStyle w:val="ManualNumPar1"/>
        <w:rPr>
          <w:noProof/>
        </w:rPr>
      </w:pPr>
      <w:r>
        <w:t>3.</w:t>
      </w:r>
      <w:r>
        <w:tab/>
      </w:r>
      <w:r>
        <w:rPr>
          <w:noProof/>
        </w:rPr>
        <w:t>Haldusnõukogu liikme</w:t>
      </w:r>
      <w:r>
        <w:rPr>
          <w:noProof/>
        </w:rPr>
        <w:t>d ja nende asendusliikmed määratakse ametisse lähtuvalt nende küberturvalisuse alastest teadmistest, võttes arvesse vajalikke juhtimis-, haldus- ja eelarvealaseid oskusi. Komisjon ja liikmesriigid püüavad piirata oma esindajate vahetumist haldusnõukogus, e</w:t>
      </w:r>
      <w:r>
        <w:rPr>
          <w:noProof/>
        </w:rPr>
        <w:t>t tagada selle töö järjepidevus. Komisjoni ja liikmesriikide eesmärk on saavutada meeste ja naiste võrdne esindatus haldusnõukogus.</w:t>
      </w:r>
    </w:p>
    <w:p w:rsidR="00F4358D" w:rsidRDefault="00D1585A">
      <w:pPr>
        <w:pStyle w:val="ManualNumPar1"/>
        <w:rPr>
          <w:noProof/>
        </w:rPr>
      </w:pPr>
      <w:r>
        <w:t>4.</w:t>
      </w:r>
      <w:r>
        <w:tab/>
      </w:r>
      <w:r>
        <w:rPr>
          <w:noProof/>
        </w:rPr>
        <w:t>Haldusnõukogu liikmete ja asendusliikmete ametiaeg on neli aastat. Neid võib ametisse tagasi nimetada.</w:t>
      </w:r>
    </w:p>
    <w:p w:rsidR="00F4358D" w:rsidRDefault="00F4358D">
      <w:pPr>
        <w:rPr>
          <w:noProof/>
        </w:rPr>
      </w:pPr>
    </w:p>
    <w:p w:rsidR="00F4358D" w:rsidRDefault="00D1585A">
      <w:pPr>
        <w:pStyle w:val="Titrearticle"/>
        <w:spacing w:before="0" w:after="0"/>
        <w:rPr>
          <w:b/>
          <w:noProof/>
        </w:rPr>
      </w:pPr>
      <w:r>
        <w:rPr>
          <w:noProof/>
        </w:rPr>
        <w:t>Artikkel 14</w:t>
      </w:r>
      <w:r>
        <w:rPr>
          <w:noProof/>
        </w:rPr>
        <w:br/>
      </w:r>
      <w:r>
        <w:rPr>
          <w:b/>
          <w:noProof/>
        </w:rPr>
        <w:t>Haldusnõukogu ülesanded</w:t>
      </w:r>
    </w:p>
    <w:p w:rsidR="00F4358D" w:rsidRDefault="00D1585A">
      <w:pPr>
        <w:pStyle w:val="ManualNumPar1"/>
        <w:rPr>
          <w:rFonts w:eastAsia="Times New Roman"/>
          <w:noProof/>
        </w:rPr>
      </w:pPr>
      <w:r>
        <w:t>1.</w:t>
      </w:r>
      <w:r>
        <w:tab/>
      </w:r>
      <w:r>
        <w:rPr>
          <w:noProof/>
        </w:rPr>
        <w:t>Haldusnõukogu:</w:t>
      </w:r>
    </w:p>
    <w:p w:rsidR="00F4358D" w:rsidRDefault="00D1585A">
      <w:pPr>
        <w:pStyle w:val="Point2letter"/>
        <w:rPr>
          <w:noProof/>
        </w:rPr>
      </w:pPr>
      <w:r>
        <w:rPr>
          <w:noProof/>
        </w:rPr>
        <w:t>määrab kindlaks ameti tegevuse üldise suuna ning tagab, et amet töötab kooskõlas käesolevas määruses sätestatud eeskirjade ja põhimõtetega. Haldusnõukogu tagab samuti, et ameti töö on vastavuses liikmesriikide ja l</w:t>
      </w:r>
      <w:r>
        <w:rPr>
          <w:noProof/>
        </w:rPr>
        <w:t>iidu tasandi tegevusega;</w:t>
      </w:r>
    </w:p>
    <w:p w:rsidR="00F4358D" w:rsidRDefault="00D1585A">
      <w:pPr>
        <w:pStyle w:val="Point2letter"/>
        <w:rPr>
          <w:noProof/>
        </w:rPr>
      </w:pPr>
      <w:r>
        <w:rPr>
          <w:noProof/>
        </w:rPr>
        <w:t>võtab vastu artiklis 21 osutatud ameti ühtse programmdokumendi kavandi enne, kui see esitatakse arvamuse saamiseks komisjonile;</w:t>
      </w:r>
    </w:p>
    <w:p w:rsidR="00F4358D" w:rsidRDefault="00D1585A">
      <w:pPr>
        <w:pStyle w:val="Point2letter"/>
        <w:rPr>
          <w:noProof/>
        </w:rPr>
      </w:pPr>
      <w:r>
        <w:rPr>
          <w:noProof/>
        </w:rPr>
        <w:t>võtab komisjoni arvamust arvestades liikmete kahekolmandikulise häälteenamusega vastu ameti ühtse progr</w:t>
      </w:r>
      <w:r>
        <w:rPr>
          <w:noProof/>
        </w:rPr>
        <w:t>ammdokumendi vastavalt artiklile 17;</w:t>
      </w:r>
    </w:p>
    <w:p w:rsidR="00F4358D" w:rsidRDefault="00D1585A">
      <w:pPr>
        <w:pStyle w:val="Point2letter"/>
        <w:rPr>
          <w:noProof/>
        </w:rPr>
      </w:pPr>
      <w:r>
        <w:rPr>
          <w:noProof/>
        </w:rPr>
        <w:t>võtab liikmete kahekolmandikulise häälteenamusega vastu ameti aastaeelarve ja täidab muid ameti eelarvega seotud ülesandeid vastavalt III peatükile;</w:t>
      </w:r>
    </w:p>
    <w:p w:rsidR="00F4358D" w:rsidRDefault="00D1585A">
      <w:pPr>
        <w:pStyle w:val="Point2letter"/>
        <w:rPr>
          <w:noProof/>
        </w:rPr>
      </w:pPr>
      <w:r>
        <w:rPr>
          <w:noProof/>
        </w:rPr>
        <w:t xml:space="preserve">annab hinnangu konsolideeritud aastaaruandele ameti tegevuse kohta ja </w:t>
      </w:r>
      <w:r>
        <w:rPr>
          <w:noProof/>
        </w:rPr>
        <w:t>võtab aruande vastu ning saadab nii aruande kui ka hinnangu hiljemalt järgmise aasta 1. juuliks Euroopa Parlamendile, nõukogule, komisjonile ja kontrollikojale. Aastaaruanne hõlmab raamatupidamisaruannet ning selles kirjeldatakse, kuidas amet täitis oma tu</w:t>
      </w:r>
      <w:r>
        <w:rPr>
          <w:noProof/>
        </w:rPr>
        <w:t>lemuslikkuse näitajaid. Aastaaruanne avalikustatakse;</w:t>
      </w:r>
    </w:p>
    <w:p w:rsidR="00F4358D" w:rsidRDefault="00D1585A">
      <w:pPr>
        <w:pStyle w:val="Point2letter"/>
        <w:rPr>
          <w:noProof/>
        </w:rPr>
      </w:pPr>
      <w:r>
        <w:rPr>
          <w:noProof/>
        </w:rPr>
        <w:t>võtab vastavalt artiklile 29 vastu ameti suhtes kohaldatavad finantseeskirjad;</w:t>
      </w:r>
    </w:p>
    <w:p w:rsidR="00F4358D" w:rsidRDefault="00D1585A">
      <w:pPr>
        <w:pStyle w:val="Point2letter"/>
        <w:rPr>
          <w:noProof/>
        </w:rPr>
      </w:pPr>
      <w:r>
        <w:rPr>
          <w:noProof/>
        </w:rPr>
        <w:t xml:space="preserve">võtab vastu pettusevastase strateegia, mis on proportsionaalses vastavuses pettuseriskiga, pidades silmas rakendatavate </w:t>
      </w:r>
      <w:r>
        <w:rPr>
          <w:noProof/>
        </w:rPr>
        <w:t>meetmete tasuvusanalüüsi;</w:t>
      </w:r>
    </w:p>
    <w:p w:rsidR="00F4358D" w:rsidRDefault="00D1585A">
      <w:pPr>
        <w:pStyle w:val="Point2letter"/>
        <w:rPr>
          <w:noProof/>
        </w:rPr>
      </w:pPr>
      <w:r>
        <w:rPr>
          <w:noProof/>
        </w:rPr>
        <w:t>võtab vastu eeskirjad oma liikmete huvide konfliktide vältimiseks ja lahendamiseks;</w:t>
      </w:r>
    </w:p>
    <w:p w:rsidR="00F4358D" w:rsidRDefault="00D1585A">
      <w:pPr>
        <w:pStyle w:val="Point2letter"/>
        <w:rPr>
          <w:noProof/>
        </w:rPr>
      </w:pPr>
      <w:r>
        <w:rPr>
          <w:noProof/>
        </w:rPr>
        <w:t>tagab, et Euroopa Pettustevastase Ameti (OLAF) juurdlustest ning erinevatest sise- ja välisauditite aruannetest ja hindamistest tulenevate järeldu</w:t>
      </w:r>
      <w:r>
        <w:rPr>
          <w:noProof/>
        </w:rPr>
        <w:t>ste ja soovituste põhjal võetakse piisavad järelmeetmed;</w:t>
      </w:r>
    </w:p>
    <w:p w:rsidR="00F4358D" w:rsidRDefault="00D1585A">
      <w:pPr>
        <w:pStyle w:val="Point2letter"/>
        <w:rPr>
          <w:noProof/>
        </w:rPr>
      </w:pPr>
      <w:r>
        <w:rPr>
          <w:noProof/>
        </w:rPr>
        <w:t>võtab vastu oma kodukorra;</w:t>
      </w:r>
    </w:p>
    <w:p w:rsidR="00F4358D" w:rsidRDefault="00D1585A">
      <w:pPr>
        <w:pStyle w:val="Point2letter"/>
        <w:rPr>
          <w:noProof/>
        </w:rPr>
      </w:pPr>
      <w:r>
        <w:rPr>
          <w:noProof/>
        </w:rPr>
        <w:t>kasutab kooskõlas lõikega 2 ameti personali suhtes volitusi, mis on antud ametisse nimetavale asutusele ametnike personalieeskirjadega ning teenistuslepingute sõlmimise päd</w:t>
      </w:r>
      <w:r>
        <w:rPr>
          <w:noProof/>
        </w:rPr>
        <w:t>evust omavale asutusele Euroopa Liidu muude teenistujate teenistustingimustega (edaspidi „ametisse nimetava asutuse volitused“);</w:t>
      </w:r>
    </w:p>
    <w:p w:rsidR="00F4358D" w:rsidRDefault="00D1585A">
      <w:pPr>
        <w:pStyle w:val="Point2letter"/>
        <w:rPr>
          <w:noProof/>
        </w:rPr>
      </w:pPr>
      <w:r>
        <w:rPr>
          <w:noProof/>
        </w:rPr>
        <w:t>võtab personalieeskirjade artiklis 110 sätestatud menetluse korras vastu personalieeskirjade ning muude teenistujate teenistust</w:t>
      </w:r>
      <w:r>
        <w:rPr>
          <w:noProof/>
        </w:rPr>
        <w:t>ingimuste rakenduseeskirjad;</w:t>
      </w:r>
    </w:p>
    <w:p w:rsidR="00F4358D" w:rsidRDefault="00D1585A">
      <w:pPr>
        <w:pStyle w:val="Point2letter"/>
        <w:rPr>
          <w:noProof/>
        </w:rPr>
      </w:pPr>
      <w:r>
        <w:rPr>
          <w:noProof/>
        </w:rPr>
        <w:t xml:space="preserve"> nimetab kooskõlas käesoleva määruse artikliga 33 ametisse tegevdirektori ning vajaduse korral pikendab tema ametiaega või tagandab ta ametist;</w:t>
      </w:r>
    </w:p>
    <w:p w:rsidR="00F4358D" w:rsidRDefault="00D1585A">
      <w:pPr>
        <w:pStyle w:val="Point2letter"/>
        <w:rPr>
          <w:noProof/>
        </w:rPr>
      </w:pPr>
      <w:r>
        <w:rPr>
          <w:noProof/>
        </w:rPr>
        <w:t>nimetab ametisse peaarvepidaja, kes võib olla komisjoni peaarvepidaja, kes on oma ü</w:t>
      </w:r>
      <w:r>
        <w:rPr>
          <w:noProof/>
        </w:rPr>
        <w:t>lesannete täitmisel täiesti sõltumatu;</w:t>
      </w:r>
    </w:p>
    <w:p w:rsidR="00F4358D" w:rsidRDefault="00D1585A">
      <w:pPr>
        <w:pStyle w:val="Point2letter"/>
        <w:rPr>
          <w:noProof/>
        </w:rPr>
      </w:pPr>
      <w:r>
        <w:rPr>
          <w:noProof/>
        </w:rPr>
        <w:t>teeb kõik otsused ameti sisestruktuuri loomise ja vajaduse korral selle muutmise kohta, võttes arvesse ameti tegevusega seotud vajadusi ja lähtudes usaldusväärsest eelarvehaldusest;</w:t>
      </w:r>
    </w:p>
    <w:p w:rsidR="00F4358D" w:rsidRDefault="00D1585A">
      <w:pPr>
        <w:pStyle w:val="Point2letter"/>
        <w:rPr>
          <w:noProof/>
        </w:rPr>
      </w:pPr>
      <w:r>
        <w:rPr>
          <w:noProof/>
        </w:rPr>
        <w:t>lubab määrata kindlaks töökorra vas</w:t>
      </w:r>
      <w:r>
        <w:rPr>
          <w:noProof/>
        </w:rPr>
        <w:t>tavalt artiklitele 7 ja 39.</w:t>
      </w:r>
    </w:p>
    <w:p w:rsidR="00F4358D" w:rsidRDefault="00D1585A">
      <w:pPr>
        <w:pStyle w:val="ManualNumPar1"/>
        <w:rPr>
          <w:noProof/>
        </w:rPr>
      </w:pPr>
      <w:r>
        <w:t>2.</w:t>
      </w:r>
      <w:r>
        <w:tab/>
      </w:r>
      <w:r>
        <w:rPr>
          <w:noProof/>
        </w:rPr>
        <w:t>Haldusnõukogu võtab kooskõlas personalieeskirjade artikliga 110 vastu personalieeskirjade artikli 2 lõikel 1 ja muude teenistujate teenistustingimuste artiklil 6 põhineva otsuse, millega delegeeritakse asjakohased ametisse ni</w:t>
      </w:r>
      <w:r>
        <w:rPr>
          <w:noProof/>
        </w:rPr>
        <w:t>metava asutuse volitused tegevdirektorile ja määratakse kindlaks tingimused, mille alusel võib volituste delegeerimise peatada. Tegevdirektoril on õigus need volitused edasi delegeerida.</w:t>
      </w:r>
    </w:p>
    <w:p w:rsidR="00F4358D" w:rsidRDefault="00D1585A">
      <w:pPr>
        <w:pStyle w:val="ManualNumPar1"/>
        <w:rPr>
          <w:noProof/>
        </w:rPr>
      </w:pPr>
      <w:r>
        <w:t>3.</w:t>
      </w:r>
      <w:r>
        <w:tab/>
      </w:r>
      <w:r>
        <w:rPr>
          <w:noProof/>
        </w:rPr>
        <w:t>Erandlike asjaolude korral võib haldusnõukogu teha otsuse ajutisel</w:t>
      </w:r>
      <w:r>
        <w:rPr>
          <w:noProof/>
        </w:rPr>
        <w:t>t peatada tegevdirektorile delegeeritud ja tema poolt edasi delegeeritud ametisse nimetava asutuse volitused ning täita kõnealuseid volitusi ise või delegeerida need ühele oma liikmetest või mis tahes töötajale peale tegevdirektori.</w:t>
      </w:r>
    </w:p>
    <w:p w:rsidR="00F4358D" w:rsidRDefault="00F4358D">
      <w:pPr>
        <w:rPr>
          <w:noProof/>
        </w:rPr>
      </w:pPr>
    </w:p>
    <w:p w:rsidR="00F4358D" w:rsidRDefault="00D1585A">
      <w:pPr>
        <w:pStyle w:val="Titrearticle"/>
        <w:spacing w:before="0" w:after="0"/>
        <w:rPr>
          <w:rFonts w:eastAsia="Times New Roman"/>
          <w:b/>
          <w:i w:val="0"/>
          <w:noProof/>
        </w:rPr>
      </w:pPr>
      <w:r>
        <w:rPr>
          <w:noProof/>
        </w:rPr>
        <w:t>Artikkel 15</w:t>
      </w:r>
      <w:r>
        <w:rPr>
          <w:noProof/>
        </w:rPr>
        <w:br/>
      </w:r>
      <w:r>
        <w:rPr>
          <w:b/>
          <w:noProof/>
        </w:rPr>
        <w:t>Haldusnõuk</w:t>
      </w:r>
      <w:r>
        <w:rPr>
          <w:b/>
          <w:noProof/>
        </w:rPr>
        <w:t>ogu esimees</w:t>
      </w:r>
    </w:p>
    <w:p w:rsidR="00F4358D" w:rsidRDefault="00D1585A">
      <w:pPr>
        <w:spacing w:after="0"/>
        <w:rPr>
          <w:rFonts w:eastAsia="Times New Roman"/>
          <w:noProof/>
          <w:szCs w:val="24"/>
        </w:rPr>
      </w:pPr>
      <w:r>
        <w:rPr>
          <w:noProof/>
        </w:rPr>
        <w:t>Haldusnõukogu valib oma liikmete seast kahekolmandikulise häälteenamusega esimehe ja aseesimehe, kelle ametiaeg on neli aastat ja kelle võib ühe korra ametisse tagasi nimetada. Kui nende liikmesus haldusnõukogus lõpeb mis tahes ajal nende ameti</w:t>
      </w:r>
      <w:r>
        <w:rPr>
          <w:noProof/>
        </w:rPr>
        <w:t xml:space="preserve">aja jooksul, lõpeb nende ametiaeg automaatselt samal päeval. Aseesimees asendab esimeest </w:t>
      </w:r>
      <w:r>
        <w:rPr>
          <w:i/>
          <w:noProof/>
        </w:rPr>
        <w:t>ex officio</w:t>
      </w:r>
      <w:r>
        <w:rPr>
          <w:noProof/>
        </w:rPr>
        <w:t xml:space="preserve"> juhul, kui esimehel ei ole võimalik oma kohustusi täita.</w:t>
      </w:r>
    </w:p>
    <w:p w:rsidR="00F4358D" w:rsidRDefault="00F4358D">
      <w:pPr>
        <w:spacing w:after="0"/>
        <w:rPr>
          <w:rFonts w:eastAsia="Times New Roman"/>
          <w:noProof/>
          <w:szCs w:val="24"/>
        </w:rPr>
      </w:pPr>
    </w:p>
    <w:p w:rsidR="00F4358D" w:rsidRDefault="00D1585A">
      <w:pPr>
        <w:pStyle w:val="Titrearticle"/>
        <w:spacing w:before="0" w:after="0"/>
        <w:rPr>
          <w:b/>
          <w:i w:val="0"/>
          <w:noProof/>
        </w:rPr>
      </w:pPr>
      <w:r>
        <w:rPr>
          <w:noProof/>
        </w:rPr>
        <w:t>Artikkel 16</w:t>
      </w:r>
      <w:r>
        <w:rPr>
          <w:noProof/>
        </w:rPr>
        <w:br/>
      </w:r>
      <w:r>
        <w:rPr>
          <w:b/>
          <w:noProof/>
        </w:rPr>
        <w:t>Haldusnõukogu koosolekud</w:t>
      </w:r>
    </w:p>
    <w:p w:rsidR="00F4358D" w:rsidRDefault="00D1585A">
      <w:pPr>
        <w:pStyle w:val="ManualNumPar1"/>
        <w:rPr>
          <w:noProof/>
        </w:rPr>
      </w:pPr>
      <w:r>
        <w:t>1.</w:t>
      </w:r>
      <w:r>
        <w:tab/>
      </w:r>
      <w:r>
        <w:rPr>
          <w:noProof/>
        </w:rPr>
        <w:t>Haldusnõukogu koosoleku kutsub kokku esimees.</w:t>
      </w:r>
    </w:p>
    <w:p w:rsidR="00F4358D" w:rsidRDefault="00D1585A">
      <w:pPr>
        <w:pStyle w:val="ManualNumPar1"/>
        <w:rPr>
          <w:noProof/>
        </w:rPr>
      </w:pPr>
      <w:r>
        <w:t>2.</w:t>
      </w:r>
      <w:r>
        <w:tab/>
      </w:r>
      <w:r>
        <w:rPr>
          <w:noProof/>
        </w:rPr>
        <w:t>Haldusnõu</w:t>
      </w:r>
      <w:r>
        <w:rPr>
          <w:noProof/>
        </w:rPr>
        <w:t>kogul on aastas vähemalt kaks korralist koosolekut. Haldusnõukogu korraldab erakorralisi koosolekuid esimehe, komisjoni või vähemalt ühe kolmandiku liikmete nõudmisel.</w:t>
      </w:r>
    </w:p>
    <w:p w:rsidR="00F4358D" w:rsidRDefault="00D1585A">
      <w:pPr>
        <w:pStyle w:val="ManualNumPar1"/>
        <w:rPr>
          <w:noProof/>
        </w:rPr>
      </w:pPr>
      <w:r>
        <w:t>3.</w:t>
      </w:r>
      <w:r>
        <w:tab/>
      </w:r>
      <w:r>
        <w:rPr>
          <w:noProof/>
        </w:rPr>
        <w:t>Tegevdirektor osaleb haldusnõukogu koosolekutel ilma hääleõiguseta.</w:t>
      </w:r>
    </w:p>
    <w:p w:rsidR="00F4358D" w:rsidRDefault="00D1585A">
      <w:pPr>
        <w:pStyle w:val="ManualNumPar1"/>
        <w:rPr>
          <w:noProof/>
        </w:rPr>
      </w:pPr>
      <w:r>
        <w:t>4.</w:t>
      </w:r>
      <w:r>
        <w:tab/>
      </w:r>
      <w:r>
        <w:rPr>
          <w:noProof/>
        </w:rPr>
        <w:t>Alalise sidusr</w:t>
      </w:r>
      <w:r>
        <w:rPr>
          <w:noProof/>
        </w:rPr>
        <w:t>ühma liikmed võivad esimehe kutsel osaleda haldusnõukogu koosolekutel ilma hääleõiguseta.</w:t>
      </w:r>
    </w:p>
    <w:p w:rsidR="00F4358D" w:rsidRDefault="00D1585A">
      <w:pPr>
        <w:pStyle w:val="ManualNumPar1"/>
        <w:rPr>
          <w:noProof/>
        </w:rPr>
      </w:pPr>
      <w:r>
        <w:t>5.</w:t>
      </w:r>
      <w:r>
        <w:tab/>
      </w:r>
      <w:r>
        <w:rPr>
          <w:noProof/>
        </w:rPr>
        <w:t>Haldusnõukogu liikmed ja nende asendusliikmed võivad vastavalt kodukorrale kasutada koosolekutel nõustajate või ekspertide abi.</w:t>
      </w:r>
    </w:p>
    <w:p w:rsidR="00F4358D" w:rsidRDefault="00D1585A">
      <w:pPr>
        <w:pStyle w:val="ManualNumPar1"/>
        <w:rPr>
          <w:noProof/>
        </w:rPr>
      </w:pPr>
      <w:r>
        <w:t>6.</w:t>
      </w:r>
      <w:r>
        <w:tab/>
      </w:r>
      <w:r>
        <w:rPr>
          <w:noProof/>
        </w:rPr>
        <w:t xml:space="preserve">Amet osutab haldusnõukogule </w:t>
      </w:r>
      <w:r>
        <w:rPr>
          <w:noProof/>
        </w:rPr>
        <w:t>sekretariaaditeenust.</w:t>
      </w:r>
    </w:p>
    <w:p w:rsidR="00F4358D" w:rsidRDefault="00F4358D">
      <w:pPr>
        <w:spacing w:after="0"/>
        <w:rPr>
          <w:rFonts w:eastAsia="Times New Roman"/>
          <w:noProof/>
          <w:szCs w:val="24"/>
        </w:rPr>
      </w:pPr>
    </w:p>
    <w:p w:rsidR="00F4358D" w:rsidRDefault="00D1585A">
      <w:pPr>
        <w:pStyle w:val="Titrearticle"/>
        <w:spacing w:before="0" w:after="0"/>
        <w:rPr>
          <w:rFonts w:eastAsia="Times New Roman"/>
          <w:b/>
          <w:i w:val="0"/>
          <w:noProof/>
        </w:rPr>
      </w:pPr>
      <w:r>
        <w:rPr>
          <w:noProof/>
        </w:rPr>
        <w:t>Artikkel 17</w:t>
      </w:r>
      <w:r>
        <w:rPr>
          <w:noProof/>
        </w:rPr>
        <w:br/>
      </w:r>
      <w:r>
        <w:rPr>
          <w:b/>
          <w:noProof/>
        </w:rPr>
        <w:t>Haldusnõukogu hääletuskord</w:t>
      </w:r>
    </w:p>
    <w:p w:rsidR="00F4358D" w:rsidRDefault="00D1585A">
      <w:pPr>
        <w:pStyle w:val="ManualNumPar1"/>
        <w:rPr>
          <w:noProof/>
        </w:rPr>
      </w:pPr>
      <w:r>
        <w:t>1.</w:t>
      </w:r>
      <w:r>
        <w:tab/>
      </w:r>
      <w:r>
        <w:rPr>
          <w:noProof/>
        </w:rPr>
        <w:t>Haldusnõukogu võtab otsused vastu oma liikmete häälteenamusega.</w:t>
      </w:r>
    </w:p>
    <w:p w:rsidR="00F4358D" w:rsidRDefault="00D1585A">
      <w:pPr>
        <w:pStyle w:val="ManualNumPar1"/>
        <w:rPr>
          <w:noProof/>
        </w:rPr>
      </w:pPr>
      <w:r>
        <w:t>2.</w:t>
      </w:r>
      <w:r>
        <w:tab/>
      </w:r>
      <w:r>
        <w:rPr>
          <w:noProof/>
        </w:rPr>
        <w:t xml:space="preserve">Ühtse programmdokumendi ja aastaeelarve vastuvõtmiseks ning tegevdirektori ametisse nimetamiseks, ametiaja pikendamiseks ja </w:t>
      </w:r>
      <w:r>
        <w:rPr>
          <w:noProof/>
        </w:rPr>
        <w:t>ametist tagandamiseks on vaja kõigi haldusnõukogu liikmete kahekolmandikulist häälteenamust.</w:t>
      </w:r>
    </w:p>
    <w:p w:rsidR="00F4358D" w:rsidRDefault="00D1585A">
      <w:pPr>
        <w:pStyle w:val="ManualNumPar1"/>
        <w:rPr>
          <w:noProof/>
        </w:rPr>
      </w:pPr>
      <w:r>
        <w:t>3.</w:t>
      </w:r>
      <w:r>
        <w:tab/>
      </w:r>
      <w:r>
        <w:rPr>
          <w:noProof/>
        </w:rPr>
        <w:t>Igal liikmel on üks hääl. Liikme puudumise korral võib tema hääleõigust kasutada tema asendusliige.</w:t>
      </w:r>
    </w:p>
    <w:p w:rsidR="00F4358D" w:rsidRDefault="00D1585A">
      <w:pPr>
        <w:pStyle w:val="ManualNumPar1"/>
        <w:rPr>
          <w:noProof/>
        </w:rPr>
      </w:pPr>
      <w:r>
        <w:t>4.</w:t>
      </w:r>
      <w:r>
        <w:tab/>
      </w:r>
      <w:r>
        <w:rPr>
          <w:noProof/>
        </w:rPr>
        <w:t>Esimees osaleb hääletamisel.</w:t>
      </w:r>
    </w:p>
    <w:p w:rsidR="00F4358D" w:rsidRDefault="00D1585A">
      <w:pPr>
        <w:pStyle w:val="ManualNumPar1"/>
        <w:rPr>
          <w:noProof/>
        </w:rPr>
      </w:pPr>
      <w:r>
        <w:t>5.</w:t>
      </w:r>
      <w:r>
        <w:tab/>
      </w:r>
      <w:r>
        <w:rPr>
          <w:noProof/>
        </w:rPr>
        <w:t>Tegevdirektor ei osale hä</w:t>
      </w:r>
      <w:r>
        <w:rPr>
          <w:noProof/>
        </w:rPr>
        <w:t>äletamisel.</w:t>
      </w:r>
    </w:p>
    <w:p w:rsidR="00F4358D" w:rsidRDefault="00D1585A">
      <w:pPr>
        <w:pStyle w:val="ManualNumPar1"/>
        <w:rPr>
          <w:noProof/>
        </w:rPr>
      </w:pPr>
      <w:r>
        <w:t>6.</w:t>
      </w:r>
      <w:r>
        <w:tab/>
      </w:r>
      <w:r>
        <w:rPr>
          <w:noProof/>
        </w:rPr>
        <w:t>Haldusnõukogu kodukorraga kehtestatakse üksikasjalikum hääletamiskord, eelkõige tingimused, mille korral üks liige võib tegutseda teise liikme nimel.</w:t>
      </w:r>
    </w:p>
    <w:p w:rsidR="00F4358D" w:rsidRDefault="00F4358D">
      <w:pPr>
        <w:spacing w:after="0"/>
        <w:rPr>
          <w:rFonts w:eastAsia="Times New Roman"/>
          <w:noProof/>
          <w:szCs w:val="24"/>
        </w:rPr>
      </w:pPr>
    </w:p>
    <w:p w:rsidR="00F4358D" w:rsidRDefault="00D1585A">
      <w:pPr>
        <w:pStyle w:val="SectionTitle"/>
        <w:rPr>
          <w:rFonts w:eastAsia="Times New Roman"/>
          <w:noProof/>
        </w:rPr>
      </w:pPr>
      <w:bookmarkStart w:id="28" w:name="_Toc492216471"/>
      <w:r>
        <w:rPr>
          <w:noProof/>
        </w:rPr>
        <w:t>2. JAGU</w:t>
      </w:r>
      <w:r>
        <w:rPr>
          <w:noProof/>
        </w:rPr>
        <w:br/>
        <w:t>JUHATUS</w:t>
      </w:r>
      <w:bookmarkEnd w:id="28"/>
    </w:p>
    <w:p w:rsidR="00F4358D" w:rsidRDefault="00D1585A">
      <w:pPr>
        <w:pStyle w:val="Titrearticle"/>
        <w:spacing w:before="0" w:after="0"/>
        <w:rPr>
          <w:rFonts w:eastAsia="Times New Roman"/>
          <w:b/>
          <w:i w:val="0"/>
          <w:noProof/>
        </w:rPr>
      </w:pPr>
      <w:r>
        <w:rPr>
          <w:noProof/>
        </w:rPr>
        <w:t>Artikkel 18</w:t>
      </w:r>
      <w:r>
        <w:rPr>
          <w:noProof/>
        </w:rPr>
        <w:br/>
      </w:r>
      <w:r>
        <w:rPr>
          <w:b/>
          <w:noProof/>
        </w:rPr>
        <w:t>Juhatus</w:t>
      </w:r>
    </w:p>
    <w:p w:rsidR="00F4358D" w:rsidRDefault="00D1585A">
      <w:pPr>
        <w:pStyle w:val="ManualNumPar1"/>
        <w:rPr>
          <w:noProof/>
        </w:rPr>
      </w:pPr>
      <w:r>
        <w:t>1.</w:t>
      </w:r>
      <w:r>
        <w:tab/>
      </w:r>
      <w:r>
        <w:rPr>
          <w:noProof/>
        </w:rPr>
        <w:t>Haldusnõukogu abistab juhatus.</w:t>
      </w:r>
    </w:p>
    <w:p w:rsidR="00F4358D" w:rsidRDefault="00D1585A">
      <w:pPr>
        <w:pStyle w:val="ManualNumPar1"/>
        <w:rPr>
          <w:noProof/>
        </w:rPr>
      </w:pPr>
      <w:r>
        <w:t>2.</w:t>
      </w:r>
      <w:r>
        <w:tab/>
      </w:r>
      <w:r>
        <w:rPr>
          <w:noProof/>
        </w:rPr>
        <w:t>Juhatus:</w:t>
      </w:r>
    </w:p>
    <w:p w:rsidR="00F4358D" w:rsidRDefault="00D1585A">
      <w:pPr>
        <w:pStyle w:val="Point1letter"/>
        <w:numPr>
          <w:ilvl w:val="3"/>
          <w:numId w:val="65"/>
        </w:numPr>
        <w:rPr>
          <w:noProof/>
        </w:rPr>
      </w:pPr>
      <w:r>
        <w:rPr>
          <w:noProof/>
        </w:rPr>
        <w:t>valmista</w:t>
      </w:r>
      <w:r>
        <w:rPr>
          <w:noProof/>
        </w:rPr>
        <w:t>b ette haldusnõukogus vastuvõetavad otsused;</w:t>
      </w:r>
    </w:p>
    <w:p w:rsidR="00F4358D" w:rsidRDefault="00D1585A">
      <w:pPr>
        <w:pStyle w:val="Point1letter"/>
        <w:numPr>
          <w:ilvl w:val="3"/>
          <w:numId w:val="65"/>
        </w:numPr>
        <w:rPr>
          <w:noProof/>
        </w:rPr>
      </w:pPr>
      <w:r>
        <w:rPr>
          <w:noProof/>
        </w:rPr>
        <w:t>tagab koos haldusnõukoguga, et OLAFi juurdlustest ning erinevatest sise- ja välisauditite aruannetest ja hindamistest tulenevate järelduste ja soovituste põhjal võetakse piisavad järelmeetmed;</w:t>
      </w:r>
    </w:p>
    <w:p w:rsidR="00F4358D" w:rsidRDefault="00D1585A">
      <w:pPr>
        <w:pStyle w:val="Point1letter"/>
        <w:numPr>
          <w:ilvl w:val="3"/>
          <w:numId w:val="65"/>
        </w:numPr>
        <w:rPr>
          <w:noProof/>
        </w:rPr>
      </w:pPr>
      <w:r>
        <w:rPr>
          <w:noProof/>
        </w:rPr>
        <w:t>abistab ja nõustab</w:t>
      </w:r>
      <w:r>
        <w:rPr>
          <w:noProof/>
        </w:rPr>
        <w:t xml:space="preserve"> tegevdirektorit haldusnõukogu haldus- ja eelarveküsimusi käsitlevate otsuste rakendamisel vastavalt artiklile 19, ilma et see piiraks tegevdirektori kohustusi, mis on sätestatud artiklis 19.</w:t>
      </w:r>
    </w:p>
    <w:p w:rsidR="00F4358D" w:rsidRDefault="00D1585A">
      <w:pPr>
        <w:pStyle w:val="ManualNumPar1"/>
        <w:rPr>
          <w:noProof/>
        </w:rPr>
      </w:pPr>
      <w:r>
        <w:t>3.</w:t>
      </w:r>
      <w:r>
        <w:tab/>
      </w:r>
      <w:r>
        <w:rPr>
          <w:noProof/>
        </w:rPr>
        <w:t>Juhatuse moodustavad haldusnõukogu liikmete seast nimetatud v</w:t>
      </w:r>
      <w:r>
        <w:rPr>
          <w:noProof/>
        </w:rPr>
        <w:t>iis liiget, nende hulgas haldusnõukogu esimees, kes võib olla ka juhatuse esimees, ning üks komisjoni esindaja. Tegevdirektor osaleb juhatuse koosolekutel, kuid tal ei ole hääleõigust.</w:t>
      </w:r>
    </w:p>
    <w:p w:rsidR="00F4358D" w:rsidRDefault="00D1585A">
      <w:pPr>
        <w:pStyle w:val="ManualNumPar1"/>
        <w:rPr>
          <w:noProof/>
        </w:rPr>
      </w:pPr>
      <w:r>
        <w:t>4.</w:t>
      </w:r>
      <w:r>
        <w:tab/>
      </w:r>
      <w:r>
        <w:rPr>
          <w:noProof/>
        </w:rPr>
        <w:t>Juhatuse liikmete ametiaeg on neli aastat. Neid võib ametisse tagasi</w:t>
      </w:r>
      <w:r>
        <w:rPr>
          <w:noProof/>
        </w:rPr>
        <w:t xml:space="preserve"> nimetada.</w:t>
      </w:r>
    </w:p>
    <w:p w:rsidR="00F4358D" w:rsidRDefault="00D1585A">
      <w:pPr>
        <w:pStyle w:val="ManualNumPar1"/>
        <w:rPr>
          <w:noProof/>
        </w:rPr>
      </w:pPr>
      <w:r>
        <w:t>5.</w:t>
      </w:r>
      <w:r>
        <w:tab/>
      </w:r>
      <w:r>
        <w:rPr>
          <w:noProof/>
        </w:rPr>
        <w:t>Juhatuse koosolekud toimuvad vähemalt üks kord kolme kuu tagant. Juhatuse esimees kutsub juhatuse liikmete taotlusel kokku täiendavaid koosolekuid.</w:t>
      </w:r>
    </w:p>
    <w:p w:rsidR="00F4358D" w:rsidRDefault="00D1585A">
      <w:pPr>
        <w:pStyle w:val="ManualNumPar1"/>
        <w:rPr>
          <w:noProof/>
        </w:rPr>
      </w:pPr>
      <w:r>
        <w:t>6.</w:t>
      </w:r>
      <w:r>
        <w:tab/>
      </w:r>
      <w:r>
        <w:rPr>
          <w:noProof/>
        </w:rPr>
        <w:t>Haldusnõukogu kehtestab juhatuse kodukorra.</w:t>
      </w:r>
    </w:p>
    <w:p w:rsidR="00F4358D" w:rsidRDefault="00D1585A">
      <w:pPr>
        <w:pStyle w:val="ManualNumPar1"/>
        <w:rPr>
          <w:noProof/>
        </w:rPr>
      </w:pPr>
      <w:r>
        <w:t>7.</w:t>
      </w:r>
      <w:r>
        <w:tab/>
      </w:r>
      <w:r>
        <w:rPr>
          <w:noProof/>
        </w:rPr>
        <w:t>Kiireloomulistel juhtudel võib juhatus vajad</w:t>
      </w:r>
      <w:r>
        <w:rPr>
          <w:noProof/>
        </w:rPr>
        <w:t>use korral teha haldusnõukogu nimel teatavaid esialgseid otsuseid, eelkõige haldusküsimustes, sealhulgas ametisse nimetava asutuse volituste delegeerimise peatamise ja eelarveküsimuste kohta.</w:t>
      </w:r>
    </w:p>
    <w:p w:rsidR="00F4358D" w:rsidRDefault="00F4358D">
      <w:pPr>
        <w:rPr>
          <w:noProof/>
        </w:rPr>
      </w:pPr>
    </w:p>
    <w:p w:rsidR="00F4358D" w:rsidRDefault="00D1585A">
      <w:pPr>
        <w:pStyle w:val="SectionTitle"/>
        <w:rPr>
          <w:noProof/>
        </w:rPr>
      </w:pPr>
      <w:bookmarkStart w:id="29" w:name="_Toc492216472"/>
      <w:r>
        <w:rPr>
          <w:noProof/>
        </w:rPr>
        <w:t>3. JAGU</w:t>
      </w:r>
      <w:r>
        <w:rPr>
          <w:noProof/>
        </w:rPr>
        <w:br/>
        <w:t>TEGEVDIREKTOR</w:t>
      </w:r>
      <w:bookmarkEnd w:id="29"/>
    </w:p>
    <w:p w:rsidR="00F4358D" w:rsidRDefault="00D1585A">
      <w:pPr>
        <w:pStyle w:val="Titrearticle"/>
        <w:spacing w:before="0" w:after="0"/>
        <w:rPr>
          <w:rFonts w:eastAsia="Times New Roman"/>
          <w:b/>
          <w:i w:val="0"/>
          <w:noProof/>
        </w:rPr>
      </w:pPr>
      <w:r>
        <w:rPr>
          <w:noProof/>
        </w:rPr>
        <w:t>Artikkel 19</w:t>
      </w:r>
      <w:r>
        <w:rPr>
          <w:noProof/>
        </w:rPr>
        <w:br/>
      </w:r>
      <w:r>
        <w:rPr>
          <w:b/>
          <w:noProof/>
        </w:rPr>
        <w:t>Tegevdirektori kohustused</w:t>
      </w:r>
    </w:p>
    <w:p w:rsidR="00F4358D" w:rsidRDefault="00D1585A">
      <w:pPr>
        <w:pStyle w:val="ManualNumPar1"/>
        <w:rPr>
          <w:noProof/>
        </w:rPr>
      </w:pPr>
      <w:r>
        <w:t>1.</w:t>
      </w:r>
      <w:r>
        <w:tab/>
      </w:r>
      <w:r>
        <w:rPr>
          <w:noProof/>
        </w:rPr>
        <w:t>Ametit juhib tegevdirektor, kes on oma ülesannete täitmisel sõltumatu. Tegevdirektor annab aru haldusnõukogule.</w:t>
      </w:r>
    </w:p>
    <w:p w:rsidR="00F4358D" w:rsidRDefault="00D1585A">
      <w:pPr>
        <w:pStyle w:val="ManualNumPar1"/>
        <w:rPr>
          <w:noProof/>
        </w:rPr>
      </w:pPr>
      <w:r>
        <w:t>2.</w:t>
      </w:r>
      <w:r>
        <w:tab/>
      </w:r>
      <w:r>
        <w:rPr>
          <w:noProof/>
        </w:rPr>
        <w:t>Tegevdirektor annab Euroopa Parlamendile selle taotluse korral aru oma ülesannete täitmise kohta. Nõukogu võib kutsuda tegevdirektori oma üle</w:t>
      </w:r>
      <w:r>
        <w:rPr>
          <w:noProof/>
        </w:rPr>
        <w:t>sannete täitmisest aru andma.</w:t>
      </w:r>
    </w:p>
    <w:p w:rsidR="00F4358D" w:rsidRDefault="00D1585A">
      <w:pPr>
        <w:pStyle w:val="ManualNumPar1"/>
        <w:rPr>
          <w:noProof/>
        </w:rPr>
      </w:pPr>
      <w:r>
        <w:t>3.</w:t>
      </w:r>
      <w:r>
        <w:tab/>
      </w:r>
      <w:r>
        <w:rPr>
          <w:noProof/>
        </w:rPr>
        <w:t>Tegevdirektor vastutab järgmiste valdkondade eest:</w:t>
      </w:r>
    </w:p>
    <w:p w:rsidR="00F4358D" w:rsidRDefault="00D1585A">
      <w:pPr>
        <w:pStyle w:val="Point3letter"/>
        <w:rPr>
          <w:noProof/>
        </w:rPr>
      </w:pPr>
      <w:r>
        <w:rPr>
          <w:noProof/>
        </w:rPr>
        <w:t>ameti igapäevane juhtimine;</w:t>
      </w:r>
    </w:p>
    <w:p w:rsidR="00F4358D" w:rsidRDefault="00D1585A">
      <w:pPr>
        <w:pStyle w:val="Point3letter"/>
        <w:rPr>
          <w:noProof/>
        </w:rPr>
      </w:pPr>
      <w:r>
        <w:rPr>
          <w:noProof/>
        </w:rPr>
        <w:t>haldusnõukogus vastuvõetud otsuste rakendamine;</w:t>
      </w:r>
    </w:p>
    <w:p w:rsidR="00F4358D" w:rsidRDefault="00D1585A">
      <w:pPr>
        <w:pStyle w:val="Point3letter"/>
        <w:rPr>
          <w:noProof/>
        </w:rPr>
      </w:pPr>
      <w:r>
        <w:rPr>
          <w:noProof/>
        </w:rPr>
        <w:t>ühtse programmdokumendi kavandi koostamine ja selle esitamine heakskiitmiseks haldusnõukogule, e</w:t>
      </w:r>
      <w:r>
        <w:rPr>
          <w:noProof/>
        </w:rPr>
        <w:t>nne kui see esitatakse komisjonile;</w:t>
      </w:r>
    </w:p>
    <w:p w:rsidR="00F4358D" w:rsidRDefault="00D1585A">
      <w:pPr>
        <w:pStyle w:val="Point3letter"/>
        <w:rPr>
          <w:noProof/>
        </w:rPr>
      </w:pPr>
      <w:r>
        <w:rPr>
          <w:noProof/>
        </w:rPr>
        <w:t>ühtse programmdokumendi rakendamine ja haldusnõukogule selle kohta aru andmine;</w:t>
      </w:r>
    </w:p>
    <w:p w:rsidR="00F4358D" w:rsidRDefault="00D1585A">
      <w:pPr>
        <w:pStyle w:val="Point3letter"/>
        <w:rPr>
          <w:noProof/>
        </w:rPr>
      </w:pPr>
      <w:r>
        <w:rPr>
          <w:noProof/>
        </w:rPr>
        <w:t>ameti iga-aastase konsolideeritud tegevusaruande koostamine ja selle esitamine haldusnõukogule hindamiseks ja vastuvõtmiseks;</w:t>
      </w:r>
    </w:p>
    <w:p w:rsidR="00F4358D" w:rsidRDefault="00D1585A">
      <w:pPr>
        <w:pStyle w:val="Point3letter"/>
        <w:rPr>
          <w:noProof/>
        </w:rPr>
      </w:pPr>
      <w:r>
        <w:rPr>
          <w:noProof/>
        </w:rPr>
        <w:t>järelhindamise</w:t>
      </w:r>
      <w:r>
        <w:rPr>
          <w:noProof/>
        </w:rPr>
        <w:t xml:space="preserve"> järelduste alusel võetavaid järelmeetmeid sisaldava tegevuskava koostamine ning iga kahe aasta järel komisjonile aruande esitamine edusammude kohta;</w:t>
      </w:r>
    </w:p>
    <w:p w:rsidR="00F4358D" w:rsidRDefault="00D1585A">
      <w:pPr>
        <w:pStyle w:val="Point3letter"/>
        <w:rPr>
          <w:noProof/>
        </w:rPr>
      </w:pPr>
      <w:r>
        <w:rPr>
          <w:noProof/>
        </w:rPr>
        <w:t>tegevuskava koostamine sise- või välisauditiaruannete ja hindamiste ning Euroopa Pettustevastase Ameti (OL</w:t>
      </w:r>
      <w:r>
        <w:rPr>
          <w:noProof/>
        </w:rPr>
        <w:t>AF) juurdluste järelduste põhjal järelmeetmete võtmiseks ning tehtud edusammude kohta aru andmine komisjonile kaks korda aastas ja haldusnõukogule korrapäraselt;</w:t>
      </w:r>
    </w:p>
    <w:p w:rsidR="00F4358D" w:rsidRDefault="00D1585A">
      <w:pPr>
        <w:pStyle w:val="Point3letter"/>
        <w:rPr>
          <w:noProof/>
        </w:rPr>
      </w:pPr>
      <w:r>
        <w:rPr>
          <w:noProof/>
        </w:rPr>
        <w:t>ameti suhtes kohaldatavate finantseeskirjade kavandi koostamine;</w:t>
      </w:r>
    </w:p>
    <w:p w:rsidR="00F4358D" w:rsidRDefault="00D1585A">
      <w:pPr>
        <w:pStyle w:val="Point3letter"/>
        <w:rPr>
          <w:noProof/>
        </w:rPr>
      </w:pPr>
      <w:r>
        <w:rPr>
          <w:noProof/>
        </w:rPr>
        <w:t>ameti tulude ja kulude eelarv</w:t>
      </w:r>
      <w:r>
        <w:rPr>
          <w:noProof/>
        </w:rPr>
        <w:t>estuse projekti koostamine ning ameti eelarve täitmine;</w:t>
      </w:r>
    </w:p>
    <w:p w:rsidR="00F4358D" w:rsidRDefault="00D1585A">
      <w:pPr>
        <w:pStyle w:val="Point3letter"/>
        <w:rPr>
          <w:noProof/>
        </w:rPr>
      </w:pPr>
      <w:r>
        <w:rPr>
          <w:noProof/>
        </w:rPr>
        <w:t>liidu finantshuvide kaitsmine ning selleks ennetusmeetmete kohaldamine pettuste, korruptsiooni ja muu ebaseadusliku tegevuse vastu võitlemiseks, tulemusliku kontrolli teostamine, eeskirjade eiramise a</w:t>
      </w:r>
      <w:r>
        <w:rPr>
          <w:noProof/>
        </w:rPr>
        <w:t>vastamise korral valesti makstud summade tagasinõudmine ning vajaduse korral tulemuslike, proportsionaalsete ja hoiatavate haldus- ja finantskaristuste kohaldamine;</w:t>
      </w:r>
    </w:p>
    <w:p w:rsidR="00F4358D" w:rsidRDefault="00D1585A">
      <w:pPr>
        <w:pStyle w:val="Point3letter"/>
        <w:rPr>
          <w:noProof/>
        </w:rPr>
      </w:pPr>
      <w:r>
        <w:rPr>
          <w:noProof/>
        </w:rPr>
        <w:t>ameti pettustevastase strateegia koostamine ja selle esitamine haldusnõukogule heakskiitmis</w:t>
      </w:r>
      <w:r>
        <w:rPr>
          <w:noProof/>
        </w:rPr>
        <w:t>eks;</w:t>
      </w:r>
    </w:p>
    <w:p w:rsidR="00F4358D" w:rsidRDefault="00D1585A">
      <w:pPr>
        <w:pStyle w:val="Point3letter"/>
        <w:rPr>
          <w:noProof/>
        </w:rPr>
      </w:pPr>
      <w:r>
        <w:rPr>
          <w:noProof/>
        </w:rPr>
        <w:t>kontaktide arendamine ja hoidmine äriringkondade ja tarbijaorganisatsioonidega, et tagada korrapärane dialoog asjaomaste sidusrühmadega;</w:t>
      </w:r>
    </w:p>
    <w:p w:rsidR="00F4358D" w:rsidRDefault="00D1585A">
      <w:pPr>
        <w:pStyle w:val="Point3letter"/>
        <w:rPr>
          <w:noProof/>
        </w:rPr>
      </w:pPr>
      <w:r>
        <w:rPr>
          <w:noProof/>
        </w:rPr>
        <w:t xml:space="preserve"> muud tegevdirektorile käesoleva määrusega pandud ülesanded.</w:t>
      </w:r>
    </w:p>
    <w:p w:rsidR="00F4358D" w:rsidRDefault="00D1585A">
      <w:pPr>
        <w:pStyle w:val="ManualNumPar1"/>
        <w:rPr>
          <w:noProof/>
        </w:rPr>
      </w:pPr>
      <w:r>
        <w:t>4.</w:t>
      </w:r>
      <w:r>
        <w:tab/>
      </w:r>
      <w:r>
        <w:rPr>
          <w:noProof/>
        </w:rPr>
        <w:t>Vajaduse korral ning ameti mandaadi raames ja koos</w:t>
      </w:r>
      <w:r>
        <w:rPr>
          <w:noProof/>
        </w:rPr>
        <w:t>kõlas tema eesmärkide ja ülesannetega võib tegevdirektor luua ajutisi töörühmi, kuhu kuuluvad eksperdid, sealhulgas liikmesriikide pädevate ametiasutuste eksperdid. Haldusnõukogu tuleb sellest ette teavitada. Eeskätt töörühmade koosseisu, töörühmade eksper</w:t>
      </w:r>
      <w:r>
        <w:rPr>
          <w:noProof/>
        </w:rPr>
        <w:t>tide määramist tegevdirektori poolt ja selle töörühma tegevust käsitlev kord täpsustatakse ameti sise-eeskirjades.</w:t>
      </w:r>
    </w:p>
    <w:p w:rsidR="00F4358D" w:rsidRDefault="00D1585A">
      <w:pPr>
        <w:pStyle w:val="ManualNumPar1"/>
        <w:rPr>
          <w:noProof/>
        </w:rPr>
      </w:pPr>
      <w:r>
        <w:t>5.</w:t>
      </w:r>
      <w:r>
        <w:tab/>
      </w:r>
      <w:r>
        <w:rPr>
          <w:noProof/>
        </w:rPr>
        <w:t>Tegevdirektor otsustab, kas ameti ülesannete tõhusaks ja tulemuslikuks täitmiseks on vaja paigutada töötajaid ühte või mitmesse liikmesrii</w:t>
      </w:r>
      <w:r>
        <w:rPr>
          <w:noProof/>
        </w:rPr>
        <w:t>ki. Enne kui tegevdirektor otsustab rajada kohaliku kontori, peab ta saama komisjonilt, haldusnõukogult ja asjaomaselt liikmesriigilt (asjaomastelt liikmesriikidelt) eelneva nõusoleku. Otsuses määratakse täpselt kindlaks kohaliku kontori tegevuse ulatus, e</w:t>
      </w:r>
      <w:r>
        <w:rPr>
          <w:noProof/>
        </w:rPr>
        <w:t>t vältida tarbetuid kulusid ja ameti haldusülesannete dubleerimist. Vajaduse korral või kui seda nõutakse, tuleb saavutada kokkulepe asjaomaste liikmesriikidega.</w:t>
      </w:r>
    </w:p>
    <w:p w:rsidR="00F4358D" w:rsidRDefault="00F4358D">
      <w:pPr>
        <w:rPr>
          <w:noProof/>
        </w:rPr>
      </w:pPr>
    </w:p>
    <w:p w:rsidR="00F4358D" w:rsidRDefault="00D1585A">
      <w:pPr>
        <w:pStyle w:val="SectionTitle"/>
        <w:rPr>
          <w:noProof/>
        </w:rPr>
      </w:pPr>
      <w:bookmarkStart w:id="30" w:name="_Toc492216473"/>
      <w:r>
        <w:rPr>
          <w:noProof/>
        </w:rPr>
        <w:t>4. JAGU</w:t>
      </w:r>
      <w:r>
        <w:rPr>
          <w:noProof/>
        </w:rPr>
        <w:br/>
        <w:t>ALALINE SIDUSRÜHM</w:t>
      </w:r>
      <w:bookmarkEnd w:id="30"/>
    </w:p>
    <w:p w:rsidR="00F4358D" w:rsidRDefault="00D1585A">
      <w:pPr>
        <w:pStyle w:val="Titrearticle"/>
        <w:spacing w:before="0" w:after="0"/>
        <w:rPr>
          <w:rFonts w:eastAsia="Times New Roman"/>
          <w:b/>
          <w:i w:val="0"/>
          <w:noProof/>
        </w:rPr>
      </w:pPr>
      <w:r>
        <w:rPr>
          <w:noProof/>
        </w:rPr>
        <w:t>Artikkel 20</w:t>
      </w:r>
      <w:r>
        <w:rPr>
          <w:noProof/>
        </w:rPr>
        <w:br/>
      </w:r>
      <w:r>
        <w:rPr>
          <w:b/>
          <w:noProof/>
        </w:rPr>
        <w:t>Alaline sidusrühm</w:t>
      </w:r>
    </w:p>
    <w:p w:rsidR="00F4358D" w:rsidRDefault="00D1585A">
      <w:pPr>
        <w:pStyle w:val="ManualNumPar1"/>
        <w:rPr>
          <w:noProof/>
        </w:rPr>
      </w:pPr>
      <w:r>
        <w:t>1.</w:t>
      </w:r>
      <w:r>
        <w:tab/>
      </w:r>
      <w:r>
        <w:rPr>
          <w:noProof/>
        </w:rPr>
        <w:t xml:space="preserve">Haldusnõukogu loob tegevdirektori </w:t>
      </w:r>
      <w:r>
        <w:rPr>
          <w:noProof/>
        </w:rPr>
        <w:t>ettepanekul alalise sidusrühma, mis koosneb asjaomaseid sidusrühmi esindavatest tunnustatud ekspertidest, näiteks IKT tööstuse, avalikkusele kättesaadavate elektroonilise side võrkude või teenuste pakkujate ja tarbijarühmade ekspertidest, küberturvalisuseg</w:t>
      </w:r>
      <w:r>
        <w:rPr>
          <w:noProof/>
        </w:rPr>
        <w:t>a tegelevatest akadeemilistest ekspertidest ning [Euroopa elektroonilise side seadustiku kehtestamise direktiivi] alusel teavitatud riiklike reguleerivate asutuste esindajatest, samuti liidu õiguskaitseasutuste ja andmekaitse järelevalveasutuste esindajate</w:t>
      </w:r>
      <w:r>
        <w:rPr>
          <w:noProof/>
        </w:rPr>
        <w:t>st.</w:t>
      </w:r>
    </w:p>
    <w:p w:rsidR="00F4358D" w:rsidRDefault="00D1585A">
      <w:pPr>
        <w:pStyle w:val="ManualNumPar1"/>
        <w:rPr>
          <w:noProof/>
        </w:rPr>
      </w:pPr>
      <w:r>
        <w:t>2.</w:t>
      </w:r>
      <w:r>
        <w:tab/>
      </w:r>
      <w:r>
        <w:rPr>
          <w:noProof/>
        </w:rPr>
        <w:t>Eeskätt alalise sidusrühma liikmete arvu, koosseisu ja nimetamist haldusnõukogu poolt, tegevdirektori ettepanekut ja rühma tegevust käsitlev kord täpsustatakse ameti sise-eeskirjades ning see avalikustatakse.</w:t>
      </w:r>
    </w:p>
    <w:p w:rsidR="00F4358D" w:rsidRDefault="00D1585A">
      <w:pPr>
        <w:pStyle w:val="ManualNumPar1"/>
        <w:rPr>
          <w:noProof/>
        </w:rPr>
      </w:pPr>
      <w:r>
        <w:t>3.</w:t>
      </w:r>
      <w:r>
        <w:tab/>
      </w:r>
      <w:r>
        <w:rPr>
          <w:noProof/>
        </w:rPr>
        <w:t>Alalist sidusrühma juhatab tegevdirek</w:t>
      </w:r>
      <w:r>
        <w:rPr>
          <w:noProof/>
        </w:rPr>
        <w:t>tor või isik, kelle tegevdirektor nimetab iga konkreetse juhtumi korral eraldi.</w:t>
      </w:r>
    </w:p>
    <w:p w:rsidR="00F4358D" w:rsidRDefault="00D1585A">
      <w:pPr>
        <w:pStyle w:val="ManualNumPar1"/>
        <w:rPr>
          <w:noProof/>
        </w:rPr>
      </w:pPr>
      <w:r>
        <w:t>4.</w:t>
      </w:r>
      <w:r>
        <w:tab/>
      </w:r>
      <w:r>
        <w:rPr>
          <w:noProof/>
        </w:rPr>
        <w:t>Alalise sidusrühma liikmete ametiaeg on kaks ja pool aastat. Haldusnõukogu liige ei või olla alalise sidusrühma liige. Komisjoni ja liikmesriikide ekspertidel on õigus viibi</w:t>
      </w:r>
      <w:r>
        <w:rPr>
          <w:noProof/>
        </w:rPr>
        <w:t>da alalise sidusrühma koosolekutel ning osaleda rühma töös. Kui tegevdirektor peab seda asjakohaseks, võib kutsuda alalise sidusrühma koosolekutel ning selle töös osalema teiste asutuste esindajaid, kes ei ole alalise sidusrühma liikmed.</w:t>
      </w:r>
    </w:p>
    <w:p w:rsidR="00F4358D" w:rsidRDefault="00D1585A">
      <w:pPr>
        <w:pStyle w:val="ManualNumPar1"/>
        <w:rPr>
          <w:noProof/>
        </w:rPr>
      </w:pPr>
      <w:r>
        <w:t>5.</w:t>
      </w:r>
      <w:r>
        <w:tab/>
      </w:r>
      <w:r>
        <w:rPr>
          <w:noProof/>
        </w:rPr>
        <w:t>Alaline sidusrü</w:t>
      </w:r>
      <w:r>
        <w:rPr>
          <w:noProof/>
        </w:rPr>
        <w:t>hm nõustab ametit tema ülesannete täitmisel. Eelkõige annab rühm tegevdirektorile soovitusi ameti tööprogrammi ettepaneku koostamiseks ning tagab teabevahetuse asjaomaste sidusrühmadega kõikides tööprogrammiga seotud küsimustes.</w:t>
      </w:r>
    </w:p>
    <w:p w:rsidR="00F4358D" w:rsidRDefault="00F4358D">
      <w:pPr>
        <w:rPr>
          <w:noProof/>
        </w:rPr>
      </w:pPr>
    </w:p>
    <w:p w:rsidR="00F4358D" w:rsidRDefault="00D1585A">
      <w:pPr>
        <w:pStyle w:val="SectionTitle"/>
        <w:rPr>
          <w:rFonts w:eastAsia="Times New Roman"/>
          <w:noProof/>
        </w:rPr>
      </w:pPr>
      <w:bookmarkStart w:id="31" w:name="_Toc492216474"/>
      <w:r>
        <w:rPr>
          <w:noProof/>
        </w:rPr>
        <w:t>5. JAGU</w:t>
      </w:r>
      <w:r>
        <w:rPr>
          <w:noProof/>
        </w:rPr>
        <w:br/>
        <w:t>TEGEVUS</w:t>
      </w:r>
      <w:bookmarkEnd w:id="31"/>
    </w:p>
    <w:p w:rsidR="00F4358D" w:rsidRDefault="00D1585A">
      <w:pPr>
        <w:pStyle w:val="Titrearticle"/>
        <w:spacing w:before="0" w:after="0"/>
        <w:rPr>
          <w:rFonts w:eastAsia="Times New Roman"/>
          <w:b/>
          <w:i w:val="0"/>
          <w:noProof/>
        </w:rPr>
      </w:pPr>
      <w:r>
        <w:rPr>
          <w:noProof/>
        </w:rPr>
        <w:t>Artikkel 2</w:t>
      </w:r>
      <w:r>
        <w:rPr>
          <w:noProof/>
        </w:rPr>
        <w:t>1</w:t>
      </w:r>
      <w:r>
        <w:rPr>
          <w:noProof/>
        </w:rPr>
        <w:br/>
      </w:r>
      <w:r>
        <w:rPr>
          <w:b/>
          <w:noProof/>
        </w:rPr>
        <w:t xml:space="preserve">Ühtne programmdokument </w:t>
      </w:r>
    </w:p>
    <w:p w:rsidR="00F4358D" w:rsidRDefault="00D1585A">
      <w:pPr>
        <w:pStyle w:val="ManualNumPar1"/>
        <w:rPr>
          <w:noProof/>
        </w:rPr>
      </w:pPr>
      <w:r>
        <w:t>1.</w:t>
      </w:r>
      <w:r>
        <w:tab/>
      </w:r>
      <w:r>
        <w:rPr>
          <w:noProof/>
        </w:rPr>
        <w:t>Amet tegutseb kooskõlas ühtse programmdokumendiga, mis sisaldab tema iga-aastast ja mitmeaastast tööprogrammi ja mis hõlmab kõiki ameti kavandatud tegevusi.</w:t>
      </w:r>
    </w:p>
    <w:p w:rsidR="00F4358D" w:rsidRDefault="00D1585A">
      <w:pPr>
        <w:pStyle w:val="ManualNumPar1"/>
        <w:rPr>
          <w:noProof/>
        </w:rPr>
      </w:pPr>
      <w:r>
        <w:t>2.</w:t>
      </w:r>
      <w:r>
        <w:tab/>
      </w:r>
      <w:r>
        <w:rPr>
          <w:noProof/>
        </w:rPr>
        <w:t xml:space="preserve">Tegevdirektor koostab igal aastal ühtse programmdokumendi kavandi, </w:t>
      </w:r>
      <w:r>
        <w:rPr>
          <w:noProof/>
        </w:rPr>
        <w:t>mis sisaldab mitmeaastast ja iga-aastast programmi ja vastavaid inim- ja finantsressursside plaane ning mis on kooskõlas komisjoni delegeeritud määruse (EL) nr 1271/2013</w:t>
      </w:r>
      <w:r>
        <w:rPr>
          <w:rStyle w:val="FootnoteReference"/>
          <w:noProof/>
        </w:rPr>
        <w:footnoteReference w:id="37"/>
      </w:r>
      <w:r>
        <w:rPr>
          <w:noProof/>
        </w:rPr>
        <w:t xml:space="preserve"> artikliga 32 ja milles võetakse arvesse komisjoni kehtestatud suuniseid.</w:t>
      </w:r>
    </w:p>
    <w:p w:rsidR="00F4358D" w:rsidRDefault="00D1585A">
      <w:pPr>
        <w:pStyle w:val="ManualNumPar1"/>
        <w:rPr>
          <w:noProof/>
        </w:rPr>
      </w:pPr>
      <w:r>
        <w:t>3.</w:t>
      </w:r>
      <w:r>
        <w:tab/>
      </w:r>
      <w:r>
        <w:rPr>
          <w:noProof/>
        </w:rPr>
        <w:t>Haldusnõu</w:t>
      </w:r>
      <w:r>
        <w:rPr>
          <w:noProof/>
        </w:rPr>
        <w:t>kogu võtab lõikes 1 osutatud ühtse programmdokumendi vastu iga aasta 30. novembriks ning esitab Euroopa Parlamendile, nõukogule ja komisjonile hiljemalt järgmise aasta 31. jaanuariks programmdokumendi ja kõik selle hilisemad ajakohastatud versioonid.</w:t>
      </w:r>
    </w:p>
    <w:p w:rsidR="00F4358D" w:rsidRDefault="00D1585A">
      <w:pPr>
        <w:pStyle w:val="ManualNumPar1"/>
        <w:rPr>
          <w:noProof/>
        </w:rPr>
      </w:pPr>
      <w:r>
        <w:t>4.</w:t>
      </w:r>
      <w:r>
        <w:tab/>
      </w:r>
      <w:r>
        <w:rPr>
          <w:noProof/>
        </w:rPr>
        <w:t>Üh</w:t>
      </w:r>
      <w:r>
        <w:rPr>
          <w:noProof/>
        </w:rPr>
        <w:t>tne programmdokument saab lõplikuks pärast liidu üldeelarve lõplikku vastuvõtmist ja vajaduse korral kohandatakse seda vastavalt eelarvele.</w:t>
      </w:r>
    </w:p>
    <w:p w:rsidR="00F4358D" w:rsidRDefault="00D1585A">
      <w:pPr>
        <w:pStyle w:val="ManualNumPar1"/>
        <w:rPr>
          <w:noProof/>
        </w:rPr>
      </w:pPr>
      <w:r>
        <w:t>5.</w:t>
      </w:r>
      <w:r>
        <w:tab/>
      </w:r>
      <w:r>
        <w:rPr>
          <w:noProof/>
        </w:rPr>
        <w:t>Aasta tööprogramm sisaldab üksikasjalikke eesmärke ja oodatavaid tulemusi, sealhulgas tulemusnäitajaid. Samuti si</w:t>
      </w:r>
      <w:r>
        <w:rPr>
          <w:noProof/>
        </w:rPr>
        <w:t>saldab see rahastatavate meetmete kirjeldust koos igale meetmele eraldatavate rahaliste vahendite ja inimressurssidega vastavalt tegevuspõhise eelarvestamise ja juhtimise põhimõtetele. Aasta tööprogramm on kooskõlas lõikes 7 osutatud mitmeaastase tööprogra</w:t>
      </w:r>
      <w:r>
        <w:rPr>
          <w:noProof/>
        </w:rPr>
        <w:t>mmiga. Selles näidatakse selgelt ära ülesanded, mis võrreldes eelmise eelarveaastaga on lisatud või välja jäetud või mida on muudetud.</w:t>
      </w:r>
    </w:p>
    <w:p w:rsidR="00F4358D" w:rsidRDefault="00D1585A">
      <w:pPr>
        <w:pStyle w:val="ManualNumPar1"/>
        <w:rPr>
          <w:noProof/>
        </w:rPr>
      </w:pPr>
      <w:r>
        <w:t>6.</w:t>
      </w:r>
      <w:r>
        <w:tab/>
      </w:r>
      <w:r>
        <w:rPr>
          <w:noProof/>
        </w:rPr>
        <w:t xml:space="preserve">Kui ametile antakse mõni uus ülesanne, muudab haldusnõukogu vastuvõetud aasta tööprogrammi. Kõik aasta tööprogrammi </w:t>
      </w:r>
      <w:r>
        <w:rPr>
          <w:noProof/>
        </w:rPr>
        <w:t>olulised muudatused võetakse vastu sama korra kohaselt nagu algne aasta tööprogramm. Haldusnõukogu võib delegeerida tegevdirektorile õiguse teha aasta tööprogrammis vähetähtsaid muudatusi.</w:t>
      </w:r>
    </w:p>
    <w:p w:rsidR="00F4358D" w:rsidRDefault="00D1585A">
      <w:pPr>
        <w:pStyle w:val="ManualNumPar1"/>
        <w:rPr>
          <w:noProof/>
        </w:rPr>
      </w:pPr>
      <w:r>
        <w:t>7.</w:t>
      </w:r>
      <w:r>
        <w:tab/>
      </w:r>
      <w:r>
        <w:rPr>
          <w:noProof/>
        </w:rPr>
        <w:t>Mitmeaastases tööprogrammis esitatakse üldine strateegiline prog</w:t>
      </w:r>
      <w:r>
        <w:rPr>
          <w:noProof/>
        </w:rPr>
        <w:t>ramm, sealhulgas eesmärgid, oodatavad tulemused ja tulemusnäitajad. Selles esitatakse ka vahendite eraldamise programm, sealhulgas mitmeaastase eelarve ja personali jaoks.</w:t>
      </w:r>
    </w:p>
    <w:p w:rsidR="00F4358D" w:rsidRDefault="00D1585A">
      <w:pPr>
        <w:pStyle w:val="ManualNumPar1"/>
        <w:rPr>
          <w:noProof/>
        </w:rPr>
      </w:pPr>
      <w:r>
        <w:t>8.</w:t>
      </w:r>
      <w:r>
        <w:tab/>
      </w:r>
      <w:r>
        <w:rPr>
          <w:noProof/>
        </w:rPr>
        <w:t>Vahendite eraldamise programmi ajakohastatakse igal aastal. Strateegilist program</w:t>
      </w:r>
      <w:r>
        <w:rPr>
          <w:noProof/>
        </w:rPr>
        <w:t>mi ajakohastatakse, kui selle järele on vajadus, ja eriti artiklis 56 osutatud hindamise tulemuse arvessevõtmiseks.</w:t>
      </w:r>
    </w:p>
    <w:p w:rsidR="00F4358D" w:rsidRDefault="00F4358D">
      <w:pPr>
        <w:spacing w:after="0"/>
        <w:rPr>
          <w:rFonts w:eastAsia="Times New Roman"/>
          <w:noProof/>
          <w:szCs w:val="24"/>
        </w:rPr>
      </w:pPr>
    </w:p>
    <w:p w:rsidR="00F4358D" w:rsidRDefault="00D1585A">
      <w:pPr>
        <w:pStyle w:val="Titrearticle"/>
        <w:spacing w:before="0" w:after="0"/>
        <w:rPr>
          <w:b/>
          <w:noProof/>
        </w:rPr>
      </w:pPr>
      <w:r>
        <w:rPr>
          <w:noProof/>
        </w:rPr>
        <w:t>Artikkel 22</w:t>
      </w:r>
      <w:r>
        <w:rPr>
          <w:noProof/>
        </w:rPr>
        <w:br/>
      </w:r>
      <w:r>
        <w:rPr>
          <w:b/>
          <w:noProof/>
        </w:rPr>
        <w:t>Huvide deklaratsioon</w:t>
      </w:r>
    </w:p>
    <w:p w:rsidR="00F4358D" w:rsidRDefault="00D1585A">
      <w:pPr>
        <w:pStyle w:val="ManualNumPar1"/>
        <w:rPr>
          <w:noProof/>
        </w:rPr>
      </w:pPr>
      <w:r>
        <w:t>1.</w:t>
      </w:r>
      <w:r>
        <w:tab/>
      </w:r>
      <w:r>
        <w:rPr>
          <w:noProof/>
        </w:rPr>
        <w:t xml:space="preserve">Haldusnõukogu liikmed, tegevdirektor ning liikmesriikide poolt ajutiselt lähetatud ametnikud esitavad </w:t>
      </w:r>
      <w:r>
        <w:rPr>
          <w:noProof/>
        </w:rPr>
        <w:t>kohustuste deklaratsiooni ning deklaratsiooni, milles kinnitavad, et neil puudub või on olemas otsene või kaudne huvi, mida võib pidada nende sõltumatust kahjustavaks. Deklaratsioon peab olema täpne ja täielik, see esitatakse kirjalikult kord aastas ja vaj</w:t>
      </w:r>
      <w:r>
        <w:rPr>
          <w:noProof/>
        </w:rPr>
        <w:t>aduse korral seda ajakohastatakse.</w:t>
      </w:r>
    </w:p>
    <w:p w:rsidR="00F4358D" w:rsidRDefault="00D1585A">
      <w:pPr>
        <w:pStyle w:val="ManualNumPar1"/>
        <w:rPr>
          <w:noProof/>
        </w:rPr>
      </w:pPr>
      <w:r>
        <w:t>2.</w:t>
      </w:r>
      <w:r>
        <w:tab/>
      </w:r>
      <w:r>
        <w:rPr>
          <w:noProof/>
        </w:rPr>
        <w:t>Haldusnõukogu liikmed, tegevdirektor ning ajutistes töörühmades osalevad väliseksperdid teevad hiljemalt iga koosoleku alguses täpse ja täieliku deklaratsiooni oma huvide kohta, mida võib pidada päevakorraküsimusega se</w:t>
      </w:r>
      <w:r>
        <w:rPr>
          <w:noProof/>
        </w:rPr>
        <w:t>oses nende sõltumatust kahjustavaks, ning nad ei võta osa selliste küsimuste arutamisest ja hääletusest.</w:t>
      </w:r>
    </w:p>
    <w:p w:rsidR="00F4358D" w:rsidRDefault="00D1585A">
      <w:pPr>
        <w:pStyle w:val="ManualNumPar1"/>
        <w:rPr>
          <w:noProof/>
        </w:rPr>
      </w:pPr>
      <w:r>
        <w:t>3.</w:t>
      </w:r>
      <w:r>
        <w:tab/>
      </w:r>
      <w:r>
        <w:rPr>
          <w:noProof/>
        </w:rPr>
        <w:t>Amet sätestab oma sise-eeskirjades lõigetes 1 ja 2 osutatud huvide deklaratsioone käsitlevate eeskirjade rakendamise praktilise korra.</w:t>
      </w:r>
    </w:p>
    <w:p w:rsidR="00F4358D" w:rsidRDefault="00F4358D">
      <w:pPr>
        <w:rPr>
          <w:noProof/>
        </w:rPr>
      </w:pPr>
    </w:p>
    <w:p w:rsidR="00F4358D" w:rsidRDefault="00D1585A">
      <w:pPr>
        <w:pStyle w:val="Titrearticle"/>
        <w:spacing w:before="0" w:after="0"/>
        <w:rPr>
          <w:rFonts w:eastAsia="Times New Roman"/>
          <w:b/>
          <w:i w:val="0"/>
          <w:noProof/>
        </w:rPr>
      </w:pPr>
      <w:r>
        <w:rPr>
          <w:noProof/>
        </w:rPr>
        <w:t>Artikkel 23</w:t>
      </w:r>
      <w:r>
        <w:rPr>
          <w:noProof/>
        </w:rPr>
        <w:br/>
      </w:r>
      <w:r>
        <w:rPr>
          <w:b/>
          <w:noProof/>
        </w:rPr>
        <w:t>Läbipaistvus</w:t>
      </w:r>
    </w:p>
    <w:p w:rsidR="00F4358D" w:rsidRDefault="00D1585A">
      <w:pPr>
        <w:pStyle w:val="ManualNumPar1"/>
        <w:rPr>
          <w:noProof/>
        </w:rPr>
      </w:pPr>
      <w:r>
        <w:t>1.</w:t>
      </w:r>
      <w:r>
        <w:tab/>
      </w:r>
      <w:r>
        <w:rPr>
          <w:noProof/>
        </w:rPr>
        <w:t>Amet viib oma tegevust läbi maksimaalselt läbipaistvalt ning kooskõlas artikliga 25.</w:t>
      </w:r>
    </w:p>
    <w:p w:rsidR="00F4358D" w:rsidRDefault="00D1585A">
      <w:pPr>
        <w:pStyle w:val="ManualNumPar1"/>
        <w:rPr>
          <w:noProof/>
        </w:rPr>
      </w:pPr>
      <w:r>
        <w:t>2.</w:t>
      </w:r>
      <w:r>
        <w:tab/>
      </w:r>
      <w:r>
        <w:rPr>
          <w:noProof/>
        </w:rPr>
        <w:t>Amet tagab üldsusele ja huvitatud isikutele asjakohase, objektiivse, usaldusväärse ja kergesti juurdepääsetava teabe andmise, eelkõige ameti töötulemust</w:t>
      </w:r>
      <w:r>
        <w:rPr>
          <w:noProof/>
        </w:rPr>
        <w:t>e kohta. Ühtlasi avalikustab amet artikli 22 kohaselt esitatud huvide deklaratsioonid.</w:t>
      </w:r>
    </w:p>
    <w:p w:rsidR="00F4358D" w:rsidRDefault="00D1585A">
      <w:pPr>
        <w:pStyle w:val="ManualNumPar1"/>
        <w:rPr>
          <w:noProof/>
        </w:rPr>
      </w:pPr>
      <w:r>
        <w:t>3.</w:t>
      </w:r>
      <w:r>
        <w:tab/>
      </w:r>
      <w:r>
        <w:rPr>
          <w:noProof/>
        </w:rPr>
        <w:t>Haldusnõukogu võib tegevdirektori ettepanekul lubada huvitatud isikutel jälgida ameti mõne tegevusega seotud menetlust.</w:t>
      </w:r>
    </w:p>
    <w:p w:rsidR="00F4358D" w:rsidRDefault="00D1585A">
      <w:pPr>
        <w:pStyle w:val="ManualNumPar1"/>
        <w:rPr>
          <w:noProof/>
        </w:rPr>
      </w:pPr>
      <w:r>
        <w:t>4.</w:t>
      </w:r>
      <w:r>
        <w:tab/>
      </w:r>
      <w:r>
        <w:rPr>
          <w:noProof/>
        </w:rPr>
        <w:t>Amet sätestab oma sise-eeskirjades lõigetes</w:t>
      </w:r>
      <w:r>
        <w:rPr>
          <w:noProof/>
        </w:rPr>
        <w:t xml:space="preserve"> 1 ja 2 nimetatud läbipaistvuseeskirjade rakendamise praktilise korra.</w:t>
      </w:r>
    </w:p>
    <w:p w:rsidR="00F4358D" w:rsidRDefault="00F4358D">
      <w:pPr>
        <w:rPr>
          <w:noProof/>
        </w:rPr>
      </w:pPr>
    </w:p>
    <w:p w:rsidR="00F4358D" w:rsidRDefault="00D1585A">
      <w:pPr>
        <w:pStyle w:val="Titrearticle"/>
        <w:spacing w:before="0" w:after="0"/>
        <w:rPr>
          <w:rFonts w:eastAsia="Times New Roman"/>
          <w:b/>
          <w:i w:val="0"/>
          <w:noProof/>
        </w:rPr>
      </w:pPr>
      <w:r>
        <w:rPr>
          <w:noProof/>
        </w:rPr>
        <w:t>Artikkel 24</w:t>
      </w:r>
      <w:r>
        <w:rPr>
          <w:noProof/>
        </w:rPr>
        <w:br/>
      </w:r>
      <w:r>
        <w:rPr>
          <w:b/>
          <w:noProof/>
        </w:rPr>
        <w:t>Konfidentsiaalsus</w:t>
      </w:r>
    </w:p>
    <w:p w:rsidR="00F4358D" w:rsidRDefault="00D1585A">
      <w:pPr>
        <w:pStyle w:val="ManualNumPar1"/>
        <w:rPr>
          <w:noProof/>
        </w:rPr>
      </w:pPr>
      <w:r>
        <w:t>1.</w:t>
      </w:r>
      <w:r>
        <w:tab/>
      </w:r>
      <w:r>
        <w:rPr>
          <w:noProof/>
        </w:rPr>
        <w:t>Ilma et see piiraks artikli 25 kohaldamist, ei anna amet kolmandatele isikutele teavet, mida ta töötleb või saab ning mille kohta on esitatud põhjendat</w:t>
      </w:r>
      <w:r>
        <w:rPr>
          <w:noProof/>
        </w:rPr>
        <w:t>ud taotlus teabe käsitlemiseks täielikult või osaliselt konfidentsiaalsena.</w:t>
      </w:r>
    </w:p>
    <w:p w:rsidR="00F4358D" w:rsidRDefault="00D1585A">
      <w:pPr>
        <w:pStyle w:val="ManualNumPar1"/>
        <w:rPr>
          <w:noProof/>
        </w:rPr>
      </w:pPr>
      <w:r>
        <w:t>2.</w:t>
      </w:r>
      <w:r>
        <w:tab/>
      </w:r>
      <w:r>
        <w:rPr>
          <w:noProof/>
        </w:rPr>
        <w:t>Haldusnõukogu liikmed, tegevdirektor, alalise sidusrühma liikmed, ajutistes töörühmades osalevad väliseksperdid ning ameti töötajad, sealhulgas liikmesriikide poolt ajutiselt lä</w:t>
      </w:r>
      <w:r>
        <w:rPr>
          <w:noProof/>
        </w:rPr>
        <w:t>hetatud ametnikud järgivad Euroopa Liidu toimimise lepingu (ELi toimimise leping) artiklis 339 sätestatud konfidentsiaalsuse nõudeid, seda isegi pärast nende töökohustuste lõppemist.</w:t>
      </w:r>
    </w:p>
    <w:p w:rsidR="00F4358D" w:rsidRDefault="00D1585A">
      <w:pPr>
        <w:pStyle w:val="ManualNumPar1"/>
        <w:rPr>
          <w:noProof/>
        </w:rPr>
      </w:pPr>
      <w:r>
        <w:t>3.</w:t>
      </w:r>
      <w:r>
        <w:tab/>
      </w:r>
      <w:r>
        <w:rPr>
          <w:noProof/>
        </w:rPr>
        <w:t>Amet sätestab oma sise-eeskirjades lõigetes 1 ja 2 osutatud konfidents</w:t>
      </w:r>
      <w:r>
        <w:rPr>
          <w:noProof/>
        </w:rPr>
        <w:t>iaalsuse nõuete rakendamise praktilise korra.</w:t>
      </w:r>
    </w:p>
    <w:p w:rsidR="00F4358D" w:rsidRDefault="00D1585A">
      <w:pPr>
        <w:pStyle w:val="ManualNumPar1"/>
        <w:rPr>
          <w:noProof/>
        </w:rPr>
      </w:pPr>
      <w:r>
        <w:t>4.</w:t>
      </w:r>
      <w:r>
        <w:tab/>
      </w:r>
      <w:r>
        <w:rPr>
          <w:noProof/>
        </w:rPr>
        <w:t>Haldusnõukogu otsustab lubada ametil käidelda salastatud teavet, kui see on vajalik ameti ülesannete täitmiseks. Sellisel juhul võtab haldusnõukogu kokkuleppel komisjoni talitustega vastu sise-eeskirjad, mil</w:t>
      </w:r>
      <w:r>
        <w:rPr>
          <w:noProof/>
        </w:rPr>
        <w:t>lega kohaldatakse turbepõhimõtteid, mis on sätestatud komisjoni otsustes (EL, Euratom) 2015/443</w:t>
      </w:r>
      <w:r>
        <w:rPr>
          <w:rStyle w:val="FootnoteReference"/>
          <w:noProof/>
        </w:rPr>
        <w:footnoteReference w:id="38"/>
      </w:r>
      <w:r>
        <w:rPr>
          <w:noProof/>
        </w:rPr>
        <w:t xml:space="preserve"> ja 2015/444</w:t>
      </w:r>
      <w:r>
        <w:rPr>
          <w:rStyle w:val="FootnoteReference"/>
          <w:noProof/>
        </w:rPr>
        <w:footnoteReference w:id="39"/>
      </w:r>
      <w:r>
        <w:rPr>
          <w:noProof/>
        </w:rPr>
        <w:t>. Nimetatud eeskirjad hõlmavad salastatud teabe vahetust, töötlemist ja säilitamist käsitlevaid sätteid.</w:t>
      </w:r>
    </w:p>
    <w:p w:rsidR="00F4358D" w:rsidRDefault="00F4358D">
      <w:pPr>
        <w:rPr>
          <w:noProof/>
        </w:rPr>
      </w:pPr>
    </w:p>
    <w:p w:rsidR="00F4358D" w:rsidRDefault="00D1585A">
      <w:pPr>
        <w:pStyle w:val="Titrearticle"/>
        <w:spacing w:before="0" w:after="0"/>
        <w:rPr>
          <w:rFonts w:eastAsia="Times New Roman"/>
          <w:b/>
          <w:i w:val="0"/>
          <w:noProof/>
        </w:rPr>
      </w:pPr>
      <w:r>
        <w:rPr>
          <w:noProof/>
        </w:rPr>
        <w:t>Artikkel 25</w:t>
      </w:r>
      <w:r>
        <w:rPr>
          <w:noProof/>
        </w:rPr>
        <w:br/>
      </w:r>
      <w:r>
        <w:rPr>
          <w:b/>
          <w:noProof/>
        </w:rPr>
        <w:t>Juurdepääs dokumentidele</w:t>
      </w:r>
    </w:p>
    <w:p w:rsidR="00F4358D" w:rsidRDefault="00D1585A">
      <w:pPr>
        <w:pStyle w:val="ManualNumPar1"/>
        <w:rPr>
          <w:noProof/>
        </w:rPr>
      </w:pPr>
      <w:r>
        <w:t>1.</w:t>
      </w:r>
      <w:r>
        <w:tab/>
      </w:r>
      <w:r>
        <w:rPr>
          <w:noProof/>
        </w:rPr>
        <w:t>A</w:t>
      </w:r>
      <w:r>
        <w:rPr>
          <w:noProof/>
        </w:rPr>
        <w:t>meti valduses olevate dokumentide suhtes kohaldatakse määrust (EÜ) nr 1049/2001.</w:t>
      </w:r>
    </w:p>
    <w:p w:rsidR="00F4358D" w:rsidRDefault="00D1585A">
      <w:pPr>
        <w:pStyle w:val="ManualNumPar1"/>
        <w:rPr>
          <w:noProof/>
        </w:rPr>
      </w:pPr>
      <w:r>
        <w:t>2.</w:t>
      </w:r>
      <w:r>
        <w:tab/>
      </w:r>
      <w:r>
        <w:rPr>
          <w:noProof/>
        </w:rPr>
        <w:t>Haldusnõukogu võtab kuue kuu jooksul pärast ameti loomist vastu määruse (EÜ) nr 1049/2001 rakendamise korra.</w:t>
      </w:r>
    </w:p>
    <w:p w:rsidR="00F4358D" w:rsidRDefault="00D1585A">
      <w:pPr>
        <w:pStyle w:val="ManualNumPar1"/>
        <w:rPr>
          <w:noProof/>
        </w:rPr>
      </w:pPr>
      <w:r>
        <w:t>3.</w:t>
      </w:r>
      <w:r>
        <w:tab/>
      </w:r>
      <w:r>
        <w:rPr>
          <w:noProof/>
        </w:rPr>
        <w:t>Määruse (EÜ) nr 1049/2001 artikli 8 kohaselt vastu võetud am</w:t>
      </w:r>
      <w:r>
        <w:rPr>
          <w:noProof/>
        </w:rPr>
        <w:t>eti otsuste peale võib esitada vastavalt ELi toimimise lepingu artiklile 228 kaebuse ombudsmanile või pöörduda vastavalt ELi toimimise lepingu artiklile 263 Euroopa Liidu Kohtusse.</w:t>
      </w:r>
    </w:p>
    <w:p w:rsidR="00F4358D" w:rsidRDefault="00F4358D">
      <w:pPr>
        <w:spacing w:before="480" w:after="0"/>
        <w:jc w:val="center"/>
        <w:rPr>
          <w:rFonts w:eastAsia="Times New Roman"/>
          <w:b/>
          <w:bCs/>
          <w:noProof/>
          <w:szCs w:val="24"/>
        </w:rPr>
      </w:pPr>
    </w:p>
    <w:p w:rsidR="00F4358D" w:rsidRDefault="00D1585A">
      <w:pPr>
        <w:pStyle w:val="ChapterTitle"/>
        <w:rPr>
          <w:noProof/>
        </w:rPr>
      </w:pPr>
      <w:bookmarkStart w:id="33" w:name="_Toc492216475"/>
      <w:r>
        <w:rPr>
          <w:noProof/>
        </w:rPr>
        <w:t>III PEATÜKK</w:t>
      </w:r>
      <w:r>
        <w:rPr>
          <w:noProof/>
        </w:rPr>
        <w:br/>
        <w:t>EELARVE KOOSTAMINE JA STRUKTUUR</w:t>
      </w:r>
      <w:bookmarkEnd w:id="33"/>
    </w:p>
    <w:p w:rsidR="00F4358D" w:rsidRDefault="00D1585A">
      <w:pPr>
        <w:pStyle w:val="Titrearticle"/>
        <w:spacing w:before="0" w:after="0"/>
        <w:rPr>
          <w:rFonts w:eastAsia="Times New Roman"/>
          <w:b/>
          <w:i w:val="0"/>
          <w:noProof/>
        </w:rPr>
      </w:pPr>
      <w:r>
        <w:rPr>
          <w:noProof/>
        </w:rPr>
        <w:t>Artikkel 26</w:t>
      </w:r>
      <w:r>
        <w:rPr>
          <w:noProof/>
        </w:rPr>
        <w:br/>
      </w:r>
      <w:r>
        <w:rPr>
          <w:b/>
          <w:noProof/>
        </w:rPr>
        <w:t>Eelarve koostamine</w:t>
      </w:r>
    </w:p>
    <w:p w:rsidR="00F4358D" w:rsidRDefault="00D1585A">
      <w:pPr>
        <w:pStyle w:val="ManualNumPar1"/>
        <w:rPr>
          <w:noProof/>
        </w:rPr>
      </w:pPr>
      <w:r>
        <w:t>1.</w:t>
      </w:r>
      <w:r>
        <w:tab/>
      </w:r>
      <w:r>
        <w:rPr>
          <w:noProof/>
        </w:rPr>
        <w:t>Igal aastal koostab tegevdirektor ameti järgmise eelarveaasta tulude ja kulude eelarvestuse projekti ning edastab selle koos ametikohtade loetelu kavaga haldusnõukogule. Tulud ja kulud peavad olema tasakaalus.</w:t>
      </w:r>
    </w:p>
    <w:p w:rsidR="00F4358D" w:rsidRDefault="00D1585A">
      <w:pPr>
        <w:pStyle w:val="ManualNumPar1"/>
        <w:rPr>
          <w:noProof/>
        </w:rPr>
      </w:pPr>
      <w:r>
        <w:t>2.</w:t>
      </w:r>
      <w:r>
        <w:tab/>
      </w:r>
      <w:r>
        <w:rPr>
          <w:noProof/>
        </w:rPr>
        <w:t xml:space="preserve">Haldusnõukogu koostab igal aastal </w:t>
      </w:r>
      <w:r>
        <w:rPr>
          <w:noProof/>
        </w:rPr>
        <w:t>lõikes 1 osutatud tulude ja kulude eelarvestuse projekti põhjal ameti järgmise eelarveaasta tulude ja kulude eelarvestuse projekti.</w:t>
      </w:r>
    </w:p>
    <w:p w:rsidR="00F4358D" w:rsidRDefault="00D1585A">
      <w:pPr>
        <w:pStyle w:val="ManualNumPar1"/>
        <w:rPr>
          <w:noProof/>
        </w:rPr>
      </w:pPr>
      <w:r>
        <w:t>3.</w:t>
      </w:r>
      <w:r>
        <w:tab/>
      </w:r>
      <w:r>
        <w:rPr>
          <w:noProof/>
        </w:rPr>
        <w:t>Haldusnõukogu saadab lõikes 2 osutatud eelarvestuse projekti, mis on osa ühtse programmdokumendi kavandist, hiljemalt iga</w:t>
      </w:r>
      <w:r>
        <w:rPr>
          <w:noProof/>
        </w:rPr>
        <w:t xml:space="preserve"> aasta 31. jaanuariks komisjonile ja kolmandatele riikidele, kellega Euroopa Liit on sõlminud kokkulepped kooskõlas artikliga 39.</w:t>
      </w:r>
    </w:p>
    <w:p w:rsidR="00F4358D" w:rsidRDefault="00D1585A">
      <w:pPr>
        <w:pStyle w:val="ManualNumPar1"/>
        <w:rPr>
          <w:noProof/>
        </w:rPr>
      </w:pPr>
      <w:r>
        <w:t>4.</w:t>
      </w:r>
      <w:r>
        <w:tab/>
      </w:r>
      <w:r>
        <w:rPr>
          <w:noProof/>
        </w:rPr>
        <w:t>Kõnealusest eelarvestuse projektist lähtudes sisestab komisjon Euroopa Liidu eelarve projekti kalkulatsioonid, mida ta peab</w:t>
      </w:r>
      <w:r>
        <w:rPr>
          <w:noProof/>
        </w:rPr>
        <w:t xml:space="preserve"> ametikohtade loetelu põhjal vajalikuks, ja üldeelarvest makstava toetuse suuruse, ning esitab selle kooskõlas ELi toimimise lepingu artiklitega 313 ja 314 Euroopa Parlamendile ja nõukogule.</w:t>
      </w:r>
    </w:p>
    <w:p w:rsidR="00F4358D" w:rsidRDefault="00D1585A">
      <w:pPr>
        <w:pStyle w:val="ManualNumPar1"/>
        <w:rPr>
          <w:noProof/>
        </w:rPr>
      </w:pPr>
      <w:r>
        <w:t>5.</w:t>
      </w:r>
      <w:r>
        <w:tab/>
      </w:r>
      <w:r>
        <w:rPr>
          <w:noProof/>
        </w:rPr>
        <w:t>Euroopa Parlament ja nõukogu kinnitavad ameti toetuseks kasuta</w:t>
      </w:r>
      <w:r>
        <w:rPr>
          <w:noProof/>
        </w:rPr>
        <w:t>tavad assigneeringud.</w:t>
      </w:r>
    </w:p>
    <w:p w:rsidR="00F4358D" w:rsidRDefault="00D1585A">
      <w:pPr>
        <w:pStyle w:val="ManualNumPar1"/>
        <w:rPr>
          <w:noProof/>
        </w:rPr>
      </w:pPr>
      <w:r>
        <w:t>6.</w:t>
      </w:r>
      <w:r>
        <w:tab/>
      </w:r>
      <w:r>
        <w:rPr>
          <w:noProof/>
        </w:rPr>
        <w:t>Euroopa Parlament ja nõukogu võtavad vastu ameti ametikohtade loetelu.</w:t>
      </w:r>
    </w:p>
    <w:p w:rsidR="00F4358D" w:rsidRDefault="00D1585A">
      <w:pPr>
        <w:pStyle w:val="ManualNumPar1"/>
        <w:rPr>
          <w:noProof/>
        </w:rPr>
      </w:pPr>
      <w:r>
        <w:t>7.</w:t>
      </w:r>
      <w:r>
        <w:tab/>
      </w:r>
      <w:r>
        <w:rPr>
          <w:noProof/>
        </w:rPr>
        <w:t>Haldusnõukogu võtab ameti eelarve vastu koos ühtse programmdokumendiga. See muutub lõplikuks pärast liidu üldeelarve lõplikku vastuvõtmist. Haldusnõukogu koh</w:t>
      </w:r>
      <w:r>
        <w:rPr>
          <w:noProof/>
        </w:rPr>
        <w:t>andab vajaduse korral ameti eelarvet ja ühtset programmdokumenti kooskõlas liidu üldeelarvega.</w:t>
      </w:r>
    </w:p>
    <w:p w:rsidR="00F4358D" w:rsidRDefault="00F4358D">
      <w:pPr>
        <w:spacing w:before="60"/>
        <w:rPr>
          <w:rFonts w:eastAsia="Times New Roman"/>
          <w:iCs/>
          <w:noProof/>
          <w:szCs w:val="24"/>
        </w:rPr>
      </w:pPr>
    </w:p>
    <w:p w:rsidR="00F4358D" w:rsidRDefault="00D1585A">
      <w:pPr>
        <w:pStyle w:val="Titrearticle"/>
        <w:spacing w:before="0" w:after="0"/>
        <w:rPr>
          <w:rFonts w:eastAsia="Times New Roman"/>
          <w:b/>
          <w:i w:val="0"/>
          <w:noProof/>
        </w:rPr>
      </w:pPr>
      <w:r>
        <w:rPr>
          <w:noProof/>
        </w:rPr>
        <w:t>Artikkel 27</w:t>
      </w:r>
      <w:r>
        <w:rPr>
          <w:noProof/>
        </w:rPr>
        <w:br/>
      </w:r>
      <w:r>
        <w:rPr>
          <w:b/>
          <w:noProof/>
        </w:rPr>
        <w:t>Eelarve struktuur</w:t>
      </w:r>
    </w:p>
    <w:p w:rsidR="00F4358D" w:rsidRDefault="00D1585A">
      <w:pPr>
        <w:pStyle w:val="ManualNumPar1"/>
        <w:rPr>
          <w:noProof/>
        </w:rPr>
      </w:pPr>
      <w:r>
        <w:t>1.</w:t>
      </w:r>
      <w:r>
        <w:tab/>
      </w:r>
      <w:r>
        <w:rPr>
          <w:noProof/>
        </w:rPr>
        <w:t>Ilma et see piiraks muid sissetulekuallikaid, koosnevad ameti tulud järgmistest vahenditest:</w:t>
      </w:r>
    </w:p>
    <w:p w:rsidR="00F4358D" w:rsidRDefault="00D1585A">
      <w:pPr>
        <w:pStyle w:val="Point2letter"/>
        <w:numPr>
          <w:ilvl w:val="5"/>
          <w:numId w:val="60"/>
        </w:numPr>
        <w:rPr>
          <w:noProof/>
        </w:rPr>
      </w:pPr>
      <w:r>
        <w:rPr>
          <w:noProof/>
        </w:rPr>
        <w:t>toetus liidu eelarvest;</w:t>
      </w:r>
    </w:p>
    <w:p w:rsidR="00F4358D" w:rsidRDefault="00D1585A">
      <w:pPr>
        <w:pStyle w:val="Point2letter"/>
        <w:numPr>
          <w:ilvl w:val="5"/>
          <w:numId w:val="60"/>
        </w:numPr>
        <w:rPr>
          <w:noProof/>
        </w:rPr>
      </w:pPr>
      <w:r>
        <w:rPr>
          <w:noProof/>
        </w:rPr>
        <w:t xml:space="preserve">tulu, mis </w:t>
      </w:r>
      <w:r>
        <w:rPr>
          <w:noProof/>
        </w:rPr>
        <w:t>on ette nähtud konkreetsete kuluartiklite rahastamiseks kooskõlas artiklis 29 osutatud finantseeskirjadega;</w:t>
      </w:r>
    </w:p>
    <w:p w:rsidR="00F4358D" w:rsidRDefault="00D1585A">
      <w:pPr>
        <w:pStyle w:val="Point2letter"/>
        <w:numPr>
          <w:ilvl w:val="5"/>
          <w:numId w:val="60"/>
        </w:numPr>
        <w:rPr>
          <w:noProof/>
        </w:rPr>
      </w:pPr>
      <w:r>
        <w:rPr>
          <w:noProof/>
        </w:rPr>
        <w:t>liidu rahalised vahendid delegeerimiskokkulepete või sihtotstarbeliste toetuste vormis kooskõlas artiklis 29 osutatud finantseeskirjadega ja liidu p</w:t>
      </w:r>
      <w:r>
        <w:rPr>
          <w:noProof/>
        </w:rPr>
        <w:t>oliitikat toetavate asjakohaste õigusaktide sätetega;</w:t>
      </w:r>
    </w:p>
    <w:p w:rsidR="00F4358D" w:rsidRDefault="00D1585A">
      <w:pPr>
        <w:pStyle w:val="Point2letter"/>
        <w:numPr>
          <w:ilvl w:val="5"/>
          <w:numId w:val="60"/>
        </w:numPr>
        <w:rPr>
          <w:noProof/>
        </w:rPr>
      </w:pPr>
      <w:r>
        <w:rPr>
          <w:noProof/>
        </w:rPr>
        <w:t>ameti töös osalevate kolmandate riikide rahaline osalus vastavalt artiklile 39;</w:t>
      </w:r>
    </w:p>
    <w:p w:rsidR="00F4358D" w:rsidRDefault="00D1585A">
      <w:pPr>
        <w:pStyle w:val="Point2letter"/>
        <w:numPr>
          <w:ilvl w:val="5"/>
          <w:numId w:val="60"/>
        </w:numPr>
        <w:rPr>
          <w:noProof/>
        </w:rPr>
      </w:pPr>
      <w:r>
        <w:rPr>
          <w:noProof/>
        </w:rPr>
        <w:t>liikmesriikide vabatahtlikud rahalised või mitterahalised osamaksed; vabatahtlikke osamakseid tegevad liikmesriigid ei või</w:t>
      </w:r>
      <w:r>
        <w:rPr>
          <w:noProof/>
        </w:rPr>
        <w:t xml:space="preserve"> sellega seoses nõuda mingit kindlat õigust ega teenust.</w:t>
      </w:r>
    </w:p>
    <w:p w:rsidR="00F4358D" w:rsidRDefault="00D1585A">
      <w:pPr>
        <w:pStyle w:val="ManualNumPar1"/>
        <w:rPr>
          <w:noProof/>
        </w:rPr>
      </w:pPr>
      <w:r>
        <w:t>2.</w:t>
      </w:r>
      <w:r>
        <w:tab/>
      </w:r>
      <w:r>
        <w:rPr>
          <w:noProof/>
        </w:rPr>
        <w:t>Ameti kulud hõlmavad muu hulgas personali- ja halduskulusid, tehnilise abi kulusid, taristu kulusid, tegevuskulusid ning kulusid, mis tulenevad kolmandate isikutega sõlmitud lepingutest.</w:t>
      </w:r>
    </w:p>
    <w:p w:rsidR="00F4358D" w:rsidRDefault="00F4358D">
      <w:pPr>
        <w:rPr>
          <w:noProof/>
        </w:rPr>
      </w:pPr>
    </w:p>
    <w:p w:rsidR="00F4358D" w:rsidRDefault="00D1585A">
      <w:pPr>
        <w:pStyle w:val="Titrearticle"/>
        <w:spacing w:before="0" w:after="0"/>
        <w:rPr>
          <w:b/>
          <w:i w:val="0"/>
          <w:noProof/>
        </w:rPr>
      </w:pPr>
      <w:r>
        <w:rPr>
          <w:noProof/>
        </w:rPr>
        <w:t>Artikkel</w:t>
      </w:r>
      <w:r>
        <w:rPr>
          <w:noProof/>
        </w:rPr>
        <w:t xml:space="preserve"> 28</w:t>
      </w:r>
      <w:r>
        <w:rPr>
          <w:noProof/>
        </w:rPr>
        <w:br/>
      </w:r>
      <w:r>
        <w:rPr>
          <w:b/>
          <w:noProof/>
        </w:rPr>
        <w:t>Eelarve täitmine</w:t>
      </w:r>
    </w:p>
    <w:p w:rsidR="00F4358D" w:rsidRDefault="00D1585A">
      <w:pPr>
        <w:pStyle w:val="ManualNumPar1"/>
        <w:rPr>
          <w:noProof/>
        </w:rPr>
      </w:pPr>
      <w:r>
        <w:t>1.</w:t>
      </w:r>
      <w:r>
        <w:tab/>
      </w:r>
      <w:r>
        <w:rPr>
          <w:noProof/>
        </w:rPr>
        <w:t>Tegevdirektor vastutab ameti eelarve täitmise eest.</w:t>
      </w:r>
    </w:p>
    <w:p w:rsidR="00F4358D" w:rsidRDefault="00D1585A">
      <w:pPr>
        <w:pStyle w:val="ManualNumPar1"/>
        <w:rPr>
          <w:noProof/>
        </w:rPr>
      </w:pPr>
      <w:r>
        <w:t>2.</w:t>
      </w:r>
      <w:r>
        <w:tab/>
      </w:r>
      <w:r>
        <w:rPr>
          <w:noProof/>
        </w:rPr>
        <w:t>Komisjoni siseaudiitoril on ameti suhtes samad volitused kui komisjoni talituste suhtes.</w:t>
      </w:r>
    </w:p>
    <w:p w:rsidR="00F4358D" w:rsidRDefault="00D1585A">
      <w:pPr>
        <w:pStyle w:val="ManualNumPar1"/>
        <w:rPr>
          <w:noProof/>
        </w:rPr>
      </w:pPr>
      <w:r>
        <w:t>3.</w:t>
      </w:r>
      <w:r>
        <w:tab/>
      </w:r>
      <w:r>
        <w:rPr>
          <w:noProof/>
        </w:rPr>
        <w:t>Ameti peaarvepidaja esitab järgmise eelarveaasta 1. märtsiks (1. märtsiks aastal N + </w:t>
      </w:r>
      <w:r>
        <w:rPr>
          <w:noProof/>
        </w:rPr>
        <w:t>1) komisjoni peaarvepidajale ja kontrollikojale esialgse raamatupidamise aastaaruande.</w:t>
      </w:r>
    </w:p>
    <w:p w:rsidR="00F4358D" w:rsidRDefault="00D1585A">
      <w:pPr>
        <w:pStyle w:val="ManualNumPar1"/>
        <w:rPr>
          <w:noProof/>
        </w:rPr>
      </w:pPr>
      <w:r>
        <w:t>4.</w:t>
      </w:r>
      <w:r>
        <w:tab/>
      </w:r>
      <w:r>
        <w:rPr>
          <w:noProof/>
        </w:rPr>
        <w:t>Olles kätte saanud kontrollikoja märkused esialgse raamatupidamisaruande kohta, koostab ameti peaarvepidaja omal vastutusel ameti lõpliku raamatupidamisaruande.</w:t>
      </w:r>
    </w:p>
    <w:p w:rsidR="00F4358D" w:rsidRDefault="00D1585A">
      <w:pPr>
        <w:pStyle w:val="ManualNumPar1"/>
        <w:rPr>
          <w:noProof/>
        </w:rPr>
      </w:pPr>
      <w:r>
        <w:t>5.</w:t>
      </w:r>
      <w:r>
        <w:tab/>
      </w:r>
      <w:r>
        <w:rPr>
          <w:noProof/>
        </w:rPr>
        <w:t>Te</w:t>
      </w:r>
      <w:r>
        <w:rPr>
          <w:noProof/>
        </w:rPr>
        <w:t>gevdirektor esitab lõpliku raamatupidamisaruande haldusnõukogule arvamuse saamiseks.</w:t>
      </w:r>
    </w:p>
    <w:p w:rsidR="00F4358D" w:rsidRDefault="00D1585A">
      <w:pPr>
        <w:pStyle w:val="ManualNumPar1"/>
        <w:rPr>
          <w:noProof/>
        </w:rPr>
      </w:pPr>
      <w:r>
        <w:t>6.</w:t>
      </w:r>
      <w:r>
        <w:tab/>
      </w:r>
      <w:r>
        <w:rPr>
          <w:noProof/>
        </w:rPr>
        <w:t>Hiljemalt N + 1 aasta 31. märtsiks edastab tegevdirektor eelarve täitmise ja finantsjuhtimise aruande Euroopa Parlamendile, nõukogule, komisjonile ja kontrollikojale.</w:t>
      </w:r>
    </w:p>
    <w:p w:rsidR="00F4358D" w:rsidRDefault="00D1585A">
      <w:pPr>
        <w:pStyle w:val="ManualNumPar1"/>
        <w:rPr>
          <w:noProof/>
        </w:rPr>
      </w:pPr>
      <w:r>
        <w:t>7</w:t>
      </w:r>
      <w:r>
        <w:t>.</w:t>
      </w:r>
      <w:r>
        <w:tab/>
      </w:r>
      <w:r>
        <w:rPr>
          <w:noProof/>
        </w:rPr>
        <w:t>Peaarvepidaja edastab N + 1 aasta 1. juuliks lõpliku raamatupidamisaruande ja haldusnõukogu arvamuse Euroopa Parlamendile, nõukogule, komisjoni peaarvepidajale ja kontrollikojale.</w:t>
      </w:r>
    </w:p>
    <w:p w:rsidR="00F4358D" w:rsidRDefault="00D1585A">
      <w:pPr>
        <w:pStyle w:val="ManualNumPar1"/>
        <w:rPr>
          <w:noProof/>
        </w:rPr>
      </w:pPr>
      <w:r>
        <w:t>8.</w:t>
      </w:r>
      <w:r>
        <w:tab/>
      </w:r>
      <w:r>
        <w:rPr>
          <w:noProof/>
        </w:rPr>
        <w:t xml:space="preserve">Lõpliku raamatupidamisaruande esitamise tähtpäevaga samaks kuupäevaks </w:t>
      </w:r>
      <w:r>
        <w:rPr>
          <w:noProof/>
        </w:rPr>
        <w:t>saadab peaarvepidaja kontrollikojale esitiskirja kõnealuse raamatupidamisaruande kohta ning selle koopia komisjoni peaarvepidajale.</w:t>
      </w:r>
    </w:p>
    <w:p w:rsidR="00F4358D" w:rsidRDefault="00D1585A">
      <w:pPr>
        <w:pStyle w:val="ManualNumPar1"/>
        <w:rPr>
          <w:noProof/>
        </w:rPr>
      </w:pPr>
      <w:r>
        <w:t>9.</w:t>
      </w:r>
      <w:r>
        <w:tab/>
      </w:r>
      <w:r>
        <w:rPr>
          <w:noProof/>
        </w:rPr>
        <w:t>Tegevdirektor avaldab lõpliku raamatupidamisaruande järgmise aasta 15. novembriks.</w:t>
      </w:r>
    </w:p>
    <w:p w:rsidR="00F4358D" w:rsidRDefault="00D1585A">
      <w:pPr>
        <w:pStyle w:val="ManualNumPar1"/>
        <w:rPr>
          <w:noProof/>
        </w:rPr>
      </w:pPr>
      <w:r>
        <w:t>10.</w:t>
      </w:r>
      <w:r>
        <w:tab/>
      </w:r>
      <w:r>
        <w:rPr>
          <w:noProof/>
        </w:rPr>
        <w:t>Tegevdirektor saadab hiljemalt N +</w:t>
      </w:r>
      <w:r>
        <w:rPr>
          <w:noProof/>
        </w:rPr>
        <w:t> 1 aasta 30. septembriks kontrollikojale vastuse selle märkuste kohta ning vastuse koopia haldusnõukogule ja komisjonile.</w:t>
      </w:r>
    </w:p>
    <w:p w:rsidR="00F4358D" w:rsidRDefault="00D1585A">
      <w:pPr>
        <w:pStyle w:val="ManualNumPar1"/>
        <w:rPr>
          <w:noProof/>
        </w:rPr>
      </w:pPr>
      <w:r>
        <w:t>11.</w:t>
      </w:r>
      <w:r>
        <w:tab/>
      </w:r>
      <w:r>
        <w:rPr>
          <w:noProof/>
        </w:rPr>
        <w:t>Tegevdirektor esitab taotluse korral Euroopa Parlamendile finantsmääruse artikli 165 lõike 3 kohaselt kogu teabe, mida on vaja kõn</w:t>
      </w:r>
      <w:r>
        <w:rPr>
          <w:noProof/>
        </w:rPr>
        <w:t>ealust eelarveaastat käsitleva eelarve täitmise aruande kinnitamismenetluse tõrgeteta rakendamiseks.</w:t>
      </w:r>
    </w:p>
    <w:p w:rsidR="00F4358D" w:rsidRDefault="00D1585A">
      <w:pPr>
        <w:pStyle w:val="ManualNumPar1"/>
        <w:rPr>
          <w:noProof/>
        </w:rPr>
      </w:pPr>
      <w:r>
        <w:t>12.</w:t>
      </w:r>
      <w:r>
        <w:tab/>
      </w:r>
      <w:r>
        <w:rPr>
          <w:noProof/>
        </w:rPr>
        <w:t>Euroopa Parlament annab nõukogu soovituse põhjal heakskiidu tegevdirektori tegevusele N aasta eelarve täitmise kohta enne N + 2 aasta 15. maid.</w:t>
      </w:r>
    </w:p>
    <w:p w:rsidR="00F4358D" w:rsidRDefault="00F4358D">
      <w:pPr>
        <w:ind w:left="360"/>
        <w:rPr>
          <w:noProof/>
          <w:szCs w:val="24"/>
        </w:rPr>
      </w:pPr>
    </w:p>
    <w:p w:rsidR="00F4358D" w:rsidRDefault="00D1585A">
      <w:pPr>
        <w:pStyle w:val="Titrearticle"/>
        <w:spacing w:before="0" w:after="0"/>
        <w:rPr>
          <w:b/>
          <w:i w:val="0"/>
          <w:noProof/>
        </w:rPr>
      </w:pPr>
      <w:r>
        <w:rPr>
          <w:noProof/>
        </w:rPr>
        <w:t>Artikkel 29</w:t>
      </w:r>
      <w:r>
        <w:rPr>
          <w:noProof/>
        </w:rPr>
        <w:br/>
      </w:r>
      <w:r>
        <w:rPr>
          <w:b/>
          <w:noProof/>
        </w:rPr>
        <w:t>Finantseeskirjad</w:t>
      </w:r>
    </w:p>
    <w:p w:rsidR="00F4358D" w:rsidRDefault="00D1585A">
      <w:pPr>
        <w:rPr>
          <w:bCs/>
          <w:noProof/>
          <w:szCs w:val="24"/>
        </w:rPr>
      </w:pPr>
      <w:r>
        <w:rPr>
          <w:noProof/>
        </w:rPr>
        <w:t xml:space="preserve">Haldusnõukogu võtab pärast komisjoniga konsulteerimist vastu ameti suhtes kohaldatavad finantseeskirjad. Need ei või lahkneda delegeeritud määrusest (EL) nr 1271/2013, välja arvatud juhul, kui see on konkreetselt vajalik ameti </w:t>
      </w:r>
      <w:r>
        <w:rPr>
          <w:noProof/>
        </w:rPr>
        <w:t>toimimiseks ja komisjon on selleks eelnevalt nõusoleku andnud.</w:t>
      </w:r>
    </w:p>
    <w:p w:rsidR="00F4358D" w:rsidRDefault="00D1585A">
      <w:pPr>
        <w:pStyle w:val="Titrearticle"/>
        <w:spacing w:before="0" w:after="0"/>
        <w:rPr>
          <w:rFonts w:eastAsia="Times New Roman"/>
          <w:b/>
          <w:i w:val="0"/>
          <w:noProof/>
        </w:rPr>
      </w:pPr>
      <w:r>
        <w:rPr>
          <w:noProof/>
        </w:rPr>
        <w:t xml:space="preserve">Artikkel </w:t>
      </w:r>
      <w:r>
        <w:rPr>
          <w:i w:val="0"/>
          <w:noProof/>
        </w:rPr>
        <w:t>30</w:t>
      </w:r>
      <w:r>
        <w:rPr>
          <w:noProof/>
        </w:rPr>
        <w:br/>
      </w:r>
      <w:r>
        <w:rPr>
          <w:b/>
          <w:noProof/>
        </w:rPr>
        <w:t>Pettuse tõkestamine</w:t>
      </w:r>
    </w:p>
    <w:p w:rsidR="00F4358D" w:rsidRDefault="00D1585A">
      <w:pPr>
        <w:pStyle w:val="ManualNumPar1"/>
        <w:rPr>
          <w:noProof/>
        </w:rPr>
      </w:pPr>
      <w:r>
        <w:t>1.</w:t>
      </w:r>
      <w:r>
        <w:tab/>
      </w:r>
      <w:r>
        <w:rPr>
          <w:noProof/>
        </w:rPr>
        <w:t>Selleks et lihtsustada võitlust pettuste, korruptsiooni ja muu ebaseadusliku tegevuse vastu vastavalt Euroopa Parlamendi ja nõukogu määrusele (EL, Euratom) nr</w:t>
      </w:r>
      <w:r>
        <w:rPr>
          <w:noProof/>
        </w:rPr>
        <w:t> 883/2013,</w:t>
      </w:r>
      <w:r>
        <w:rPr>
          <w:rStyle w:val="FootnoteReference"/>
          <w:noProof/>
        </w:rPr>
        <w:footnoteReference w:id="40"/>
      </w:r>
      <w:r>
        <w:rPr>
          <w:noProof/>
        </w:rPr>
        <w:t xml:space="preserve"> ühineb amet kuue kuu jooksul alates oma tegevuse algusest 25. mai 1999. aasta institutsioonidevahelise kokkuleppega Euroopa Pettustevastase Ameti (OLAF) sisejuurdluste kohta ja võtab vastu kõikide oma töötajate suhtes kohaldatavad asjakohased s</w:t>
      </w:r>
      <w:r>
        <w:rPr>
          <w:noProof/>
        </w:rPr>
        <w:t>ätted, kasutades kõnealuse kokkuleppe lisas esitatud vormi.</w:t>
      </w:r>
    </w:p>
    <w:p w:rsidR="00F4358D" w:rsidRDefault="00D1585A">
      <w:pPr>
        <w:pStyle w:val="ManualNumPar1"/>
        <w:rPr>
          <w:noProof/>
        </w:rPr>
      </w:pPr>
      <w:r>
        <w:t>2.</w:t>
      </w:r>
      <w:r>
        <w:tab/>
      </w:r>
      <w:r>
        <w:rPr>
          <w:noProof/>
        </w:rPr>
        <w:t>Kontrollikojal on õigus auditeerida dokumentide põhjal ja kohapeal kõiki toetusesaajaid, töövõtjaid ja alltöövõtjaid, keda amet on rahastanud liidu vahenditest.</w:t>
      </w:r>
    </w:p>
    <w:p w:rsidR="00F4358D" w:rsidRDefault="00D1585A">
      <w:pPr>
        <w:pStyle w:val="ManualNumPar1"/>
        <w:rPr>
          <w:noProof/>
        </w:rPr>
      </w:pPr>
      <w:r>
        <w:t>3.</w:t>
      </w:r>
      <w:r>
        <w:tab/>
      </w:r>
      <w:r>
        <w:rPr>
          <w:noProof/>
        </w:rPr>
        <w:t xml:space="preserve">OLAF võib korraldada Euroopa </w:t>
      </w:r>
      <w:r>
        <w:rPr>
          <w:noProof/>
        </w:rPr>
        <w:t>Parlamendi ja nõukogu määruses (EL, Euratom) nr 883/2013 ja nõukogu 11. novembri 1996. aasta määruses (Euratom, EÜ) nr 2185/96</w:t>
      </w:r>
      <w:r>
        <w:rPr>
          <w:rStyle w:val="FootnoteReference"/>
          <w:noProof/>
        </w:rPr>
        <w:footnoteReference w:id="41"/>
      </w:r>
      <w:r>
        <w:rPr>
          <w:noProof/>
        </w:rPr>
        <w:t xml:space="preserve"> (mis käsitleb komisjoni tehtavat kohapealset kontrolli ja inspekteerimist, et kaitsta Euroopa ühenduste finantshuve pettuste ja </w:t>
      </w:r>
      <w:r>
        <w:rPr>
          <w:noProof/>
        </w:rPr>
        <w:t xml:space="preserve">igasuguse muu eeskirjade eiramiste eest) sätestatud korras juurdlusi ja kohapealseid kontrolle eesmärgiga teha kindlaks, kas on esinenud pettust, korruptsiooni või muud ebaseaduslikku tegevust, mis mõjutab liidu finantshuve seoses ameti rahastatud toetuse </w:t>
      </w:r>
      <w:r>
        <w:rPr>
          <w:noProof/>
        </w:rPr>
        <w:t>või lepinguga.</w:t>
      </w:r>
    </w:p>
    <w:p w:rsidR="00F4358D" w:rsidRDefault="00D1585A">
      <w:pPr>
        <w:pStyle w:val="ManualNumPar1"/>
        <w:rPr>
          <w:noProof/>
        </w:rPr>
      </w:pPr>
      <w:r>
        <w:t>4.</w:t>
      </w:r>
      <w:r>
        <w:tab/>
      </w:r>
      <w:r>
        <w:rPr>
          <w:noProof/>
        </w:rPr>
        <w:t>Ilma et see piiraks lõigete 1, 2 ja 3 kohaldamist, sisaldavad ameti ning kolmandate riikide ja rahvusvaheliste organisatsioonide vahelised koostöölepingud ning lepingud, toetuslepingud ja toetuse määramise otsused sätteid, mis annavad kon</w:t>
      </w:r>
      <w:r>
        <w:rPr>
          <w:noProof/>
        </w:rPr>
        <w:t>trollikojale ja OLAFile sõnaselgelt õiguse selliste auditite ja juurdluste läbiviimiseks vastavalt nende pädevusele.</w:t>
      </w:r>
    </w:p>
    <w:p w:rsidR="00F4358D" w:rsidRDefault="00F4358D">
      <w:pPr>
        <w:spacing w:after="0"/>
        <w:rPr>
          <w:rFonts w:eastAsia="Times New Roman"/>
          <w:noProof/>
          <w:szCs w:val="24"/>
        </w:rPr>
      </w:pPr>
    </w:p>
    <w:p w:rsidR="00F4358D" w:rsidRDefault="00D1585A">
      <w:pPr>
        <w:pStyle w:val="ChapterTitle"/>
        <w:rPr>
          <w:noProof/>
        </w:rPr>
      </w:pPr>
      <w:bookmarkStart w:id="34" w:name="_Toc492216476"/>
      <w:r>
        <w:rPr>
          <w:noProof/>
        </w:rPr>
        <w:t>IV PEATÜKK</w:t>
      </w:r>
      <w:r>
        <w:rPr>
          <w:noProof/>
        </w:rPr>
        <w:br/>
        <w:t>AMETI PERSONAL</w:t>
      </w:r>
      <w:bookmarkEnd w:id="34"/>
      <w:r>
        <w:rPr>
          <w:noProof/>
        </w:rPr>
        <w:t xml:space="preserve"> </w:t>
      </w:r>
    </w:p>
    <w:p w:rsidR="00F4358D" w:rsidRDefault="00D1585A">
      <w:pPr>
        <w:pStyle w:val="Titrearticle"/>
        <w:spacing w:before="0" w:after="0"/>
        <w:rPr>
          <w:rFonts w:eastAsia="Times New Roman"/>
          <w:b/>
          <w:i w:val="0"/>
          <w:noProof/>
        </w:rPr>
      </w:pPr>
      <w:r>
        <w:rPr>
          <w:noProof/>
        </w:rPr>
        <w:t>Artikkel 31</w:t>
      </w:r>
      <w:r>
        <w:rPr>
          <w:noProof/>
        </w:rPr>
        <w:br/>
      </w:r>
      <w:r>
        <w:rPr>
          <w:b/>
          <w:noProof/>
        </w:rPr>
        <w:t>Üldsätted</w:t>
      </w:r>
    </w:p>
    <w:p w:rsidR="00F4358D" w:rsidRDefault="00D1585A">
      <w:pPr>
        <w:spacing w:after="0"/>
        <w:rPr>
          <w:rFonts w:eastAsia="Times New Roman"/>
          <w:noProof/>
          <w:szCs w:val="24"/>
        </w:rPr>
      </w:pPr>
      <w:r>
        <w:rPr>
          <w:noProof/>
        </w:rPr>
        <w:t>Ameti personali suhtes kohaldatakse personalieeskirju, muude teenistujate teenistustingim</w:t>
      </w:r>
      <w:r>
        <w:rPr>
          <w:noProof/>
        </w:rPr>
        <w:t>usi ja muid liidu institutsioonide kokkuleppega kõnealuste personalieeskirjade jõustamiseks vastu võetud eeskirju.</w:t>
      </w:r>
    </w:p>
    <w:p w:rsidR="00F4358D" w:rsidRDefault="00F4358D">
      <w:pPr>
        <w:spacing w:after="0"/>
        <w:rPr>
          <w:rFonts w:eastAsia="Times New Roman"/>
          <w:noProof/>
          <w:szCs w:val="24"/>
        </w:rPr>
      </w:pPr>
    </w:p>
    <w:p w:rsidR="00F4358D" w:rsidRDefault="00D1585A">
      <w:pPr>
        <w:pStyle w:val="Titrearticle"/>
        <w:spacing w:before="0" w:after="0"/>
        <w:rPr>
          <w:rFonts w:eastAsia="Times New Roman"/>
          <w:b/>
          <w:i w:val="0"/>
          <w:noProof/>
        </w:rPr>
      </w:pPr>
      <w:r>
        <w:rPr>
          <w:noProof/>
        </w:rPr>
        <w:t>Artikkel 32</w:t>
      </w:r>
      <w:r>
        <w:rPr>
          <w:noProof/>
        </w:rPr>
        <w:br/>
      </w:r>
      <w:r>
        <w:rPr>
          <w:b/>
          <w:noProof/>
        </w:rPr>
        <w:t>Privileegid ja immuniteedid</w:t>
      </w:r>
    </w:p>
    <w:p w:rsidR="00F4358D" w:rsidRDefault="00D1585A">
      <w:pPr>
        <w:spacing w:after="0"/>
        <w:rPr>
          <w:rFonts w:eastAsia="Times New Roman"/>
          <w:noProof/>
          <w:szCs w:val="24"/>
        </w:rPr>
      </w:pPr>
      <w:r>
        <w:rPr>
          <w:noProof/>
        </w:rPr>
        <w:t>Ameti ja selle personali suhtes kohaldatakse Euroopa Liidu lepingule ja ELi toimimise lepingule lisa</w:t>
      </w:r>
      <w:r>
        <w:rPr>
          <w:noProof/>
        </w:rPr>
        <w:t>tud protokolli nr 7 (Euroopa Liidu privileegide ja immuniteetide kohta).</w:t>
      </w:r>
    </w:p>
    <w:p w:rsidR="00F4358D" w:rsidRDefault="00F4358D">
      <w:pPr>
        <w:spacing w:after="0"/>
        <w:rPr>
          <w:rFonts w:eastAsia="Times New Roman"/>
          <w:noProof/>
          <w:szCs w:val="24"/>
        </w:rPr>
      </w:pPr>
    </w:p>
    <w:p w:rsidR="00F4358D" w:rsidRDefault="00D1585A">
      <w:pPr>
        <w:pStyle w:val="Titrearticle"/>
        <w:spacing w:before="0" w:after="0"/>
        <w:rPr>
          <w:rFonts w:eastAsia="Times New Roman"/>
          <w:b/>
          <w:i w:val="0"/>
          <w:noProof/>
        </w:rPr>
      </w:pPr>
      <w:r>
        <w:rPr>
          <w:noProof/>
        </w:rPr>
        <w:t>Artikkel 33</w:t>
      </w:r>
      <w:r>
        <w:rPr>
          <w:noProof/>
        </w:rPr>
        <w:br/>
      </w:r>
      <w:r>
        <w:rPr>
          <w:b/>
          <w:noProof/>
        </w:rPr>
        <w:t>Tegevdirektor</w:t>
      </w:r>
    </w:p>
    <w:p w:rsidR="00F4358D" w:rsidRDefault="00D1585A">
      <w:pPr>
        <w:pStyle w:val="ManualNumPar1"/>
        <w:rPr>
          <w:noProof/>
        </w:rPr>
      </w:pPr>
      <w:r>
        <w:t>1.</w:t>
      </w:r>
      <w:r>
        <w:tab/>
      </w:r>
      <w:r>
        <w:rPr>
          <w:noProof/>
        </w:rPr>
        <w:t>Tegevdirektor võetakse tööle ajutise teenistujana vastavalt Euroopa Liidu muude teenistujate teenistustingimuste artikli 2 punktile a.</w:t>
      </w:r>
    </w:p>
    <w:p w:rsidR="00F4358D" w:rsidRDefault="00D1585A">
      <w:pPr>
        <w:pStyle w:val="ManualNumPar1"/>
        <w:rPr>
          <w:noProof/>
        </w:rPr>
      </w:pPr>
      <w:r>
        <w:t>2.</w:t>
      </w:r>
      <w:r>
        <w:tab/>
      </w:r>
      <w:r>
        <w:rPr>
          <w:noProof/>
        </w:rPr>
        <w:t xml:space="preserve">Tegevdirektori </w:t>
      </w:r>
      <w:r>
        <w:rPr>
          <w:noProof/>
        </w:rPr>
        <w:t>nimetab ametisse haldusnõukogu komisjoni esitatud kandidaatide nimekirjast pärast avatud ja läbipaistvat valikumenetlust.</w:t>
      </w:r>
    </w:p>
    <w:p w:rsidR="00F4358D" w:rsidRDefault="00D1585A">
      <w:pPr>
        <w:pStyle w:val="ManualNumPar1"/>
        <w:rPr>
          <w:noProof/>
        </w:rPr>
      </w:pPr>
      <w:r>
        <w:t>3.</w:t>
      </w:r>
      <w:r>
        <w:tab/>
      </w:r>
      <w:r>
        <w:rPr>
          <w:noProof/>
        </w:rPr>
        <w:t>Tegevdirektoriga lepingu sõlmimisel esindab ametit haldusnõukogu esimees.</w:t>
      </w:r>
    </w:p>
    <w:p w:rsidR="00F4358D" w:rsidRDefault="00D1585A">
      <w:pPr>
        <w:pStyle w:val="ManualNumPar1"/>
        <w:rPr>
          <w:noProof/>
        </w:rPr>
      </w:pPr>
      <w:r>
        <w:t>4.</w:t>
      </w:r>
      <w:r>
        <w:tab/>
      </w:r>
      <w:r>
        <w:rPr>
          <w:noProof/>
        </w:rPr>
        <w:t>Enne ametisse määramist kutsutakse haldusnõukogu valit</w:t>
      </w:r>
      <w:r>
        <w:rPr>
          <w:noProof/>
        </w:rPr>
        <w:t>ud kandidaat esinema Euroopa Parlamendi pädeva komisjoni ette ja vastama parlamendiliikmete küsimustele.</w:t>
      </w:r>
    </w:p>
    <w:p w:rsidR="00F4358D" w:rsidRDefault="00D1585A">
      <w:pPr>
        <w:pStyle w:val="ManualNumPar1"/>
        <w:rPr>
          <w:noProof/>
        </w:rPr>
      </w:pPr>
      <w:r>
        <w:t>5.</w:t>
      </w:r>
      <w:r>
        <w:tab/>
      </w:r>
      <w:r>
        <w:rPr>
          <w:noProof/>
        </w:rPr>
        <w:t>Tegevdirektori ametiaeg on viis aastat. Selle aja lõpuks koostab komisjon hinnangu, milles võetakse arvesse tegevdirektori tegevuse hindamist ning a</w:t>
      </w:r>
      <w:r>
        <w:rPr>
          <w:noProof/>
        </w:rPr>
        <w:t>meti edasisi ülesandeid ja probleeme.</w:t>
      </w:r>
    </w:p>
    <w:p w:rsidR="00F4358D" w:rsidRDefault="00D1585A">
      <w:pPr>
        <w:pStyle w:val="ManualNumPar1"/>
        <w:rPr>
          <w:noProof/>
        </w:rPr>
      </w:pPr>
      <w:r>
        <w:t>6.</w:t>
      </w:r>
      <w:r>
        <w:tab/>
      </w:r>
      <w:r>
        <w:rPr>
          <w:noProof/>
        </w:rPr>
        <w:t>Tegevdirektori ametisse nimetamise, ametiaja pikendamise ja ametist tagandamise otsused teeb haldusnõukogu hääleõigusega liikmete kahekolmandikulise häälteenamusega.</w:t>
      </w:r>
    </w:p>
    <w:p w:rsidR="00F4358D" w:rsidRDefault="00D1585A">
      <w:pPr>
        <w:pStyle w:val="ManualNumPar1"/>
        <w:rPr>
          <w:noProof/>
        </w:rPr>
      </w:pPr>
      <w:r>
        <w:t>7.</w:t>
      </w:r>
      <w:r>
        <w:tab/>
      </w:r>
      <w:r>
        <w:rPr>
          <w:noProof/>
        </w:rPr>
        <w:t>Komisjoni ettepanekul, milles võetakse arvesse</w:t>
      </w:r>
      <w:r>
        <w:rPr>
          <w:noProof/>
        </w:rPr>
        <w:t xml:space="preserve"> lõikes 5 osutatud hinnangut, võib haldusnõukogu pikendada tegevdirektori ametiaega üks kord kuni viie aasta võrra.</w:t>
      </w:r>
    </w:p>
    <w:p w:rsidR="00F4358D" w:rsidRDefault="00D1585A">
      <w:pPr>
        <w:pStyle w:val="ManualNumPar1"/>
        <w:rPr>
          <w:noProof/>
        </w:rPr>
      </w:pPr>
      <w:r>
        <w:t>8.</w:t>
      </w:r>
      <w:r>
        <w:tab/>
      </w:r>
      <w:r>
        <w:rPr>
          <w:noProof/>
        </w:rPr>
        <w:t xml:space="preserve">Haldusnõukogu teatab tegevdirektori ametiaja pikendamise kavatsusest Euroopa Parlamendile. Kolme kuu jooksul enne ametiaja pikendamist </w:t>
      </w:r>
      <w:r>
        <w:rPr>
          <w:noProof/>
        </w:rPr>
        <w:t>esineb tegevdirektor Euroopa Parlamendi pädeva komisjoni kutsel selle ees ja vastab parlamendiliikmete küsimustele.</w:t>
      </w:r>
    </w:p>
    <w:p w:rsidR="00F4358D" w:rsidRDefault="00D1585A">
      <w:pPr>
        <w:pStyle w:val="ManualNumPar1"/>
        <w:rPr>
          <w:noProof/>
        </w:rPr>
      </w:pPr>
      <w:r>
        <w:t>9.</w:t>
      </w:r>
      <w:r>
        <w:tab/>
      </w:r>
      <w:r>
        <w:rPr>
          <w:noProof/>
        </w:rPr>
        <w:t>Tegevdirektor, kelle ametiaega on pikendatud, ei või osaleda samale ametikohale uue direktori valiku menetluses.</w:t>
      </w:r>
    </w:p>
    <w:p w:rsidR="00F4358D" w:rsidRDefault="00D1585A">
      <w:pPr>
        <w:pStyle w:val="ManualNumPar1"/>
        <w:rPr>
          <w:noProof/>
        </w:rPr>
      </w:pPr>
      <w:r>
        <w:t>10.</w:t>
      </w:r>
      <w:r>
        <w:tab/>
      </w:r>
      <w:r>
        <w:rPr>
          <w:noProof/>
        </w:rPr>
        <w:t xml:space="preserve">Tegevdirektori võib </w:t>
      </w:r>
      <w:r>
        <w:rPr>
          <w:noProof/>
        </w:rPr>
        <w:t>ametist tagandada üksnes otsusega, mille haldusnõukogu teeb komisjoni ettepaneku alusel.</w:t>
      </w:r>
    </w:p>
    <w:p w:rsidR="00F4358D" w:rsidRDefault="00F4358D">
      <w:pPr>
        <w:rPr>
          <w:noProof/>
        </w:rPr>
      </w:pPr>
    </w:p>
    <w:p w:rsidR="00F4358D" w:rsidRDefault="00D1585A">
      <w:pPr>
        <w:pStyle w:val="Titrearticle"/>
        <w:spacing w:before="0" w:after="0"/>
        <w:rPr>
          <w:rFonts w:eastAsia="Times New Roman"/>
          <w:b/>
          <w:i w:val="0"/>
          <w:noProof/>
        </w:rPr>
      </w:pPr>
      <w:r>
        <w:rPr>
          <w:noProof/>
        </w:rPr>
        <w:t>Artikkel 34</w:t>
      </w:r>
      <w:r>
        <w:rPr>
          <w:noProof/>
        </w:rPr>
        <w:br/>
      </w:r>
      <w:r>
        <w:rPr>
          <w:b/>
          <w:noProof/>
        </w:rPr>
        <w:t>Lähetatud riiklikud eksperdid ja muud töötajad</w:t>
      </w:r>
    </w:p>
    <w:p w:rsidR="00F4358D" w:rsidRDefault="00D1585A">
      <w:pPr>
        <w:pStyle w:val="ManualNumPar1"/>
        <w:rPr>
          <w:noProof/>
        </w:rPr>
      </w:pPr>
      <w:r>
        <w:t>1.</w:t>
      </w:r>
      <w:r>
        <w:tab/>
      </w:r>
      <w:r>
        <w:rPr>
          <w:noProof/>
        </w:rPr>
        <w:t>Amet võib kasutada riikide lähetatud eksperte või muid ametiväliseid töötajaid. Sellise personali suhtes</w:t>
      </w:r>
      <w:r>
        <w:rPr>
          <w:noProof/>
        </w:rPr>
        <w:t xml:space="preserve"> ei kohaldata personalieeskirju ega muude teenistujate teenistustingimusi.</w:t>
      </w:r>
    </w:p>
    <w:p w:rsidR="00F4358D" w:rsidRDefault="00D1585A">
      <w:pPr>
        <w:pStyle w:val="ManualNumPar1"/>
        <w:rPr>
          <w:noProof/>
        </w:rPr>
      </w:pPr>
      <w:r>
        <w:t>2.</w:t>
      </w:r>
      <w:r>
        <w:tab/>
      </w:r>
      <w:r>
        <w:rPr>
          <w:noProof/>
        </w:rPr>
        <w:t>Haldusnõukogu võtab vastu otsuse, milles sätestatakse riiklike ekspertide ametisse lähetamist käsitlevad eeskirjad.</w:t>
      </w:r>
    </w:p>
    <w:p w:rsidR="00F4358D" w:rsidRDefault="00F4358D">
      <w:pPr>
        <w:spacing w:after="0"/>
        <w:rPr>
          <w:rFonts w:eastAsia="Times New Roman"/>
          <w:noProof/>
          <w:szCs w:val="24"/>
        </w:rPr>
      </w:pPr>
    </w:p>
    <w:p w:rsidR="00F4358D" w:rsidRDefault="00D1585A">
      <w:pPr>
        <w:pStyle w:val="ChapterTitle"/>
        <w:rPr>
          <w:noProof/>
        </w:rPr>
      </w:pPr>
      <w:bookmarkStart w:id="35" w:name="_Toc492216477"/>
      <w:r>
        <w:rPr>
          <w:noProof/>
        </w:rPr>
        <w:t>V PEATÜKK</w:t>
      </w:r>
      <w:r>
        <w:rPr>
          <w:noProof/>
        </w:rPr>
        <w:br/>
        <w:t>ÜLDSÄTTED</w:t>
      </w:r>
      <w:bookmarkEnd w:id="35"/>
    </w:p>
    <w:p w:rsidR="00F4358D" w:rsidRDefault="00D1585A">
      <w:pPr>
        <w:pStyle w:val="Titrearticle"/>
        <w:spacing w:before="0" w:after="0"/>
        <w:rPr>
          <w:rFonts w:eastAsia="Times New Roman"/>
          <w:b/>
          <w:i w:val="0"/>
          <w:noProof/>
        </w:rPr>
      </w:pPr>
      <w:r>
        <w:rPr>
          <w:noProof/>
        </w:rPr>
        <w:t>Artikkel 35</w:t>
      </w:r>
      <w:r>
        <w:rPr>
          <w:noProof/>
        </w:rPr>
        <w:br/>
      </w:r>
      <w:r>
        <w:rPr>
          <w:b/>
          <w:i w:val="0"/>
          <w:noProof/>
        </w:rPr>
        <w:t xml:space="preserve">Ameti </w:t>
      </w:r>
      <w:r>
        <w:rPr>
          <w:b/>
          <w:noProof/>
        </w:rPr>
        <w:t>õiguslik seisund</w:t>
      </w:r>
    </w:p>
    <w:p w:rsidR="00F4358D" w:rsidRDefault="00D1585A">
      <w:pPr>
        <w:pStyle w:val="ManualNumPar1"/>
        <w:rPr>
          <w:noProof/>
        </w:rPr>
      </w:pPr>
      <w:r>
        <w:t>1.</w:t>
      </w:r>
      <w:r>
        <w:tab/>
      </w:r>
      <w:r>
        <w:rPr>
          <w:noProof/>
        </w:rPr>
        <w:t>Ame</w:t>
      </w:r>
      <w:r>
        <w:rPr>
          <w:noProof/>
        </w:rPr>
        <w:t>t on liidu asutus ja juriidiline isik.</w:t>
      </w:r>
    </w:p>
    <w:p w:rsidR="00F4358D" w:rsidRDefault="00D1585A">
      <w:pPr>
        <w:pStyle w:val="ManualNumPar1"/>
        <w:rPr>
          <w:noProof/>
        </w:rPr>
      </w:pPr>
      <w:r>
        <w:t>2.</w:t>
      </w:r>
      <w:r>
        <w:tab/>
      </w:r>
      <w:r>
        <w:rPr>
          <w:noProof/>
        </w:rPr>
        <w:t>Tal on kõikides liikmesriikides kõige ulatuslikum juriidilisele isikule siseriiklike õigusaktidega antud õigus- ja teovõime. Eelkõige võib amet omandada ja võõrandada vallas- ja kinnisvara ning olla kohtus menetlus</w:t>
      </w:r>
      <w:r>
        <w:rPr>
          <w:noProof/>
        </w:rPr>
        <w:t>osaliseks.</w:t>
      </w:r>
    </w:p>
    <w:p w:rsidR="00F4358D" w:rsidRDefault="00D1585A">
      <w:pPr>
        <w:pStyle w:val="ManualNumPar1"/>
        <w:rPr>
          <w:noProof/>
        </w:rPr>
      </w:pPr>
      <w:r>
        <w:t>3.</w:t>
      </w:r>
      <w:r>
        <w:tab/>
      </w:r>
      <w:r>
        <w:rPr>
          <w:noProof/>
        </w:rPr>
        <w:t>Ametit esindab tegevdirektor.</w:t>
      </w:r>
    </w:p>
    <w:p w:rsidR="00F4358D" w:rsidRDefault="00F4358D">
      <w:pPr>
        <w:jc w:val="center"/>
        <w:rPr>
          <w:rFonts w:eastAsia="Times New Roman"/>
          <w:noProof/>
          <w:szCs w:val="24"/>
        </w:rPr>
      </w:pPr>
    </w:p>
    <w:p w:rsidR="00F4358D" w:rsidRDefault="00D1585A">
      <w:pPr>
        <w:pStyle w:val="Titrearticle"/>
        <w:spacing w:before="0" w:after="0"/>
        <w:rPr>
          <w:rFonts w:eastAsia="Times New Roman"/>
          <w:b/>
          <w:i w:val="0"/>
          <w:noProof/>
        </w:rPr>
      </w:pPr>
      <w:r>
        <w:rPr>
          <w:noProof/>
        </w:rPr>
        <w:t>Artikkel 36</w:t>
      </w:r>
      <w:r>
        <w:rPr>
          <w:noProof/>
        </w:rPr>
        <w:br/>
      </w:r>
      <w:r>
        <w:rPr>
          <w:b/>
          <w:noProof/>
        </w:rPr>
        <w:t xml:space="preserve">Ameti vastutus </w:t>
      </w:r>
    </w:p>
    <w:p w:rsidR="00F4358D" w:rsidRDefault="00D1585A">
      <w:pPr>
        <w:pStyle w:val="ManualNumPar1"/>
        <w:rPr>
          <w:noProof/>
        </w:rPr>
      </w:pPr>
      <w:r>
        <w:t>1.</w:t>
      </w:r>
      <w:r>
        <w:tab/>
      </w:r>
      <w:r>
        <w:rPr>
          <w:noProof/>
        </w:rPr>
        <w:t>Ameti lepingulist vastutust reguleerib vastava lepingu suhtes kohaldatav õigus.</w:t>
      </w:r>
    </w:p>
    <w:p w:rsidR="00F4358D" w:rsidRDefault="00D1585A">
      <w:pPr>
        <w:pStyle w:val="ManualNumPar1"/>
        <w:rPr>
          <w:noProof/>
        </w:rPr>
      </w:pPr>
      <w:r>
        <w:t>2.</w:t>
      </w:r>
      <w:r>
        <w:tab/>
      </w:r>
      <w:r>
        <w:rPr>
          <w:noProof/>
        </w:rPr>
        <w:t>Ameti sõlmitud lepingus sisalduva vahekohtuklausli alusel kohtuotsuste tegemine kuulub Euroopa Li</w:t>
      </w:r>
      <w:r>
        <w:rPr>
          <w:noProof/>
        </w:rPr>
        <w:t>idu Kohtu pädevusse.</w:t>
      </w:r>
    </w:p>
    <w:p w:rsidR="00F4358D" w:rsidRDefault="00D1585A">
      <w:pPr>
        <w:pStyle w:val="ManualNumPar1"/>
        <w:rPr>
          <w:noProof/>
        </w:rPr>
      </w:pPr>
      <w:r>
        <w:t>3.</w:t>
      </w:r>
      <w:r>
        <w:tab/>
      </w:r>
      <w:r>
        <w:rPr>
          <w:noProof/>
        </w:rPr>
        <w:t>Lepinguvälise vastutuse korral hüvitab amet kõik kahjud, mida amet või selle teenistujad oma kohustuste täitmisel on tekitanud, vastavalt liikmesriikide seaduste ühistele üldpõhimõtetele.</w:t>
      </w:r>
    </w:p>
    <w:p w:rsidR="00F4358D" w:rsidRDefault="00D1585A">
      <w:pPr>
        <w:pStyle w:val="ManualNumPar1"/>
        <w:rPr>
          <w:noProof/>
        </w:rPr>
      </w:pPr>
      <w:r>
        <w:t>4.</w:t>
      </w:r>
      <w:r>
        <w:tab/>
      </w:r>
      <w:r>
        <w:rPr>
          <w:noProof/>
        </w:rPr>
        <w:t>Kõikide selliste kahjude hüvitamisega seo</w:t>
      </w:r>
      <w:r>
        <w:rPr>
          <w:noProof/>
        </w:rPr>
        <w:t>tud vaidluste lahendamine kuulub Euroopa Liidu Kohtu jurisdiktsiooni alla.</w:t>
      </w:r>
    </w:p>
    <w:p w:rsidR="00F4358D" w:rsidRDefault="00D1585A">
      <w:pPr>
        <w:pStyle w:val="ManualNumPar1"/>
        <w:rPr>
          <w:noProof/>
        </w:rPr>
      </w:pPr>
      <w:r>
        <w:t>5.</w:t>
      </w:r>
      <w:r>
        <w:tab/>
      </w:r>
      <w:r>
        <w:rPr>
          <w:noProof/>
        </w:rPr>
        <w:t>Teenistujate vastutust ameti ees reguleerivad ameti töötajate suhtes kohaldatavad sätted.</w:t>
      </w:r>
    </w:p>
    <w:p w:rsidR="00F4358D" w:rsidRDefault="00F4358D">
      <w:pPr>
        <w:rPr>
          <w:noProof/>
        </w:rPr>
      </w:pPr>
    </w:p>
    <w:p w:rsidR="00F4358D" w:rsidRDefault="00D1585A">
      <w:pPr>
        <w:pStyle w:val="Titrearticle"/>
        <w:spacing w:before="0" w:after="0"/>
        <w:rPr>
          <w:rFonts w:eastAsia="Times New Roman"/>
          <w:b/>
          <w:i w:val="0"/>
          <w:noProof/>
        </w:rPr>
      </w:pPr>
      <w:r>
        <w:rPr>
          <w:noProof/>
        </w:rPr>
        <w:t>Artikkel 37</w:t>
      </w:r>
      <w:r>
        <w:rPr>
          <w:noProof/>
        </w:rPr>
        <w:br/>
      </w:r>
      <w:r>
        <w:rPr>
          <w:b/>
          <w:noProof/>
        </w:rPr>
        <w:t>Kasutatavad keeled</w:t>
      </w:r>
    </w:p>
    <w:p w:rsidR="00F4358D" w:rsidRDefault="00D1585A">
      <w:pPr>
        <w:pStyle w:val="ManualNumPar1"/>
        <w:rPr>
          <w:noProof/>
        </w:rPr>
      </w:pPr>
      <w:r>
        <w:t>1.</w:t>
      </w:r>
      <w:r>
        <w:tab/>
      </w:r>
      <w:r>
        <w:rPr>
          <w:noProof/>
        </w:rPr>
        <w:t>Ameti suhtes kohaldatakse nõukogu määrust nr 1</w:t>
      </w:r>
      <w:r>
        <w:rPr>
          <w:rStyle w:val="FootnoteReference"/>
          <w:noProof/>
        </w:rPr>
        <w:footnoteReference w:id="42"/>
      </w:r>
      <w:r>
        <w:rPr>
          <w:noProof/>
        </w:rPr>
        <w:t>.Liikm</w:t>
      </w:r>
      <w:r>
        <w:rPr>
          <w:noProof/>
        </w:rPr>
        <w:t>esriigid ja teised nende poolt määratud asutused võivad pöörduda ameti poole ja saada vastuse nende poolt valitud liidu institutsioonide ametlikus keeles.</w:t>
      </w:r>
    </w:p>
    <w:p w:rsidR="00F4358D" w:rsidRDefault="00D1585A">
      <w:pPr>
        <w:pStyle w:val="ManualNumPar1"/>
        <w:rPr>
          <w:noProof/>
        </w:rPr>
      </w:pPr>
      <w:r>
        <w:t>2.</w:t>
      </w:r>
      <w:r>
        <w:tab/>
      </w:r>
      <w:r>
        <w:rPr>
          <w:noProof/>
        </w:rPr>
        <w:t>Ameti toimimiseks vajalikke tõlketeenuseid osutab Euroopa Liidu Asutuste Tõlkekeskus.</w:t>
      </w:r>
    </w:p>
    <w:p w:rsidR="00F4358D" w:rsidRDefault="00F4358D">
      <w:pPr>
        <w:rPr>
          <w:noProof/>
        </w:rPr>
      </w:pPr>
    </w:p>
    <w:p w:rsidR="00F4358D" w:rsidRDefault="00D1585A">
      <w:pPr>
        <w:pStyle w:val="Titrearticle"/>
        <w:spacing w:before="0" w:after="0"/>
        <w:rPr>
          <w:rFonts w:eastAsia="Times New Roman"/>
          <w:b/>
          <w:i w:val="0"/>
          <w:noProof/>
        </w:rPr>
      </w:pPr>
      <w:r>
        <w:rPr>
          <w:noProof/>
        </w:rPr>
        <w:t>Artikkel 38</w:t>
      </w:r>
      <w:r>
        <w:rPr>
          <w:noProof/>
        </w:rPr>
        <w:br/>
      </w:r>
      <w:r>
        <w:rPr>
          <w:b/>
          <w:noProof/>
        </w:rPr>
        <w:t>Isikuandmete kaitse</w:t>
      </w:r>
    </w:p>
    <w:p w:rsidR="00F4358D" w:rsidRDefault="00D1585A">
      <w:pPr>
        <w:pStyle w:val="ManualNumPar1"/>
        <w:rPr>
          <w:noProof/>
        </w:rPr>
      </w:pPr>
      <w:r>
        <w:t>1.</w:t>
      </w:r>
      <w:r>
        <w:tab/>
      </w:r>
      <w:r>
        <w:rPr>
          <w:noProof/>
        </w:rPr>
        <w:t>Amet kohaldab isikuandmete töötlemise suhtes Euroopa Parlamendi ja nõukogu määrust (EÜ) nr 45/2001</w:t>
      </w:r>
      <w:r>
        <w:rPr>
          <w:rStyle w:val="FootnoteReference"/>
          <w:noProof/>
        </w:rPr>
        <w:footnoteReference w:id="43"/>
      </w:r>
      <w:r>
        <w:rPr>
          <w:noProof/>
        </w:rPr>
        <w:t>.</w:t>
      </w:r>
    </w:p>
    <w:p w:rsidR="00F4358D" w:rsidRDefault="00D1585A">
      <w:pPr>
        <w:pStyle w:val="ManualNumPar1"/>
        <w:rPr>
          <w:noProof/>
        </w:rPr>
      </w:pPr>
      <w:r>
        <w:t>2.</w:t>
      </w:r>
      <w:r>
        <w:tab/>
      </w:r>
      <w:r>
        <w:rPr>
          <w:noProof/>
        </w:rPr>
        <w:t>Haldusnõukogu võtab vastu määruse (EÜ) nr 45/2001 artikli 24 lõikes 8 osutatud rakendusmeetmed. Haldusnõukogu võib võtta vastu t</w:t>
      </w:r>
      <w:r>
        <w:rPr>
          <w:noProof/>
        </w:rPr>
        <w:t>äiendavaid meetmeid, mida amet peab võtma määruse (EÜ) nr 45/2001 kohaldamiseks.</w:t>
      </w:r>
    </w:p>
    <w:p w:rsidR="00F4358D" w:rsidRDefault="00D1585A">
      <w:pPr>
        <w:pStyle w:val="Titrearticle"/>
        <w:spacing w:before="0" w:after="0"/>
        <w:rPr>
          <w:rFonts w:eastAsia="Times New Roman"/>
          <w:b/>
          <w:i w:val="0"/>
          <w:noProof/>
        </w:rPr>
      </w:pPr>
      <w:r>
        <w:rPr>
          <w:noProof/>
        </w:rPr>
        <w:t>Artikkel 39</w:t>
      </w:r>
      <w:r>
        <w:rPr>
          <w:noProof/>
        </w:rPr>
        <w:br/>
      </w:r>
      <w:r>
        <w:rPr>
          <w:b/>
          <w:noProof/>
        </w:rPr>
        <w:t>Koostöö kolmandate riikide ja rahvusvaheliste organisatsioonidega</w:t>
      </w:r>
    </w:p>
    <w:p w:rsidR="00F4358D" w:rsidRDefault="00D1585A">
      <w:pPr>
        <w:pStyle w:val="ManualNumPar1"/>
        <w:rPr>
          <w:noProof/>
        </w:rPr>
      </w:pPr>
      <w:r>
        <w:t>1.</w:t>
      </w:r>
      <w:r>
        <w:tab/>
      </w:r>
      <w:r>
        <w:rPr>
          <w:noProof/>
        </w:rPr>
        <w:t>Niivõrd kui see on vajalik käesoleva määruse eesmärkide saavutamiseks, võib amet teha koostööd</w:t>
      </w:r>
      <w:r>
        <w:rPr>
          <w:noProof/>
        </w:rPr>
        <w:t xml:space="preserve"> kolmandate riikide pädevate asutuste ja/või rahvusvaheliste organisatsioonidega. Selleks võib amet komisjoni eelneval nõusolekul leppida kolmandate riikide asutuste ja rahvusvaheliste organisatsioonidega kokku koostöökorra. Kõnealune koostöökord ei too li</w:t>
      </w:r>
      <w:r>
        <w:rPr>
          <w:noProof/>
        </w:rPr>
        <w:t>idule ega selle liikmesriikidele kaasa õiguslikke kohustusi.</w:t>
      </w:r>
    </w:p>
    <w:p w:rsidR="00F4358D" w:rsidRDefault="00D1585A">
      <w:pPr>
        <w:pStyle w:val="ManualNumPar1"/>
        <w:rPr>
          <w:noProof/>
        </w:rPr>
      </w:pPr>
      <w:r>
        <w:t>2.</w:t>
      </w:r>
      <w:r>
        <w:tab/>
      </w:r>
      <w:r>
        <w:rPr>
          <w:noProof/>
        </w:rPr>
        <w:t>Amet on osalemiseks avatud nendele kolmandatele riikidele, kes on sõlminud liiduga vastavad lepingud. Kõnealuste lepingute asjakohaste sätete alusel töötatakse välja kord, milles täpsustatakse</w:t>
      </w:r>
      <w:r>
        <w:rPr>
          <w:noProof/>
        </w:rPr>
        <w:t xml:space="preserve"> eelkõige nende riikide ameti töös osalemise olemust, ulatust ja viisi, sealhulgas sätteid, mis käsitlevad ameti esitatud algatustes osalemist, rahalist panust ja töötajaid. Personaliküsimustes peab kõnealune kord olema igal juhul kooskõlas personalieeskir</w:t>
      </w:r>
      <w:r>
        <w:rPr>
          <w:noProof/>
        </w:rPr>
        <w:t>jadega.</w:t>
      </w:r>
    </w:p>
    <w:p w:rsidR="00F4358D" w:rsidRDefault="00D1585A">
      <w:pPr>
        <w:pStyle w:val="ManualNumPar1"/>
        <w:rPr>
          <w:noProof/>
        </w:rPr>
      </w:pPr>
      <w:r>
        <w:t>3.</w:t>
      </w:r>
      <w:r>
        <w:tab/>
      </w:r>
      <w:r>
        <w:rPr>
          <w:noProof/>
        </w:rPr>
        <w:t>Haldusnõukogu võtab vastu strateegia, mis käsitleb kolmandate riikide või rahvusvaheliste organisatsioonidega arendatavaid suhteid ameti pädevusse kuuluvates küsimustes. Komisjon tagab, et amet tegutseb oma mandaadi piires ja olemasolevas instit</w:t>
      </w:r>
      <w:r>
        <w:rPr>
          <w:noProof/>
        </w:rPr>
        <w:t>utsioonilises raamistikus, leppides ameti tegevdirektoriga kokku asjakohase töökorra.</w:t>
      </w:r>
    </w:p>
    <w:p w:rsidR="00F4358D" w:rsidRDefault="00F4358D">
      <w:pPr>
        <w:rPr>
          <w:noProof/>
        </w:rPr>
      </w:pPr>
    </w:p>
    <w:p w:rsidR="00F4358D" w:rsidRDefault="00D1585A">
      <w:pPr>
        <w:pStyle w:val="Titrearticle"/>
        <w:spacing w:before="0" w:after="0"/>
        <w:rPr>
          <w:rFonts w:eastAsia="Times New Roman"/>
          <w:b/>
          <w:i w:val="0"/>
          <w:noProof/>
        </w:rPr>
      </w:pPr>
      <w:r>
        <w:rPr>
          <w:noProof/>
        </w:rPr>
        <w:t>Artikkel 40</w:t>
      </w:r>
      <w:r>
        <w:rPr>
          <w:noProof/>
        </w:rPr>
        <w:br/>
      </w:r>
      <w:r>
        <w:rPr>
          <w:b/>
          <w:noProof/>
        </w:rPr>
        <w:t xml:space="preserve">Julgeolekueeskirjad </w:t>
      </w:r>
      <w:r>
        <w:rPr>
          <w:b/>
          <w:i w:val="0"/>
          <w:noProof/>
        </w:rPr>
        <w:t>salastatud teabe ja tundliku, kuid salastamata teabe kaitse kohta</w:t>
      </w:r>
    </w:p>
    <w:p w:rsidR="00F4358D" w:rsidRDefault="00D1585A">
      <w:pPr>
        <w:spacing w:after="0"/>
        <w:rPr>
          <w:rFonts w:eastAsia="Times New Roman"/>
          <w:noProof/>
          <w:szCs w:val="24"/>
        </w:rPr>
      </w:pPr>
      <w:r>
        <w:rPr>
          <w:noProof/>
        </w:rPr>
        <w:t>Amet võtab komisjoniga konsulteerides vastu oma julgeolekueeskirjad, ko</w:t>
      </w:r>
      <w:r>
        <w:rPr>
          <w:noProof/>
        </w:rPr>
        <w:t>haldades julgeolekupõhimõtteid, mis sisalduvad komisjoni julgeolekueeskirjades, mis käsitlevad Euroopa Liidu salastatud teabe ja tundliku, kuid salastamata teabe kaitset ning mis on sätestatud komisjoni otsustes (EL, Euratom) 2015/443 ja 2015/444. See hõlm</w:t>
      </w:r>
      <w:r>
        <w:rPr>
          <w:noProof/>
        </w:rPr>
        <w:t>ab muu hulgas sellise teabe vahetust, töötlemist ja säilitamist.</w:t>
      </w:r>
    </w:p>
    <w:p w:rsidR="00F4358D" w:rsidRDefault="00F4358D">
      <w:pPr>
        <w:spacing w:after="0"/>
        <w:rPr>
          <w:rFonts w:eastAsia="Times New Roman"/>
          <w:strike/>
          <w:noProof/>
          <w:szCs w:val="24"/>
        </w:rPr>
      </w:pPr>
    </w:p>
    <w:p w:rsidR="00F4358D" w:rsidRDefault="00D1585A">
      <w:pPr>
        <w:pStyle w:val="Titrearticle"/>
        <w:spacing w:before="0" w:after="0"/>
        <w:rPr>
          <w:b/>
          <w:noProof/>
        </w:rPr>
      </w:pPr>
      <w:r>
        <w:rPr>
          <w:noProof/>
        </w:rPr>
        <w:t>Artikkel 41</w:t>
      </w:r>
      <w:r>
        <w:rPr>
          <w:noProof/>
        </w:rPr>
        <w:br/>
      </w:r>
      <w:r>
        <w:rPr>
          <w:b/>
          <w:noProof/>
        </w:rPr>
        <w:t>Peakorterileping ja tegutsemistingimused</w:t>
      </w:r>
    </w:p>
    <w:p w:rsidR="00F4358D" w:rsidRDefault="00D1585A">
      <w:pPr>
        <w:pStyle w:val="ManualNumPar1"/>
        <w:rPr>
          <w:noProof/>
        </w:rPr>
      </w:pPr>
      <w:r>
        <w:t>1.</w:t>
      </w:r>
      <w:r>
        <w:tab/>
      </w:r>
      <w:r>
        <w:rPr>
          <w:noProof/>
        </w:rPr>
        <w:t>Vajalikud kokkulepped, milles käsitletakse ametile asukohaliikmesriigis antavaid ruume ja selle liikmesriigi pakutavaid vahendeid ning</w:t>
      </w:r>
      <w:r>
        <w:rPr>
          <w:noProof/>
        </w:rPr>
        <w:t xml:space="preserve"> ameti asukohaliikmesriigis tegevdirektori, haldusnõukogu liikmete, ameti töötajate ja nende perekonnaliikmete suhtes kohaldatavaid erieeskirju, sätestatakse ameti ja vastuvõtva liikmesriigi vahelises peakorterilepingus, mis sõlmitakse pärast haldusnõukogu</w:t>
      </w:r>
      <w:r>
        <w:rPr>
          <w:noProof/>
        </w:rPr>
        <w:t xml:space="preserve"> heakskiidu saamist ja hiljemalt [kaks aastat pärast käesoleva määruse jõustumist].</w:t>
      </w:r>
    </w:p>
    <w:p w:rsidR="00F4358D" w:rsidRDefault="00D1585A">
      <w:pPr>
        <w:pStyle w:val="ManualNumPar1"/>
        <w:rPr>
          <w:noProof/>
        </w:rPr>
      </w:pPr>
      <w:r>
        <w:t>2.</w:t>
      </w:r>
      <w:r>
        <w:tab/>
      </w:r>
      <w:r>
        <w:rPr>
          <w:noProof/>
        </w:rPr>
        <w:t>Ameti asukohaliikmesriik tagab ametile parimad võimalikud tegutsemistingimused, et tagada ameti nõuetekohane toimimine, sealhulgas asukoha ligipääsetavus, sobivate harid</w:t>
      </w:r>
      <w:r>
        <w:rPr>
          <w:noProof/>
        </w:rPr>
        <w:t>usasutuste olemasolu töötajate laste jaoks, laste ja abikaasade piisav juurdepääs tööturule, sotsiaalkindlustusele ja arstiabile.</w:t>
      </w:r>
    </w:p>
    <w:p w:rsidR="00F4358D" w:rsidRDefault="00F4358D">
      <w:pPr>
        <w:rPr>
          <w:noProof/>
        </w:rPr>
      </w:pPr>
    </w:p>
    <w:p w:rsidR="00F4358D" w:rsidRDefault="00D1585A">
      <w:pPr>
        <w:pStyle w:val="Titrearticle"/>
        <w:spacing w:before="0" w:after="0"/>
        <w:rPr>
          <w:rFonts w:eastAsia="Times New Roman"/>
          <w:b/>
          <w:i w:val="0"/>
          <w:noProof/>
        </w:rPr>
      </w:pPr>
      <w:r>
        <w:rPr>
          <w:noProof/>
        </w:rPr>
        <w:t>Artikkel 42</w:t>
      </w:r>
      <w:r>
        <w:rPr>
          <w:noProof/>
        </w:rPr>
        <w:br/>
      </w:r>
      <w:r>
        <w:rPr>
          <w:b/>
          <w:noProof/>
        </w:rPr>
        <w:t>Halduskontroll</w:t>
      </w:r>
    </w:p>
    <w:p w:rsidR="00F4358D" w:rsidRDefault="00D1585A">
      <w:pPr>
        <w:spacing w:after="0"/>
        <w:rPr>
          <w:rFonts w:eastAsia="Times New Roman"/>
          <w:noProof/>
          <w:szCs w:val="24"/>
        </w:rPr>
      </w:pPr>
      <w:r>
        <w:rPr>
          <w:noProof/>
        </w:rPr>
        <w:t>Ameti tegevuse üle teostab järelevalvet ombudsman ELi toimimise lepingu artikli 228 kohaselt.</w:t>
      </w:r>
    </w:p>
    <w:p w:rsidR="00F4358D" w:rsidRDefault="00F4358D">
      <w:pPr>
        <w:spacing w:after="0"/>
        <w:rPr>
          <w:rFonts w:eastAsia="Times New Roman"/>
          <w:noProof/>
          <w:szCs w:val="24"/>
        </w:rPr>
      </w:pPr>
    </w:p>
    <w:p w:rsidR="00F4358D" w:rsidRDefault="00F4358D">
      <w:pPr>
        <w:spacing w:after="0"/>
        <w:rPr>
          <w:rFonts w:eastAsia="Times New Roman"/>
          <w:noProof/>
          <w:szCs w:val="24"/>
        </w:rPr>
      </w:pPr>
    </w:p>
    <w:p w:rsidR="00F4358D" w:rsidRDefault="00D1585A">
      <w:pPr>
        <w:pStyle w:val="PartTitle"/>
        <w:rPr>
          <w:noProof/>
        </w:rPr>
      </w:pPr>
      <w:bookmarkStart w:id="36" w:name="_Toc492216478"/>
      <w:r>
        <w:rPr>
          <w:noProof/>
        </w:rPr>
        <w:t>II</w:t>
      </w:r>
      <w:r>
        <w:rPr>
          <w:noProof/>
        </w:rPr>
        <w:t>I JAOTIS</w:t>
      </w:r>
      <w:r>
        <w:rPr>
          <w:noProof/>
        </w:rPr>
        <w:br/>
        <w:t>KÜBERTURVALISUSE SERTIFITSEERIMISE RAAMISTIK</w:t>
      </w:r>
      <w:bookmarkEnd w:id="36"/>
    </w:p>
    <w:p w:rsidR="00F4358D" w:rsidRDefault="00F4358D">
      <w:pPr>
        <w:tabs>
          <w:tab w:val="left" w:pos="4252"/>
        </w:tabs>
        <w:spacing w:after="0"/>
        <w:rPr>
          <w:noProof/>
        </w:rPr>
      </w:pPr>
    </w:p>
    <w:p w:rsidR="00F4358D" w:rsidRDefault="00D1585A">
      <w:pPr>
        <w:pStyle w:val="Titrearticle"/>
        <w:spacing w:before="0" w:after="0"/>
        <w:rPr>
          <w:b/>
          <w:noProof/>
        </w:rPr>
      </w:pPr>
      <w:r>
        <w:rPr>
          <w:noProof/>
        </w:rPr>
        <w:t>Artikkel 43</w:t>
      </w:r>
      <w:r>
        <w:rPr>
          <w:noProof/>
        </w:rPr>
        <w:br/>
      </w:r>
      <w:r>
        <w:rPr>
          <w:b/>
          <w:noProof/>
        </w:rPr>
        <w:t>Euroopa küberturvalisuse sertifitseerimise kavad</w:t>
      </w:r>
    </w:p>
    <w:p w:rsidR="00F4358D" w:rsidRDefault="00D1585A">
      <w:pPr>
        <w:rPr>
          <w:noProof/>
          <w:szCs w:val="24"/>
        </w:rPr>
      </w:pPr>
      <w:r>
        <w:rPr>
          <w:noProof/>
        </w:rPr>
        <w:t>Euroopa küberturvalisuse sertifitseerimise kava kinnitab, et selle kava kohaselt sertifitseeritud IKT tooted ja teenused vastavad kirjeldatu</w:t>
      </w:r>
      <w:r>
        <w:rPr>
          <w:noProof/>
        </w:rPr>
        <w:t>d nõuetele selles osas, mis puudutab nende võimet pidada teataval usaldusväärsuse tasemel vastu tegevustele, mille eesmärk on rikkuda salvestatud, edastatud või töödeldud andmete või nende toodete, protsesside, teenuste ja süsteemide funktsioonide või nend</w:t>
      </w:r>
      <w:r>
        <w:rPr>
          <w:noProof/>
        </w:rPr>
        <w:t>e poolt pakutavate või nende kaudu juurdepääsetavate teenuste käideldavust, autentsust, terviklust või konfidentsiaalsust.</w:t>
      </w:r>
    </w:p>
    <w:p w:rsidR="00F4358D" w:rsidRDefault="00F4358D">
      <w:pPr>
        <w:jc w:val="center"/>
        <w:rPr>
          <w:i/>
          <w:noProof/>
          <w:szCs w:val="24"/>
        </w:rPr>
      </w:pPr>
    </w:p>
    <w:p w:rsidR="00F4358D" w:rsidRDefault="00D1585A">
      <w:pPr>
        <w:pStyle w:val="Titrearticle"/>
        <w:spacing w:before="0" w:after="0"/>
        <w:rPr>
          <w:b/>
          <w:i w:val="0"/>
          <w:noProof/>
        </w:rPr>
      </w:pPr>
      <w:r>
        <w:rPr>
          <w:noProof/>
        </w:rPr>
        <w:t>Artikkel 44</w:t>
      </w:r>
      <w:r>
        <w:rPr>
          <w:noProof/>
        </w:rPr>
        <w:br/>
      </w:r>
      <w:r>
        <w:rPr>
          <w:b/>
          <w:noProof/>
        </w:rPr>
        <w:t>Euroopa küberturvalisuse sertifitseerimise kava ettevalmistamine ja vastuvõtmine</w:t>
      </w:r>
    </w:p>
    <w:p w:rsidR="00F4358D" w:rsidRDefault="00D1585A">
      <w:pPr>
        <w:pStyle w:val="ManualNumPar1"/>
        <w:rPr>
          <w:noProof/>
        </w:rPr>
      </w:pPr>
      <w:r>
        <w:t>1.</w:t>
      </w:r>
      <w:r>
        <w:tab/>
      </w:r>
      <w:r>
        <w:rPr>
          <w:noProof/>
        </w:rPr>
        <w:t>Komisjoni taotluse põhjal koostab EN</w:t>
      </w:r>
      <w:r>
        <w:rPr>
          <w:noProof/>
        </w:rPr>
        <w:t>ISA Euroopa küberturvalisuse sertifitseerimise ettevalmistava kava, mis vastab käesoleva määruse artiklites 45, 46 ja 47 sätestatud tingimustele. Liikmesriigid või artikliga 53 loodud Euroopa küberturvalisuse sertifitseerimise rühm (edaspidi „rühm“) võivad</w:t>
      </w:r>
      <w:r>
        <w:rPr>
          <w:noProof/>
        </w:rPr>
        <w:t xml:space="preserve"> teha komisjonile ettepaneku koostada Euroopa küberturvalisuse sertifitseerimise ettevalmistav kava.</w:t>
      </w:r>
    </w:p>
    <w:p w:rsidR="00F4358D" w:rsidRDefault="00D1585A">
      <w:pPr>
        <w:pStyle w:val="ManualNumPar1"/>
        <w:rPr>
          <w:noProof/>
        </w:rPr>
      </w:pPr>
      <w:r>
        <w:t>2.</w:t>
      </w:r>
      <w:r>
        <w:tab/>
      </w:r>
      <w:r>
        <w:rPr>
          <w:noProof/>
        </w:rPr>
        <w:t xml:space="preserve">Käesoleva artikli lõikes 1 osutatud ettevalmistavat kava koostades konsulteerib ENISA kõigi asjaomaste sidusrühmadega ja teeb rühmaga tihedat koostööd. </w:t>
      </w:r>
      <w:r>
        <w:rPr>
          <w:noProof/>
        </w:rPr>
        <w:t>Rühm pakub ENISA-le viimase taotluse korral abi ja eksperdinõu seoses ettevalmistava sertifitseerimiskava koostamisega, esitades vajaduse korral ka arvamusi.</w:t>
      </w:r>
    </w:p>
    <w:p w:rsidR="00F4358D" w:rsidRDefault="00D1585A">
      <w:pPr>
        <w:pStyle w:val="ManualNumPar1"/>
        <w:rPr>
          <w:noProof/>
        </w:rPr>
      </w:pPr>
      <w:r>
        <w:t>3.</w:t>
      </w:r>
      <w:r>
        <w:tab/>
      </w:r>
      <w:r>
        <w:rPr>
          <w:noProof/>
        </w:rPr>
        <w:t>ENISA edastab käesoleva artikli lõike 2 kohaselt koostatud Euroopa küberturvalisuse sertifitsee</w:t>
      </w:r>
      <w:r>
        <w:rPr>
          <w:noProof/>
        </w:rPr>
        <w:t>rimise ettevalmistava kava komisjonile.</w:t>
      </w:r>
    </w:p>
    <w:p w:rsidR="00F4358D" w:rsidRDefault="00D1585A">
      <w:pPr>
        <w:pStyle w:val="ManualNumPar1"/>
        <w:rPr>
          <w:noProof/>
        </w:rPr>
      </w:pPr>
      <w:r>
        <w:t>4.</w:t>
      </w:r>
      <w:r>
        <w:tab/>
      </w:r>
      <w:r>
        <w:rPr>
          <w:noProof/>
        </w:rPr>
        <w:t>Komisjon võib ENISA esitatud ettevalmistava kava põhjal võtta kooskõlas artikli 55 lõikega 2 vastu rakendusaktid, millega nähakse ette Euroopa küberturvalisuse sertifitseerimise kavad IKT toodete ja teenuste jaoks</w:t>
      </w:r>
      <w:r>
        <w:rPr>
          <w:noProof/>
        </w:rPr>
        <w:t>, mis vastavad käesoleva määruse artiklite 45, 46 ja 47 nõuetele.</w:t>
      </w:r>
    </w:p>
    <w:p w:rsidR="00F4358D" w:rsidRDefault="00D1585A">
      <w:pPr>
        <w:pStyle w:val="ManualNumPar1"/>
        <w:rPr>
          <w:noProof/>
        </w:rPr>
      </w:pPr>
      <w:r>
        <w:t>5.</w:t>
      </w:r>
      <w:r>
        <w:tab/>
      </w:r>
      <w:r>
        <w:rPr>
          <w:noProof/>
        </w:rPr>
        <w:t>ENISA haldab spetsiaalset veebilehte, mis pakub teavet Euroopa küberturvalisuse sertifitseerimise kavade kohta ja tutvustab neid.</w:t>
      </w:r>
    </w:p>
    <w:p w:rsidR="00F4358D" w:rsidRDefault="00F4358D">
      <w:pPr>
        <w:rPr>
          <w:i/>
          <w:noProof/>
          <w:szCs w:val="24"/>
        </w:rPr>
      </w:pPr>
    </w:p>
    <w:p w:rsidR="00F4358D" w:rsidRDefault="00D1585A">
      <w:pPr>
        <w:pStyle w:val="Titrearticle"/>
        <w:spacing w:before="0" w:after="0"/>
        <w:rPr>
          <w:b/>
          <w:i w:val="0"/>
          <w:noProof/>
        </w:rPr>
      </w:pPr>
      <w:r>
        <w:rPr>
          <w:noProof/>
        </w:rPr>
        <w:t>Artikkel 45</w:t>
      </w:r>
      <w:r>
        <w:rPr>
          <w:noProof/>
        </w:rPr>
        <w:br/>
      </w:r>
      <w:r>
        <w:rPr>
          <w:b/>
          <w:noProof/>
        </w:rPr>
        <w:t xml:space="preserve">Euroopa küberturvalisuse sertifitseerimise </w:t>
      </w:r>
      <w:r>
        <w:rPr>
          <w:b/>
          <w:noProof/>
        </w:rPr>
        <w:t>kavade turvalisusega seotud eesmärgid</w:t>
      </w:r>
    </w:p>
    <w:p w:rsidR="00F4358D" w:rsidRDefault="00D1585A">
      <w:pPr>
        <w:rPr>
          <w:noProof/>
          <w:szCs w:val="24"/>
        </w:rPr>
      </w:pPr>
      <w:r>
        <w:rPr>
          <w:noProof/>
        </w:rPr>
        <w:t>Euroopa küberturvalisuse sertifitseerimise kava peab olema koostatud nii, et võtta vajaduse korral arvesse järgmisi turvalisusega seotud eesmärke:</w:t>
      </w:r>
    </w:p>
    <w:p w:rsidR="00F4358D" w:rsidRDefault="00D1585A">
      <w:pPr>
        <w:pStyle w:val="Point1letter"/>
        <w:numPr>
          <w:ilvl w:val="3"/>
          <w:numId w:val="66"/>
        </w:numPr>
        <w:rPr>
          <w:noProof/>
        </w:rPr>
      </w:pPr>
      <w:r>
        <w:rPr>
          <w:noProof/>
        </w:rPr>
        <w:t>kaitsta salvestatud, edastatud või muul moel töödeldud andmeid juhuslik</w:t>
      </w:r>
      <w:r>
        <w:rPr>
          <w:noProof/>
        </w:rPr>
        <w:t>u või volitamata salvestamise, töötlemise, juurdepääsu või avalikustamise eest;</w:t>
      </w:r>
    </w:p>
    <w:p w:rsidR="00F4358D" w:rsidRDefault="00D1585A">
      <w:pPr>
        <w:pStyle w:val="Point1letter"/>
        <w:numPr>
          <w:ilvl w:val="3"/>
          <w:numId w:val="66"/>
        </w:numPr>
        <w:rPr>
          <w:noProof/>
        </w:rPr>
      </w:pPr>
      <w:r>
        <w:rPr>
          <w:noProof/>
        </w:rPr>
        <w:t>kaitsta salvestatud, edastatud või muul moel töödeldud andmeid juhusliku või volitamata hävitamise ja juhusliku kaotsimineku või muutmise eest;</w:t>
      </w:r>
    </w:p>
    <w:p w:rsidR="00F4358D" w:rsidRDefault="00D1585A">
      <w:pPr>
        <w:pStyle w:val="Point1letter"/>
        <w:numPr>
          <w:ilvl w:val="3"/>
          <w:numId w:val="66"/>
        </w:numPr>
        <w:rPr>
          <w:noProof/>
        </w:rPr>
      </w:pPr>
      <w:r>
        <w:rPr>
          <w:noProof/>
        </w:rPr>
        <w:t>tagada, et volitatud kasutajatel</w:t>
      </w:r>
      <w:r>
        <w:rPr>
          <w:noProof/>
        </w:rPr>
        <w:t>, programmidel ja masinatel oleks juurdepääs üksnes neile andmetele, teenustele või funktsioonidele, millele neil on juurdepääsuõigused;</w:t>
      </w:r>
    </w:p>
    <w:p w:rsidR="00F4358D" w:rsidRDefault="00D1585A">
      <w:pPr>
        <w:pStyle w:val="Point1letter"/>
        <w:numPr>
          <w:ilvl w:val="3"/>
          <w:numId w:val="66"/>
        </w:numPr>
        <w:rPr>
          <w:noProof/>
        </w:rPr>
      </w:pPr>
      <w:r>
        <w:rPr>
          <w:noProof/>
        </w:rPr>
        <w:t>talletada, milliseid andmeid, teenuseid või funktsioone on edastatud, millal ja kelle poolt;</w:t>
      </w:r>
    </w:p>
    <w:p w:rsidR="00F4358D" w:rsidRDefault="00D1585A">
      <w:pPr>
        <w:pStyle w:val="Point1letter"/>
        <w:numPr>
          <w:ilvl w:val="3"/>
          <w:numId w:val="66"/>
        </w:numPr>
        <w:rPr>
          <w:noProof/>
        </w:rPr>
      </w:pPr>
      <w:r>
        <w:rPr>
          <w:noProof/>
        </w:rPr>
        <w:t>tagada võimalus kontrollid</w:t>
      </w:r>
      <w:r>
        <w:rPr>
          <w:noProof/>
        </w:rPr>
        <w:t>a, millal ja kes on pääsenud juurde millistele andmetele, teenustele või funktsioonidele või neid kasutanud;</w:t>
      </w:r>
    </w:p>
    <w:p w:rsidR="00F4358D" w:rsidRDefault="00D1585A">
      <w:pPr>
        <w:pStyle w:val="Point1letter"/>
        <w:numPr>
          <w:ilvl w:val="3"/>
          <w:numId w:val="66"/>
        </w:numPr>
        <w:rPr>
          <w:noProof/>
        </w:rPr>
      </w:pPr>
      <w:r>
        <w:rPr>
          <w:noProof/>
        </w:rPr>
        <w:t>taastada füüsilise või tehnilise intsidendi korral õigeaegselt andmete, teenuste ja funktsioonide käideldavus ja juurdepääs neile;</w:t>
      </w:r>
    </w:p>
    <w:p w:rsidR="00F4358D" w:rsidRDefault="00D1585A">
      <w:pPr>
        <w:pStyle w:val="Point1letter"/>
        <w:numPr>
          <w:ilvl w:val="3"/>
          <w:numId w:val="66"/>
        </w:numPr>
        <w:rPr>
          <w:noProof/>
          <w:szCs w:val="24"/>
        </w:rPr>
      </w:pPr>
      <w:r>
        <w:rPr>
          <w:noProof/>
        </w:rPr>
        <w:t>tagada, et IKT t</w:t>
      </w:r>
      <w:r>
        <w:rPr>
          <w:noProof/>
        </w:rPr>
        <w:t>ooteid ja teenuseid pakutakse ajakohastatud tarkvaraga, mis ei sisalda teadaolevaid turvaauke, ning et olemas on mehhanismid turvaliseks tarkvara uuendamiseks.</w:t>
      </w:r>
    </w:p>
    <w:p w:rsidR="00F4358D" w:rsidRDefault="00F4358D">
      <w:pPr>
        <w:rPr>
          <w:noProof/>
          <w:szCs w:val="24"/>
        </w:rPr>
      </w:pPr>
    </w:p>
    <w:p w:rsidR="00F4358D" w:rsidRDefault="00D1585A">
      <w:pPr>
        <w:pStyle w:val="Titrearticle"/>
        <w:spacing w:before="0" w:after="0"/>
        <w:rPr>
          <w:b/>
          <w:i w:val="0"/>
          <w:noProof/>
        </w:rPr>
      </w:pPr>
      <w:r>
        <w:rPr>
          <w:noProof/>
        </w:rPr>
        <w:t>Artikkel 46</w:t>
      </w:r>
      <w:r>
        <w:rPr>
          <w:noProof/>
        </w:rPr>
        <w:br/>
      </w:r>
      <w:r>
        <w:rPr>
          <w:b/>
          <w:noProof/>
        </w:rPr>
        <w:t>Euroopa küberturvalisuse sertifitseerimise kavade usaldusväärsuse tasemed</w:t>
      </w:r>
    </w:p>
    <w:p w:rsidR="00F4358D" w:rsidRDefault="00D1585A">
      <w:pPr>
        <w:pStyle w:val="ManualNumPar1"/>
        <w:rPr>
          <w:noProof/>
        </w:rPr>
      </w:pPr>
      <w:r>
        <w:t>1.</w:t>
      </w:r>
      <w:r>
        <w:tab/>
      </w:r>
      <w:r>
        <w:rPr>
          <w:noProof/>
        </w:rPr>
        <w:t>Euroop</w:t>
      </w:r>
      <w:r>
        <w:rPr>
          <w:noProof/>
        </w:rPr>
        <w:t>a küberturvalisuse sertifitseerimise kavas määratakse selle kava raames sertifitseeritud IKT toodetele ja teenustele üks või mitu järgmist usaldusväärsuse taset: baastase, märkimisväärne ja/või kõrge tase.</w:t>
      </w:r>
    </w:p>
    <w:p w:rsidR="00F4358D" w:rsidRDefault="00D1585A">
      <w:pPr>
        <w:pStyle w:val="ManualNumPar1"/>
        <w:rPr>
          <w:noProof/>
        </w:rPr>
      </w:pPr>
      <w:r>
        <w:t>2.</w:t>
      </w:r>
      <w:r>
        <w:tab/>
      </w:r>
      <w:r>
        <w:rPr>
          <w:noProof/>
        </w:rPr>
        <w:t>Baastase, märkimisväärne ja kõrge usaldusväärsu</w:t>
      </w:r>
      <w:r>
        <w:rPr>
          <w:noProof/>
        </w:rPr>
        <w:t>se tase vastavad järgmistele tingimustele:</w:t>
      </w:r>
    </w:p>
    <w:p w:rsidR="00F4358D" w:rsidRDefault="00D1585A">
      <w:pPr>
        <w:pStyle w:val="Point1letter"/>
        <w:numPr>
          <w:ilvl w:val="3"/>
          <w:numId w:val="67"/>
        </w:numPr>
        <w:rPr>
          <w:noProof/>
        </w:rPr>
      </w:pPr>
      <w:r>
        <w:rPr>
          <w:noProof/>
        </w:rPr>
        <w:t>usaldusväärsuse baastase osutab Euroopa küberturvalisuse sertifitseerimise kava raames väljastatud sertifikaadile, mis annab piiratud usalduse IKT toote või teenuse väidetavate või kinnitatud küberturvalisuse omad</w:t>
      </w:r>
      <w:r>
        <w:rPr>
          <w:noProof/>
        </w:rPr>
        <w:t>uste vastu ning mille kirjeldamisel osutatakse sellega seotud tehnilistele kirjeldustele, standarditele ja menetlustele, sealhulgas tehnilisele kontrollile, mille eesmärk on vähendada küberturvalisuse intsidentide riski;</w:t>
      </w:r>
    </w:p>
    <w:p w:rsidR="00F4358D" w:rsidRDefault="00D1585A">
      <w:pPr>
        <w:pStyle w:val="Point1letter"/>
        <w:numPr>
          <w:ilvl w:val="3"/>
          <w:numId w:val="67"/>
        </w:numPr>
        <w:rPr>
          <w:noProof/>
        </w:rPr>
      </w:pPr>
      <w:r>
        <w:rPr>
          <w:noProof/>
        </w:rPr>
        <w:t>märkimisväärne usaldusväärsuse tase</w:t>
      </w:r>
      <w:r>
        <w:rPr>
          <w:noProof/>
        </w:rPr>
        <w:t xml:space="preserve"> osutab Euroopa küberturvalisuse sertifitseerimise kava raames väljastatud sertifikaadile, mis annab märkimisväärse usalduse IKT toote või teenuse väidetavate või kinnitatud küberturvalisuse omaduste vastu ning mille kirjeldamisel osutatakse sellega seotud</w:t>
      </w:r>
      <w:r>
        <w:rPr>
          <w:noProof/>
        </w:rPr>
        <w:t xml:space="preserve"> tehnilistele kirjeldustele, standarditele ja menetlustele, sealhulgas tehnilisele kontrollile, mille eesmärk on vähendada märkimisväärselt küberturvalisuse intsidentide riski;</w:t>
      </w:r>
    </w:p>
    <w:p w:rsidR="00F4358D" w:rsidRDefault="00D1585A">
      <w:pPr>
        <w:pStyle w:val="Point1letter"/>
        <w:numPr>
          <w:ilvl w:val="3"/>
          <w:numId w:val="67"/>
        </w:numPr>
        <w:rPr>
          <w:noProof/>
          <w:szCs w:val="24"/>
        </w:rPr>
      </w:pPr>
      <w:r>
        <w:rPr>
          <w:noProof/>
        </w:rPr>
        <w:t>kõrge usaldusväärsuse tase osutab Euroopa küberturvalisuse sertifitseerimise ka</w:t>
      </w:r>
      <w:r>
        <w:rPr>
          <w:noProof/>
        </w:rPr>
        <w:t>va raames väljastatud sertifikaadile, mis annab kõrgema usalduse IKT toote või teenuse väidetavate või kinnitatud küberturvalisuse omaduste vastu kui märkimisväärse usaldusväärsuse tasemega sertifikaat ning mille kirjeldamisel osutatakse sellega seotud teh</w:t>
      </w:r>
      <w:r>
        <w:rPr>
          <w:noProof/>
        </w:rPr>
        <w:t>nilistele kirjeldustele, standarditele ja menetlustele, sealhulgas tehnilisele kontrollile, mille eesmärk on vältida küberturvalisuse intsidente.</w:t>
      </w:r>
    </w:p>
    <w:p w:rsidR="00F4358D" w:rsidRDefault="00F4358D">
      <w:pPr>
        <w:rPr>
          <w:noProof/>
          <w:szCs w:val="24"/>
        </w:rPr>
      </w:pPr>
    </w:p>
    <w:p w:rsidR="00F4358D" w:rsidRDefault="00D1585A">
      <w:pPr>
        <w:pStyle w:val="Titrearticle"/>
        <w:spacing w:before="0" w:after="0"/>
        <w:rPr>
          <w:rFonts w:eastAsia="Times New Roman"/>
          <w:b/>
          <w:i w:val="0"/>
          <w:noProof/>
        </w:rPr>
      </w:pPr>
      <w:r>
        <w:rPr>
          <w:noProof/>
        </w:rPr>
        <w:t>Artikkel 47</w:t>
      </w:r>
      <w:r>
        <w:rPr>
          <w:noProof/>
        </w:rPr>
        <w:br/>
      </w:r>
      <w:r>
        <w:rPr>
          <w:b/>
          <w:noProof/>
        </w:rPr>
        <w:t>Euroopa küberturvalisuse sertifitseerimise kavade elemendid</w:t>
      </w:r>
    </w:p>
    <w:p w:rsidR="00F4358D" w:rsidRDefault="00D1585A">
      <w:pPr>
        <w:pStyle w:val="ManualNumPar1"/>
        <w:rPr>
          <w:noProof/>
        </w:rPr>
      </w:pPr>
      <w:r>
        <w:t>1.</w:t>
      </w:r>
      <w:r>
        <w:tab/>
      </w:r>
      <w:r>
        <w:rPr>
          <w:noProof/>
        </w:rPr>
        <w:t>Euroopa küberturvalisuse sertifits</w:t>
      </w:r>
      <w:r>
        <w:rPr>
          <w:noProof/>
        </w:rPr>
        <w:t>eerimise kava sisaldab järgmisi elemente:</w:t>
      </w:r>
    </w:p>
    <w:p w:rsidR="00F4358D" w:rsidRDefault="00D1585A">
      <w:pPr>
        <w:pStyle w:val="Point1letter"/>
        <w:numPr>
          <w:ilvl w:val="3"/>
          <w:numId w:val="68"/>
        </w:numPr>
        <w:rPr>
          <w:noProof/>
        </w:rPr>
      </w:pPr>
      <w:r>
        <w:rPr>
          <w:noProof/>
        </w:rPr>
        <w:t>sertifitseerimise sisu ja ulatus, sealhulgas hõlmatud IKT toodete ja teenuste liik või kategooria;</w:t>
      </w:r>
    </w:p>
    <w:p w:rsidR="00F4358D" w:rsidRDefault="00D1585A">
      <w:pPr>
        <w:pStyle w:val="Point1letter"/>
        <w:numPr>
          <w:ilvl w:val="3"/>
          <w:numId w:val="68"/>
        </w:numPr>
        <w:rPr>
          <w:noProof/>
        </w:rPr>
      </w:pPr>
      <w:r>
        <w:rPr>
          <w:noProof/>
        </w:rPr>
        <w:t>konkreetsete IKT toodete ja teenuste puhul hinnatavate küberturvalisuse nõuete üksikasjalik kirjeldus , näiteks vii</w:t>
      </w:r>
      <w:r>
        <w:rPr>
          <w:noProof/>
        </w:rPr>
        <w:t>dates liidu või rahvusvahelistele standarditele või tehnilistele kirjeldustele;</w:t>
      </w:r>
    </w:p>
    <w:p w:rsidR="00F4358D" w:rsidRDefault="00D1585A">
      <w:pPr>
        <w:pStyle w:val="Point1letter"/>
        <w:numPr>
          <w:ilvl w:val="3"/>
          <w:numId w:val="68"/>
        </w:numPr>
        <w:rPr>
          <w:noProof/>
        </w:rPr>
      </w:pPr>
      <w:r>
        <w:rPr>
          <w:noProof/>
        </w:rPr>
        <w:t>vajaduse korral üks või mitu usaldusväärsuse taset;</w:t>
      </w:r>
    </w:p>
    <w:p w:rsidR="00F4358D" w:rsidRDefault="00D1585A">
      <w:pPr>
        <w:pStyle w:val="Point1letter"/>
        <w:numPr>
          <w:ilvl w:val="3"/>
          <w:numId w:val="68"/>
        </w:numPr>
        <w:rPr>
          <w:noProof/>
        </w:rPr>
      </w:pPr>
      <w:r>
        <w:rPr>
          <w:noProof/>
        </w:rPr>
        <w:t>konkreetsed hindamiskriteeriumid ja meetodid, sealhulgas hindamise liigid, mida kasutati tõendamaks, et artiklis 45 osutatud</w:t>
      </w:r>
      <w:r>
        <w:rPr>
          <w:noProof/>
        </w:rPr>
        <w:t xml:space="preserve"> konkreetsed eesmärgid on täidetud;</w:t>
      </w:r>
    </w:p>
    <w:p w:rsidR="00F4358D" w:rsidRDefault="00D1585A">
      <w:pPr>
        <w:pStyle w:val="Point1letter"/>
        <w:numPr>
          <w:ilvl w:val="3"/>
          <w:numId w:val="68"/>
        </w:numPr>
        <w:rPr>
          <w:noProof/>
        </w:rPr>
      </w:pPr>
      <w:r>
        <w:rPr>
          <w:noProof/>
        </w:rPr>
        <w:t>sertifitseerimiseks vajalik teave, mille taotleja peab esitama vastavushindamisasutustele;</w:t>
      </w:r>
    </w:p>
    <w:p w:rsidR="00F4358D" w:rsidRDefault="00D1585A">
      <w:pPr>
        <w:pStyle w:val="Point1letter"/>
        <w:numPr>
          <w:ilvl w:val="3"/>
          <w:numId w:val="68"/>
        </w:numPr>
        <w:rPr>
          <w:noProof/>
        </w:rPr>
      </w:pPr>
      <w:r>
        <w:rPr>
          <w:noProof/>
        </w:rPr>
        <w:t>kui kava näeb ette märgi või märgistuse, tingimused sellise märgi või märgistuse kasutamiseks;</w:t>
      </w:r>
    </w:p>
    <w:p w:rsidR="00F4358D" w:rsidRDefault="00D1585A">
      <w:pPr>
        <w:pStyle w:val="Point1letter"/>
        <w:numPr>
          <w:ilvl w:val="3"/>
          <w:numId w:val="68"/>
        </w:numPr>
        <w:rPr>
          <w:noProof/>
        </w:rPr>
      </w:pPr>
      <w:r>
        <w:rPr>
          <w:noProof/>
        </w:rPr>
        <w:t>kui kava osaks on järelevalve, ees</w:t>
      </w:r>
      <w:r>
        <w:rPr>
          <w:noProof/>
        </w:rPr>
        <w:t>kirjad sertifikaatide nõuete täitmise kontrollimiseks, sealhulgas mehhanismid tõestamaks konkreetsete küberturvalisuse nõuete jätkuvat täitmist;</w:t>
      </w:r>
    </w:p>
    <w:p w:rsidR="00F4358D" w:rsidRDefault="00D1585A">
      <w:pPr>
        <w:pStyle w:val="Point1letter"/>
        <w:numPr>
          <w:ilvl w:val="3"/>
          <w:numId w:val="68"/>
        </w:numPr>
        <w:rPr>
          <w:noProof/>
        </w:rPr>
      </w:pPr>
      <w:r>
        <w:rPr>
          <w:noProof/>
        </w:rPr>
        <w:t>tingimused sertifitseerimise võimaldamiseks, säilitamiseks, jätkamiseks ning sertifitseerimise ulatuse laiendam</w:t>
      </w:r>
      <w:r>
        <w:rPr>
          <w:noProof/>
        </w:rPr>
        <w:t>iseks ja vähendamiseks;</w:t>
      </w:r>
    </w:p>
    <w:p w:rsidR="00F4358D" w:rsidRDefault="00D1585A">
      <w:pPr>
        <w:pStyle w:val="Point1letter"/>
        <w:numPr>
          <w:ilvl w:val="3"/>
          <w:numId w:val="68"/>
        </w:numPr>
        <w:rPr>
          <w:noProof/>
        </w:rPr>
      </w:pPr>
      <w:r>
        <w:rPr>
          <w:noProof/>
        </w:rPr>
        <w:t>eeskirjad sertifitseeritud IKT toodete ja teenuste sertifitseerimistingimustele mittevastavuse tagajärgede kohta;</w:t>
      </w:r>
    </w:p>
    <w:p w:rsidR="00F4358D" w:rsidRDefault="00D1585A">
      <w:pPr>
        <w:pStyle w:val="Point1letter"/>
        <w:numPr>
          <w:ilvl w:val="3"/>
          <w:numId w:val="68"/>
        </w:numPr>
        <w:rPr>
          <w:noProof/>
        </w:rPr>
      </w:pPr>
      <w:r>
        <w:rPr>
          <w:noProof/>
        </w:rPr>
        <w:t>eeskirjad selle kohta, kuidas tuleks IKT toodete ja teenuste varem avastamata küberturvalisuse nõrkustest teada anda j</w:t>
      </w:r>
      <w:r>
        <w:rPr>
          <w:noProof/>
        </w:rPr>
        <w:t>a kuidas neid menetleda;</w:t>
      </w:r>
    </w:p>
    <w:p w:rsidR="00F4358D" w:rsidRDefault="00D1585A">
      <w:pPr>
        <w:pStyle w:val="Point1letter"/>
        <w:numPr>
          <w:ilvl w:val="3"/>
          <w:numId w:val="68"/>
        </w:numPr>
        <w:rPr>
          <w:noProof/>
        </w:rPr>
      </w:pPr>
      <w:r>
        <w:rPr>
          <w:noProof/>
        </w:rPr>
        <w:t>eeskirjad andmete säilitamise kohta vastavushindamisasutuste poolt;</w:t>
      </w:r>
    </w:p>
    <w:p w:rsidR="00F4358D" w:rsidRDefault="00D1585A">
      <w:pPr>
        <w:pStyle w:val="Point1letter"/>
        <w:numPr>
          <w:ilvl w:val="3"/>
          <w:numId w:val="68"/>
        </w:numPr>
        <w:rPr>
          <w:noProof/>
          <w:szCs w:val="24"/>
        </w:rPr>
      </w:pPr>
      <w:r>
        <w:rPr>
          <w:noProof/>
        </w:rPr>
        <w:t>sama liiki või kategooriasse kuuluvaid IKT tooteid või teenuseid hõlmavate riiklike küberturvalisuse sertifitseerimise kavade kindlakstegemine;</w:t>
      </w:r>
    </w:p>
    <w:p w:rsidR="00F4358D" w:rsidRDefault="00D1585A">
      <w:pPr>
        <w:pStyle w:val="Point1letter"/>
        <w:numPr>
          <w:ilvl w:val="3"/>
          <w:numId w:val="68"/>
        </w:numPr>
        <w:rPr>
          <w:noProof/>
          <w:szCs w:val="24"/>
        </w:rPr>
      </w:pPr>
      <w:r>
        <w:rPr>
          <w:noProof/>
        </w:rPr>
        <w:t>väljastatud sertifi</w:t>
      </w:r>
      <w:r>
        <w:rPr>
          <w:noProof/>
        </w:rPr>
        <w:t>kaatide sisu.</w:t>
      </w:r>
    </w:p>
    <w:p w:rsidR="00F4358D" w:rsidRDefault="00D1585A">
      <w:pPr>
        <w:pStyle w:val="ManualNumPar1"/>
        <w:rPr>
          <w:noProof/>
        </w:rPr>
      </w:pPr>
      <w:r>
        <w:t>2.</w:t>
      </w:r>
      <w:r>
        <w:tab/>
      </w:r>
      <w:r>
        <w:rPr>
          <w:noProof/>
        </w:rPr>
        <w:t>Kavas kirjeldatud nõuded ei tohi minna vastuollu kohaldatavate õiguslike nõuetega, eelkõige liidu ühtlustatud õigusaktidest tulenevate nõuetega.</w:t>
      </w:r>
    </w:p>
    <w:p w:rsidR="00F4358D" w:rsidRDefault="00D1585A">
      <w:pPr>
        <w:pStyle w:val="ManualNumPar1"/>
        <w:rPr>
          <w:noProof/>
        </w:rPr>
      </w:pPr>
      <w:r>
        <w:t>3.</w:t>
      </w:r>
      <w:r>
        <w:tab/>
      </w:r>
      <w:r>
        <w:rPr>
          <w:noProof/>
        </w:rPr>
        <w:t xml:space="preserve">Kui konkreetses liidu õigusaktis on nii sätestatud, võib Euroopa küberturvalisuse </w:t>
      </w:r>
      <w:r>
        <w:rPr>
          <w:noProof/>
        </w:rPr>
        <w:t>sertifitseerimise kava kohast sertifitseerimist kasutada tõendamaks kõnealuse õigusakti nõuetele vastavuse eeldust.</w:t>
      </w:r>
    </w:p>
    <w:p w:rsidR="00F4358D" w:rsidRDefault="00D1585A">
      <w:pPr>
        <w:pStyle w:val="ManualNumPar1"/>
        <w:rPr>
          <w:noProof/>
        </w:rPr>
      </w:pPr>
      <w:r>
        <w:t>4.</w:t>
      </w:r>
      <w:r>
        <w:tab/>
      </w:r>
      <w:r>
        <w:rPr>
          <w:noProof/>
        </w:rPr>
        <w:t>Liidu ühtlustatud õigusaktide puudumisel võib liikmesriikide õigusaktides sätestada, et Euroopa küberturvalisuse sertifitseerimise kava v</w:t>
      </w:r>
      <w:r>
        <w:rPr>
          <w:noProof/>
        </w:rPr>
        <w:t>õib kasutada selleks, et teha kindlaks, kas võib eeldada vastavust õiguslikele nõuetele.</w:t>
      </w:r>
    </w:p>
    <w:p w:rsidR="00F4358D" w:rsidRDefault="00F4358D">
      <w:pPr>
        <w:rPr>
          <w:noProof/>
        </w:rPr>
      </w:pPr>
    </w:p>
    <w:p w:rsidR="00F4358D" w:rsidRDefault="00D1585A">
      <w:pPr>
        <w:pStyle w:val="Titrearticle"/>
        <w:spacing w:before="0" w:after="0"/>
        <w:rPr>
          <w:noProof/>
        </w:rPr>
      </w:pPr>
      <w:r>
        <w:rPr>
          <w:noProof/>
        </w:rPr>
        <w:t>Artikkel 48</w:t>
      </w:r>
      <w:r>
        <w:rPr>
          <w:noProof/>
        </w:rPr>
        <w:br/>
      </w:r>
      <w:r>
        <w:rPr>
          <w:b/>
          <w:noProof/>
        </w:rPr>
        <w:t>Küberturvalisuse sertifitseerimine</w:t>
      </w:r>
    </w:p>
    <w:p w:rsidR="00F4358D" w:rsidRDefault="00D1585A">
      <w:pPr>
        <w:pStyle w:val="ManualNumPar1"/>
        <w:rPr>
          <w:noProof/>
        </w:rPr>
      </w:pPr>
      <w:r>
        <w:t>1.</w:t>
      </w:r>
      <w:r>
        <w:tab/>
      </w:r>
      <w:r>
        <w:rPr>
          <w:noProof/>
        </w:rPr>
        <w:t>Kui IKT tooted ja teenused on sertifitseeritud Euroopa küberturvalisuse sertifitseerimise kava kohaselt, mis on vast</w:t>
      </w:r>
      <w:r>
        <w:rPr>
          <w:noProof/>
        </w:rPr>
        <w:t>u võetud kooskõlas artikliga 44, eeldatakse, et nad vastavad sellise kava nõuetele.</w:t>
      </w:r>
    </w:p>
    <w:p w:rsidR="00F4358D" w:rsidRDefault="00D1585A">
      <w:pPr>
        <w:pStyle w:val="ManualNumPar1"/>
        <w:rPr>
          <w:noProof/>
        </w:rPr>
      </w:pPr>
      <w:r>
        <w:t>2.</w:t>
      </w:r>
      <w:r>
        <w:tab/>
      </w:r>
      <w:r>
        <w:rPr>
          <w:noProof/>
        </w:rPr>
        <w:t>Sertifitseerimine on vabatahtlik, kui liidu õigusnormides ei ole sätestatud teisiti.</w:t>
      </w:r>
    </w:p>
    <w:p w:rsidR="00F4358D" w:rsidRDefault="00D1585A">
      <w:pPr>
        <w:pStyle w:val="ManualNumPar1"/>
        <w:rPr>
          <w:noProof/>
        </w:rPr>
      </w:pPr>
      <w:r>
        <w:t>3.</w:t>
      </w:r>
      <w:r>
        <w:tab/>
      </w:r>
      <w:r>
        <w:rPr>
          <w:noProof/>
        </w:rPr>
        <w:t>Käesoleva artikli kohase Euroopa küberturvalisuse sertifikaadi annavad välja arti</w:t>
      </w:r>
      <w:r>
        <w:rPr>
          <w:noProof/>
        </w:rPr>
        <w:t>klis 51 osutatud vastavushindamisasutused artikli 44 kohaselt vastu võetud Euroopa küberturvalisuse sertifitseerimise kavas sisalduvate kriteeriumide alusel.</w:t>
      </w:r>
    </w:p>
    <w:p w:rsidR="00F4358D" w:rsidRDefault="00D1585A">
      <w:pPr>
        <w:pStyle w:val="ManualNumPar1"/>
        <w:rPr>
          <w:noProof/>
        </w:rPr>
      </w:pPr>
      <w:r>
        <w:t>4.</w:t>
      </w:r>
      <w:r>
        <w:tab/>
      </w:r>
      <w:r>
        <w:rPr>
          <w:noProof/>
        </w:rPr>
        <w:t>Erandina lõikest 3 võib nõuetekohaselt põhjendatud juhtudel teatavas Euroopa küberturvalisuse s</w:t>
      </w:r>
      <w:r>
        <w:rPr>
          <w:noProof/>
        </w:rPr>
        <w:t>ertifitseerimise kavas ette näha, et sellest kavast tuleneva Euroopa küberturvalisuse sertifikaadi võib välja anda üksnes avalik-õiguslik asutus. Selline avalik-õiguslik asutus on üks järgnevatest asutustest:</w:t>
      </w:r>
    </w:p>
    <w:p w:rsidR="00F4358D" w:rsidRDefault="00D1585A">
      <w:pPr>
        <w:pStyle w:val="Point1letter"/>
        <w:numPr>
          <w:ilvl w:val="3"/>
          <w:numId w:val="76"/>
        </w:numPr>
        <w:rPr>
          <w:noProof/>
        </w:rPr>
      </w:pPr>
      <w:r>
        <w:rPr>
          <w:noProof/>
        </w:rPr>
        <w:t>artikli 50 lõikes 1 osutatud riiklik sertifitse</w:t>
      </w:r>
      <w:r>
        <w:rPr>
          <w:noProof/>
        </w:rPr>
        <w:t>erimise järelevalveasutus,</w:t>
      </w:r>
    </w:p>
    <w:p w:rsidR="00F4358D" w:rsidRDefault="00D1585A">
      <w:pPr>
        <w:pStyle w:val="Point1letter"/>
        <w:numPr>
          <w:ilvl w:val="3"/>
          <w:numId w:val="76"/>
        </w:numPr>
        <w:rPr>
          <w:noProof/>
        </w:rPr>
      </w:pPr>
      <w:r>
        <w:rPr>
          <w:noProof/>
        </w:rPr>
        <w:t>artikli 51 lõike 1 kohaselt vastavushindamisasutusena akrediteeritud asutus või</w:t>
      </w:r>
    </w:p>
    <w:p w:rsidR="00F4358D" w:rsidRDefault="00D1585A">
      <w:pPr>
        <w:pStyle w:val="Point1letter"/>
        <w:numPr>
          <w:ilvl w:val="3"/>
          <w:numId w:val="76"/>
        </w:numPr>
        <w:rPr>
          <w:noProof/>
        </w:rPr>
      </w:pPr>
      <w:r>
        <w:rPr>
          <w:noProof/>
        </w:rPr>
        <w:t>asjaomase liikmesriigi õigusaktide, seadusandlike dokumentide või muude ametlike haldusmenetluste kohaselt loodud asutus, mis vastab standardi ISO/IE</w:t>
      </w:r>
      <w:r>
        <w:rPr>
          <w:noProof/>
        </w:rPr>
        <w:t>C 17065:2012 nõuetele asutustele, kes sertifitseerivad tooteid, protsesse ja teenuseid.</w:t>
      </w:r>
    </w:p>
    <w:p w:rsidR="00F4358D" w:rsidRDefault="00D1585A">
      <w:pPr>
        <w:pStyle w:val="ManualNumPar1"/>
        <w:rPr>
          <w:noProof/>
        </w:rPr>
      </w:pPr>
      <w:r>
        <w:t>5.</w:t>
      </w:r>
      <w:r>
        <w:tab/>
      </w:r>
      <w:r>
        <w:rPr>
          <w:noProof/>
        </w:rPr>
        <w:t>Füüsiline või juriidiline isik, kes esitab oma IKT tooted või teenused sertifitseerimiseks, peab esitama artiklis 51 osutatud vastavushindamisasutusele kogu sertifit</w:t>
      </w:r>
      <w:r>
        <w:rPr>
          <w:noProof/>
        </w:rPr>
        <w:t>seerimismenetluse läbiviimiseks vajaliku teabe.</w:t>
      </w:r>
    </w:p>
    <w:p w:rsidR="00F4358D" w:rsidRDefault="00D1585A">
      <w:pPr>
        <w:pStyle w:val="ManualNumPar1"/>
        <w:rPr>
          <w:noProof/>
        </w:rPr>
      </w:pPr>
      <w:r>
        <w:t>6.</w:t>
      </w:r>
      <w:r>
        <w:tab/>
      </w:r>
      <w:r>
        <w:rPr>
          <w:noProof/>
        </w:rPr>
        <w:t>Sertifikaat antakse maksimaalselt kolmeks aastaks ja selle kehtivust võib pikendada samadel tingimustel senikaua, kuni asjakohased nõuded on täidetud.</w:t>
      </w:r>
    </w:p>
    <w:p w:rsidR="00F4358D" w:rsidRDefault="00D1585A">
      <w:pPr>
        <w:pStyle w:val="ManualNumPar1"/>
        <w:rPr>
          <w:noProof/>
        </w:rPr>
      </w:pPr>
      <w:r>
        <w:t>7.</w:t>
      </w:r>
      <w:r>
        <w:tab/>
      </w:r>
      <w:r>
        <w:rPr>
          <w:noProof/>
        </w:rPr>
        <w:t>Käesoleva artikli kohaselt välja antud Euroopa kübe</w:t>
      </w:r>
      <w:r>
        <w:rPr>
          <w:noProof/>
        </w:rPr>
        <w:t>rturvalisuse sertifikaati tunnustatakse kõigis liikmesriikides.</w:t>
      </w:r>
    </w:p>
    <w:p w:rsidR="00F4358D" w:rsidRDefault="00F4358D">
      <w:pPr>
        <w:rPr>
          <w:noProof/>
        </w:rPr>
      </w:pPr>
    </w:p>
    <w:p w:rsidR="00F4358D" w:rsidRDefault="00D1585A">
      <w:pPr>
        <w:pStyle w:val="Titrearticle"/>
        <w:spacing w:before="0" w:after="0"/>
        <w:rPr>
          <w:b/>
          <w:noProof/>
        </w:rPr>
      </w:pPr>
      <w:r>
        <w:rPr>
          <w:noProof/>
        </w:rPr>
        <w:t>Artikkel 49</w:t>
      </w:r>
      <w:r>
        <w:rPr>
          <w:noProof/>
        </w:rPr>
        <w:br/>
      </w:r>
      <w:r>
        <w:rPr>
          <w:b/>
          <w:noProof/>
        </w:rPr>
        <w:t>Riiklikud küberturvalisuse sertifitseerimise kavad ja sertifikaadid</w:t>
      </w:r>
    </w:p>
    <w:p w:rsidR="00F4358D" w:rsidRDefault="00D1585A">
      <w:pPr>
        <w:pStyle w:val="ManualNumPar1"/>
        <w:rPr>
          <w:noProof/>
        </w:rPr>
      </w:pPr>
      <w:r>
        <w:t>1.</w:t>
      </w:r>
      <w:r>
        <w:tab/>
      </w:r>
      <w:r>
        <w:rPr>
          <w:noProof/>
        </w:rPr>
        <w:t>Ilma et see piiraks lõike 3 kohaldamist, lõpeb riiklike küberturvalisuse sertifitseerimise kavade ja Euroopa</w:t>
      </w:r>
      <w:r>
        <w:rPr>
          <w:noProof/>
        </w:rPr>
        <w:t xml:space="preserve"> küberturvalisuse sertifitseerimise kavaga hõlmatud IKT toodete ja teenustega seotud menetluste õiguslik toime artikli 44 lõike 4 kohaselt vastu võetud rakendusaktis sätestatud kuupäeval. Olemasolevad riiklikud küberturvalisuse sertifitseerimise kavad ja E</w:t>
      </w:r>
      <w:r>
        <w:rPr>
          <w:noProof/>
        </w:rPr>
        <w:t>uroopa küberturvalisuse sertifitseerimise kavaga hõlmamata IKT toodete ja teenustega seotud menetlused jäävad alles.</w:t>
      </w:r>
    </w:p>
    <w:p w:rsidR="00F4358D" w:rsidRDefault="00D1585A">
      <w:pPr>
        <w:pStyle w:val="ManualNumPar1"/>
        <w:rPr>
          <w:noProof/>
        </w:rPr>
      </w:pPr>
      <w:r>
        <w:t>2.</w:t>
      </w:r>
      <w:r>
        <w:tab/>
      </w:r>
      <w:r>
        <w:rPr>
          <w:noProof/>
        </w:rPr>
        <w:t>Liikmesriigid ei kehtesta uusi riiklikke küberturvalisuse sertifitseerimise kavasid IKT toodetele ja teenustele, mis on kaetud kehtiva E</w:t>
      </w:r>
      <w:r>
        <w:rPr>
          <w:noProof/>
        </w:rPr>
        <w:t>uroopa küberturvalisuse sertifitseerimise kavaga.</w:t>
      </w:r>
    </w:p>
    <w:p w:rsidR="00F4358D" w:rsidRDefault="00D1585A">
      <w:pPr>
        <w:pStyle w:val="ManualNumPar1"/>
        <w:rPr>
          <w:noProof/>
        </w:rPr>
      </w:pPr>
      <w:r>
        <w:t>3.</w:t>
      </w:r>
      <w:r>
        <w:tab/>
      </w:r>
      <w:r>
        <w:rPr>
          <w:noProof/>
        </w:rPr>
        <w:t>Riiklike küberturvalisuse sertifitseerimise kavade alusel väljastatud sertifikaadid jäävad kehtima kuni oma kehtivusaja lõpuni.</w:t>
      </w:r>
    </w:p>
    <w:p w:rsidR="00F4358D" w:rsidRDefault="00F4358D">
      <w:pPr>
        <w:rPr>
          <w:noProof/>
        </w:rPr>
      </w:pPr>
    </w:p>
    <w:p w:rsidR="00F4358D" w:rsidRDefault="00D1585A">
      <w:pPr>
        <w:pStyle w:val="Titrearticle"/>
        <w:spacing w:before="0" w:after="0"/>
        <w:rPr>
          <w:rFonts w:eastAsia="Times New Roman"/>
          <w:b/>
          <w:noProof/>
        </w:rPr>
      </w:pPr>
      <w:r>
        <w:rPr>
          <w:noProof/>
        </w:rPr>
        <w:t>Artikkel 50</w:t>
      </w:r>
      <w:r>
        <w:rPr>
          <w:noProof/>
        </w:rPr>
        <w:br/>
      </w:r>
      <w:r>
        <w:rPr>
          <w:b/>
          <w:noProof/>
        </w:rPr>
        <w:t>Riiklikud sertifitseerimise järelevalveasutused</w:t>
      </w:r>
    </w:p>
    <w:p w:rsidR="00F4358D" w:rsidRDefault="00D1585A">
      <w:pPr>
        <w:pStyle w:val="ManualNumPar1"/>
        <w:rPr>
          <w:noProof/>
        </w:rPr>
      </w:pPr>
      <w:r>
        <w:t>1.</w:t>
      </w:r>
      <w:r>
        <w:tab/>
      </w:r>
      <w:r>
        <w:rPr>
          <w:noProof/>
        </w:rPr>
        <w:t>Iga liikmes</w:t>
      </w:r>
      <w:r>
        <w:rPr>
          <w:noProof/>
        </w:rPr>
        <w:t>riik määrab riikliku sertifitseerimise järelevalveasutuse.</w:t>
      </w:r>
    </w:p>
    <w:p w:rsidR="00F4358D" w:rsidRDefault="00D1585A">
      <w:pPr>
        <w:pStyle w:val="ManualNumPar1"/>
        <w:rPr>
          <w:noProof/>
        </w:rPr>
      </w:pPr>
      <w:r>
        <w:t>2.</w:t>
      </w:r>
      <w:r>
        <w:tab/>
      </w:r>
      <w:r>
        <w:rPr>
          <w:noProof/>
        </w:rPr>
        <w:t>Iga liikmesriik teatab komisjonile määratud asutuse andmed.</w:t>
      </w:r>
    </w:p>
    <w:p w:rsidR="00F4358D" w:rsidRDefault="00D1585A">
      <w:pPr>
        <w:pStyle w:val="ManualNumPar1"/>
        <w:rPr>
          <w:noProof/>
        </w:rPr>
      </w:pPr>
      <w:r>
        <w:t>3.</w:t>
      </w:r>
      <w:r>
        <w:tab/>
      </w:r>
      <w:r>
        <w:rPr>
          <w:noProof/>
        </w:rPr>
        <w:t>Iga riiklik sertifitseerimise järelevalveasutus on oma organisatsiooni, rahastamisotsuste, õigusliku struktuuri ja otsuste tegemise</w:t>
      </w:r>
      <w:r>
        <w:rPr>
          <w:noProof/>
        </w:rPr>
        <w:t xml:space="preserve"> poolest sõltumatu üksustest, mille üle ta järelevalvet teostab.</w:t>
      </w:r>
    </w:p>
    <w:p w:rsidR="00F4358D" w:rsidRDefault="00D1585A">
      <w:pPr>
        <w:pStyle w:val="ManualNumPar1"/>
        <w:rPr>
          <w:noProof/>
        </w:rPr>
      </w:pPr>
      <w:r>
        <w:t>4.</w:t>
      </w:r>
      <w:r>
        <w:tab/>
      </w:r>
      <w:r>
        <w:rPr>
          <w:noProof/>
        </w:rPr>
        <w:t>Liikmesriigid tagavad, et riiklikel sertifitseerimise järelevalveasutustel on piisavad ressursid oma volituste rakendamiseks ning oma ülesannete tulemuslikuks ja tõhusaks täitmiseks.</w:t>
      </w:r>
    </w:p>
    <w:p w:rsidR="00F4358D" w:rsidRDefault="00D1585A">
      <w:pPr>
        <w:pStyle w:val="ManualNumPar1"/>
        <w:rPr>
          <w:noProof/>
        </w:rPr>
      </w:pPr>
      <w:r>
        <w:t>5.</w:t>
      </w:r>
      <w:r>
        <w:tab/>
      </w:r>
      <w:r>
        <w:rPr>
          <w:noProof/>
        </w:rPr>
        <w:t>Mä</w:t>
      </w:r>
      <w:r>
        <w:rPr>
          <w:noProof/>
        </w:rPr>
        <w:t>äruse tõhusaks rakendamiseks on asjakohane, et need asutused osaleksid aktiivselt, tõhusalt, tulemuslikult ja turvaliselt artikli 53 kohaselt asutatud Euroopa küberturvalisuse sertifitseerimise rühma töös.</w:t>
      </w:r>
    </w:p>
    <w:p w:rsidR="00F4358D" w:rsidRDefault="00D1585A">
      <w:pPr>
        <w:pStyle w:val="ManualNumPar1"/>
        <w:rPr>
          <w:noProof/>
        </w:rPr>
      </w:pPr>
      <w:r>
        <w:t>6.</w:t>
      </w:r>
      <w:r>
        <w:tab/>
      </w:r>
      <w:r>
        <w:rPr>
          <w:noProof/>
        </w:rPr>
        <w:t>Riiklikud sertifitseerimise järelevalveasutused</w:t>
      </w:r>
      <w:r>
        <w:rPr>
          <w:noProof/>
        </w:rPr>
        <w:t>:</w:t>
      </w:r>
    </w:p>
    <w:p w:rsidR="00F4358D" w:rsidRDefault="00D1585A">
      <w:pPr>
        <w:pStyle w:val="Point1letter"/>
        <w:numPr>
          <w:ilvl w:val="3"/>
          <w:numId w:val="69"/>
        </w:numPr>
        <w:rPr>
          <w:noProof/>
          <w:szCs w:val="24"/>
        </w:rPr>
      </w:pPr>
      <w:r>
        <w:rPr>
          <w:noProof/>
        </w:rPr>
        <w:t>jälgivad käesoleva jaotise sätete kohaldamist riiklikul tasandil ja tagavad nende täitmise ning teevad järelevalvet nende riigi territooriumil asutatud vastavushindamisasutuse poolt välja antud sertifikaatide vastavuse üle käesolevas jaotises ja vastavas</w:t>
      </w:r>
      <w:r>
        <w:rPr>
          <w:noProof/>
        </w:rPr>
        <w:t xml:space="preserve"> Euroopa küberturvalisuse sertifikaadi kavas sätestatud nõuetele;</w:t>
      </w:r>
    </w:p>
    <w:p w:rsidR="00F4358D" w:rsidRDefault="00D1585A">
      <w:pPr>
        <w:pStyle w:val="Point1letter"/>
        <w:numPr>
          <w:ilvl w:val="3"/>
          <w:numId w:val="69"/>
        </w:numPr>
        <w:rPr>
          <w:noProof/>
          <w:szCs w:val="24"/>
        </w:rPr>
      </w:pPr>
      <w:r>
        <w:rPr>
          <w:noProof/>
        </w:rPr>
        <w:t>jälgivad ja kontrollivad vastavushindamisasutuste tegevust käesoleva määruse kohaldamisel, sealhulgas seoses käesoleva määruse artiklis 52 sätestatud vastavushindamisasutustest teavitamise j</w:t>
      </w:r>
      <w:r>
        <w:rPr>
          <w:noProof/>
        </w:rPr>
        <w:t>a sellega seotud ülesannetega;</w:t>
      </w:r>
    </w:p>
    <w:p w:rsidR="00F4358D" w:rsidRDefault="00D1585A">
      <w:pPr>
        <w:pStyle w:val="Point1letter"/>
        <w:numPr>
          <w:ilvl w:val="3"/>
          <w:numId w:val="69"/>
        </w:numPr>
        <w:rPr>
          <w:noProof/>
          <w:szCs w:val="24"/>
        </w:rPr>
      </w:pPr>
      <w:r>
        <w:rPr>
          <w:noProof/>
        </w:rPr>
        <w:t>käsitlevad füüsiliste või juriidiliste isikute esitatud kaebusi seoses nende riigi territooriumil asutatud vastavushindamisasutuste väljastatud sertifikaatidega, uurivad asjakohasel määral kaebuse sisu ja teavitavad kaebuse e</w:t>
      </w:r>
      <w:r>
        <w:rPr>
          <w:noProof/>
        </w:rPr>
        <w:t>sitajat mõistliku aja jooksul uurimise käigust ja tulemusest;</w:t>
      </w:r>
    </w:p>
    <w:p w:rsidR="00F4358D" w:rsidRDefault="00D1585A">
      <w:pPr>
        <w:pStyle w:val="Point1letter"/>
        <w:numPr>
          <w:ilvl w:val="3"/>
          <w:numId w:val="69"/>
        </w:numPr>
        <w:rPr>
          <w:noProof/>
          <w:szCs w:val="24"/>
        </w:rPr>
      </w:pPr>
      <w:r>
        <w:rPr>
          <w:noProof/>
        </w:rPr>
        <w:t>teevad koostööd teiste riiklike sertifitseerimise järelevalveasutuste või muude avaliku sektori asutusega, sealhulgas jagades teavet IKT toodete ja teenuste võimaliku mittevastavuse kohta käesol</w:t>
      </w:r>
      <w:r>
        <w:rPr>
          <w:noProof/>
        </w:rPr>
        <w:t>eva määruse või konkreetsete Euroopa küberturvalisuse sertifitseerimise kavade nõuetele;</w:t>
      </w:r>
    </w:p>
    <w:p w:rsidR="00F4358D" w:rsidRDefault="00D1585A">
      <w:pPr>
        <w:pStyle w:val="Point1letter"/>
        <w:numPr>
          <w:ilvl w:val="3"/>
          <w:numId w:val="69"/>
        </w:numPr>
        <w:rPr>
          <w:noProof/>
          <w:szCs w:val="24"/>
        </w:rPr>
      </w:pPr>
      <w:r>
        <w:rPr>
          <w:noProof/>
        </w:rPr>
        <w:t>jälgivad küberturvalisuse sertifitseerimise valdkonna asjakohaseid arenguid.</w:t>
      </w:r>
    </w:p>
    <w:p w:rsidR="00F4358D" w:rsidRDefault="00D1585A">
      <w:pPr>
        <w:pStyle w:val="ManualNumPar1"/>
        <w:rPr>
          <w:noProof/>
        </w:rPr>
      </w:pPr>
      <w:r>
        <w:t>7.</w:t>
      </w:r>
      <w:r>
        <w:tab/>
      </w:r>
      <w:r>
        <w:rPr>
          <w:noProof/>
        </w:rPr>
        <w:t>Igal riiklikul sertifitseerimise järelevalveasutusel on vähemalt järgmised volitused:</w:t>
      </w:r>
    </w:p>
    <w:p w:rsidR="00F4358D" w:rsidRDefault="00D1585A">
      <w:pPr>
        <w:pStyle w:val="Point1letter"/>
        <w:numPr>
          <w:ilvl w:val="3"/>
          <w:numId w:val="70"/>
        </w:numPr>
        <w:rPr>
          <w:noProof/>
          <w:szCs w:val="24"/>
        </w:rPr>
      </w:pPr>
      <w:r>
        <w:rPr>
          <w:noProof/>
        </w:rPr>
        <w:t>anda vastavushindamisasutustele ja Euroopa küberturvalisuse sertifikaadi omanikele korraldus esitada teavet, mis on vajalik tema ülesannete täitmiseks;</w:t>
      </w:r>
    </w:p>
    <w:p w:rsidR="00F4358D" w:rsidRDefault="00D1585A">
      <w:pPr>
        <w:pStyle w:val="Point1letter"/>
        <w:numPr>
          <w:ilvl w:val="3"/>
          <w:numId w:val="70"/>
        </w:numPr>
        <w:rPr>
          <w:noProof/>
          <w:szCs w:val="24"/>
        </w:rPr>
      </w:pPr>
      <w:r>
        <w:rPr>
          <w:noProof/>
        </w:rPr>
        <w:t>teostada auditi vormis vastavushindamisasutuste ja Euroopa küberturvalisuse sertifikaadi omanike uurimis</w:t>
      </w:r>
      <w:r>
        <w:rPr>
          <w:noProof/>
        </w:rPr>
        <w:t>t, et kontrollida nende vastavust III jaotise sätetele;</w:t>
      </w:r>
    </w:p>
    <w:p w:rsidR="00F4358D" w:rsidRDefault="00D1585A">
      <w:pPr>
        <w:pStyle w:val="Point1letter"/>
        <w:numPr>
          <w:ilvl w:val="3"/>
          <w:numId w:val="70"/>
        </w:numPr>
        <w:rPr>
          <w:noProof/>
          <w:szCs w:val="24"/>
        </w:rPr>
      </w:pPr>
      <w:r>
        <w:rPr>
          <w:noProof/>
        </w:rPr>
        <w:t>võtta asjakohaseid meetmeid vastavalt siseriiklikele õigusaktidele tagamaks, et vastavushindamisasutused ja sertifikaadi omanikud järgivad käesoleva määruse või Euroopa küberturvalisuse sertifitseerim</w:t>
      </w:r>
      <w:r>
        <w:rPr>
          <w:noProof/>
        </w:rPr>
        <w:t>ise kava nõudeid;</w:t>
      </w:r>
    </w:p>
    <w:p w:rsidR="00F4358D" w:rsidRDefault="00D1585A">
      <w:pPr>
        <w:pStyle w:val="Point1letter"/>
        <w:numPr>
          <w:ilvl w:val="3"/>
          <w:numId w:val="70"/>
        </w:numPr>
        <w:rPr>
          <w:noProof/>
          <w:szCs w:val="24"/>
        </w:rPr>
      </w:pPr>
      <w:r>
        <w:rPr>
          <w:noProof/>
        </w:rPr>
        <w:t>saada juurdepääs kõigile vastavushindamisasutuste ja Euroopa küberturvalisuse sertifikaadi omanike ruumidele, et teostada uurimisi kooskõlas liidu või liikmesriigi menetlusõigusega;</w:t>
      </w:r>
    </w:p>
    <w:p w:rsidR="00F4358D" w:rsidRDefault="00D1585A">
      <w:pPr>
        <w:pStyle w:val="Point1letter"/>
        <w:numPr>
          <w:ilvl w:val="3"/>
          <w:numId w:val="70"/>
        </w:numPr>
        <w:rPr>
          <w:noProof/>
          <w:szCs w:val="24"/>
        </w:rPr>
      </w:pPr>
      <w:r>
        <w:rPr>
          <w:noProof/>
        </w:rPr>
        <w:t>võtta siseriiklike õigusaktide kohaselt tagasi sertifika</w:t>
      </w:r>
      <w:r>
        <w:rPr>
          <w:noProof/>
        </w:rPr>
        <w:t>adid, mis ei ole kooskõlas käesoleva määrusega või Euroopa küberturvalisuse sertifitseerimise kavaga;</w:t>
      </w:r>
    </w:p>
    <w:p w:rsidR="00F4358D" w:rsidRDefault="00D1585A">
      <w:pPr>
        <w:pStyle w:val="Point1letter"/>
        <w:numPr>
          <w:ilvl w:val="3"/>
          <w:numId w:val="70"/>
        </w:numPr>
        <w:rPr>
          <w:noProof/>
          <w:szCs w:val="24"/>
        </w:rPr>
      </w:pPr>
      <w:r>
        <w:rPr>
          <w:noProof/>
        </w:rPr>
        <w:t>määrata karistusi vastavalt artiklile 54, kooskõlas siseriikliku õigusega ning nõuda käesolevas määruses sätestatud kohustuste rikkumise viivitamatut lõpe</w:t>
      </w:r>
      <w:r>
        <w:rPr>
          <w:noProof/>
        </w:rPr>
        <w:t>tamist.</w:t>
      </w:r>
    </w:p>
    <w:p w:rsidR="00F4358D" w:rsidRDefault="00D1585A">
      <w:pPr>
        <w:pStyle w:val="ManualNumPar1"/>
        <w:rPr>
          <w:noProof/>
        </w:rPr>
      </w:pPr>
      <w:r>
        <w:t>8.</w:t>
      </w:r>
      <w:r>
        <w:tab/>
      </w:r>
      <w:r>
        <w:rPr>
          <w:noProof/>
        </w:rPr>
        <w:t>Riiklikud sertifitseerimise järelevalveasutused teevad omavahel ja komisjoniga koostööd ning vahetavad eelkõige teavet, kogemusi ja häid tavasid seoses küberturvalisuse sertifitseerimisega ning IKT toodete ja teenuste küberturvalisust puudutavat</w:t>
      </w:r>
      <w:r>
        <w:rPr>
          <w:noProof/>
        </w:rPr>
        <w:t>e tehniliste küsimustega.</w:t>
      </w:r>
    </w:p>
    <w:p w:rsidR="00F4358D" w:rsidRDefault="00F4358D">
      <w:pPr>
        <w:rPr>
          <w:noProof/>
        </w:rPr>
      </w:pPr>
    </w:p>
    <w:p w:rsidR="00F4358D" w:rsidRDefault="00D1585A">
      <w:pPr>
        <w:pStyle w:val="Titrearticle"/>
        <w:spacing w:before="0" w:after="0"/>
        <w:rPr>
          <w:b/>
          <w:i w:val="0"/>
          <w:noProof/>
        </w:rPr>
      </w:pPr>
      <w:r>
        <w:rPr>
          <w:noProof/>
        </w:rPr>
        <w:t>Artikkel 51</w:t>
      </w:r>
      <w:r>
        <w:rPr>
          <w:noProof/>
        </w:rPr>
        <w:br/>
      </w:r>
      <w:r>
        <w:rPr>
          <w:b/>
          <w:noProof/>
        </w:rPr>
        <w:t>Vastavushindamisasutused</w:t>
      </w:r>
    </w:p>
    <w:p w:rsidR="00F4358D" w:rsidRDefault="00D1585A">
      <w:pPr>
        <w:pStyle w:val="ManualNumPar1"/>
        <w:rPr>
          <w:noProof/>
        </w:rPr>
      </w:pPr>
      <w:r>
        <w:t>1.</w:t>
      </w:r>
      <w:r>
        <w:tab/>
      </w:r>
      <w:r>
        <w:rPr>
          <w:noProof/>
        </w:rPr>
        <w:t xml:space="preserve">Vastavushindamisasutused akrediteeritakse määruse (EÜ) nr 765/2008 kohaselt nimetatud riikliku akrediteerimisasutuse poolt ainult siis, kui nad vastavad käesoleva määruse lisas sätestatud </w:t>
      </w:r>
      <w:r>
        <w:rPr>
          <w:noProof/>
        </w:rPr>
        <w:t>nõuetele.</w:t>
      </w:r>
    </w:p>
    <w:p w:rsidR="00F4358D" w:rsidRDefault="00D1585A">
      <w:pPr>
        <w:pStyle w:val="ManualNumPar1"/>
        <w:rPr>
          <w:noProof/>
        </w:rPr>
      </w:pPr>
      <w:r>
        <w:t>2.</w:t>
      </w:r>
      <w:r>
        <w:tab/>
      </w:r>
      <w:r>
        <w:rPr>
          <w:noProof/>
        </w:rPr>
        <w:t>Akrediteering antakse maksimaalselt viieks aastaks ja selle kehtivust võib pikendada samadel tingimustel senikaua, kuni vastavushindamisasutus vastab käesolevas artiklis sätestatud nõuetele. Akrediteerimisasutus tühistab käesoleva artikli lõik</w:t>
      </w:r>
      <w:r>
        <w:rPr>
          <w:noProof/>
        </w:rPr>
        <w:t>es 1 osutatud vastavushindamisasutuse akrediteerimise, kui akrediteerimise tingimused ei ole täidetud või ei ole enam täidetud või asutuse poolt võetavad meetmed rikuvad käesolevat määrust.</w:t>
      </w:r>
    </w:p>
    <w:p w:rsidR="00F4358D" w:rsidRDefault="00F4358D">
      <w:pPr>
        <w:rPr>
          <w:noProof/>
        </w:rPr>
      </w:pPr>
    </w:p>
    <w:p w:rsidR="00F4358D" w:rsidRDefault="00D1585A">
      <w:pPr>
        <w:pStyle w:val="Titrearticle"/>
        <w:rPr>
          <w:b/>
          <w:noProof/>
        </w:rPr>
      </w:pPr>
      <w:r>
        <w:rPr>
          <w:noProof/>
        </w:rPr>
        <w:t>Artikkel 52</w:t>
      </w:r>
      <w:r>
        <w:rPr>
          <w:noProof/>
        </w:rPr>
        <w:br/>
      </w:r>
      <w:r>
        <w:rPr>
          <w:b/>
          <w:noProof/>
        </w:rPr>
        <w:t>Teavitamine</w:t>
      </w:r>
    </w:p>
    <w:p w:rsidR="00F4358D" w:rsidRDefault="00D1585A">
      <w:pPr>
        <w:pStyle w:val="ManualNumPar1"/>
        <w:rPr>
          <w:noProof/>
        </w:rPr>
      </w:pPr>
      <w:r>
        <w:t>1.</w:t>
      </w:r>
      <w:r>
        <w:tab/>
      </w:r>
      <w:r>
        <w:rPr>
          <w:noProof/>
        </w:rPr>
        <w:t>Riiklikud sertifitseerimise järelevalv</w:t>
      </w:r>
      <w:r>
        <w:rPr>
          <w:noProof/>
        </w:rPr>
        <w:t>easutused teatavad iga artikli 44 kohaselt vastu võetud Euroopa küberturvalisuse sertifitseerimise kava puhul komisjonile, millised akrediteeritud vastavushindamisasutused võivad anda välja artiklis 46 osutatud usaldusväärsuse tasemel sertifikaate, ning te</w:t>
      </w:r>
      <w:r>
        <w:rPr>
          <w:noProof/>
        </w:rPr>
        <w:t>atavad põhjendamatu viivituseta kõigist hilisematest muudatustest.</w:t>
      </w:r>
    </w:p>
    <w:p w:rsidR="00F4358D" w:rsidRDefault="00D1585A">
      <w:pPr>
        <w:pStyle w:val="ManualNumPar1"/>
        <w:rPr>
          <w:noProof/>
        </w:rPr>
      </w:pPr>
      <w:r>
        <w:t>2.</w:t>
      </w:r>
      <w:r>
        <w:tab/>
      </w:r>
      <w:r>
        <w:rPr>
          <w:noProof/>
        </w:rPr>
        <w:t xml:space="preserve">Üks aasta pärast Euroopa küberturvalisuse sertifitseerimise kava jõustumist avaldab komisjon teatatud vastavushindamisasutuste nimekirja </w:t>
      </w:r>
      <w:r>
        <w:rPr>
          <w:i/>
          <w:noProof/>
        </w:rPr>
        <w:t>Euroopa Liidu Teatajas</w:t>
      </w:r>
      <w:r>
        <w:rPr>
          <w:noProof/>
        </w:rPr>
        <w:t>.</w:t>
      </w:r>
    </w:p>
    <w:p w:rsidR="00F4358D" w:rsidRDefault="00D1585A">
      <w:pPr>
        <w:pStyle w:val="ManualNumPar1"/>
        <w:rPr>
          <w:noProof/>
        </w:rPr>
      </w:pPr>
      <w:r>
        <w:t>3.</w:t>
      </w:r>
      <w:r>
        <w:tab/>
      </w:r>
      <w:r>
        <w:rPr>
          <w:noProof/>
        </w:rPr>
        <w:t>Kui komisjoni teavitat</w:t>
      </w:r>
      <w:r>
        <w:rPr>
          <w:noProof/>
        </w:rPr>
        <w:t xml:space="preserve">akse pärast lõikes 2 osutatud ajavahemiku möödumist, avaldab ta </w:t>
      </w:r>
      <w:r>
        <w:rPr>
          <w:i/>
          <w:noProof/>
        </w:rPr>
        <w:t>Euroopa Liidu Teatajas</w:t>
      </w:r>
      <w:r>
        <w:rPr>
          <w:noProof/>
        </w:rPr>
        <w:t xml:space="preserve"> lõikes 2 osutatud nimekirja muudatused kahe kuu jooksul alates kõnealuse teate saamise kuupäevast.</w:t>
      </w:r>
    </w:p>
    <w:p w:rsidR="00F4358D" w:rsidRDefault="00D1585A">
      <w:pPr>
        <w:pStyle w:val="ManualNumPar1"/>
        <w:rPr>
          <w:noProof/>
        </w:rPr>
      </w:pPr>
      <w:r>
        <w:t>4.</w:t>
      </w:r>
      <w:r>
        <w:tab/>
      </w:r>
      <w:r>
        <w:rPr>
          <w:noProof/>
        </w:rPr>
        <w:t>Riiklik sertifitseerimise järelevalveasutus võib esitada komisjonil</w:t>
      </w:r>
      <w:r>
        <w:rPr>
          <w:noProof/>
        </w:rPr>
        <w:t xml:space="preserve">e taotluse eemaldada selle riikliku sertifitseerimise järelevalveasutuse poolt teatatud vastavushindamisasutus käesoleva artikli lõikes 2 osutatud nimekirjast. Komisjon avaldab </w:t>
      </w:r>
      <w:r>
        <w:rPr>
          <w:i/>
          <w:noProof/>
        </w:rPr>
        <w:t>Euroopa Liidu Teatajas</w:t>
      </w:r>
      <w:r>
        <w:rPr>
          <w:noProof/>
        </w:rPr>
        <w:t xml:space="preserve"> vastavad nimekirja muudatused ühe kuu jooksul alates rii</w:t>
      </w:r>
      <w:r>
        <w:rPr>
          <w:noProof/>
        </w:rPr>
        <w:t>kliku sertifitseerimise järelevalveasutuse taotluse kättesaamise kuupäevast.</w:t>
      </w:r>
    </w:p>
    <w:p w:rsidR="00F4358D" w:rsidRDefault="00D1585A">
      <w:pPr>
        <w:pStyle w:val="ManualNumPar1"/>
        <w:rPr>
          <w:noProof/>
        </w:rPr>
      </w:pPr>
      <w:r>
        <w:t>5.</w:t>
      </w:r>
      <w:r>
        <w:tab/>
      </w:r>
      <w:r>
        <w:rPr>
          <w:noProof/>
        </w:rPr>
        <w:t>Komisjon võib määrata rakendusaktidega kindlaks käesoleva artikli lõikes 1 osutatud teavitamise asjaolud, vormingud ja menetlused. Kõnealused rakendusaktid võetakse vastu vasta</w:t>
      </w:r>
      <w:r>
        <w:rPr>
          <w:noProof/>
        </w:rPr>
        <w:t>valt artikli 55 lõikes 2 osutatud kontrollimenetlusele.</w:t>
      </w:r>
    </w:p>
    <w:p w:rsidR="00F4358D" w:rsidRDefault="00F4358D">
      <w:pPr>
        <w:rPr>
          <w:noProof/>
          <w:szCs w:val="24"/>
        </w:rPr>
      </w:pPr>
    </w:p>
    <w:p w:rsidR="00F4358D" w:rsidRDefault="00D1585A">
      <w:pPr>
        <w:jc w:val="center"/>
        <w:rPr>
          <w:rFonts w:eastAsia="Times New Roman"/>
          <w:b/>
          <w:bCs/>
          <w:i/>
          <w:noProof/>
          <w:szCs w:val="24"/>
        </w:rPr>
      </w:pPr>
      <w:r>
        <w:rPr>
          <w:i/>
          <w:noProof/>
        </w:rPr>
        <w:t>Artikkel 53</w:t>
      </w:r>
      <w:r>
        <w:rPr>
          <w:rFonts w:eastAsia="Times New Roman"/>
          <w:b/>
          <w:bCs/>
          <w:i/>
          <w:noProof/>
          <w:szCs w:val="24"/>
        </w:rPr>
        <w:br/>
      </w:r>
      <w:r>
        <w:rPr>
          <w:b/>
          <w:i/>
          <w:noProof/>
        </w:rPr>
        <w:t>Euroopa küberturvalisuse sertifitseerimise rühm</w:t>
      </w:r>
    </w:p>
    <w:p w:rsidR="00F4358D" w:rsidRDefault="00D1585A">
      <w:pPr>
        <w:pStyle w:val="ManualNumPar1"/>
        <w:rPr>
          <w:noProof/>
        </w:rPr>
      </w:pPr>
      <w:r>
        <w:t>1.</w:t>
      </w:r>
      <w:r>
        <w:tab/>
      </w:r>
      <w:r>
        <w:rPr>
          <w:noProof/>
        </w:rPr>
        <w:t>Luuakse Euroopa küberturvalisuse sertifitseerimise rühm (edaspidi „rühm“).</w:t>
      </w:r>
    </w:p>
    <w:p w:rsidR="00F4358D" w:rsidRDefault="00D1585A">
      <w:pPr>
        <w:pStyle w:val="ManualNumPar1"/>
        <w:rPr>
          <w:noProof/>
        </w:rPr>
      </w:pPr>
      <w:r>
        <w:t>2.</w:t>
      </w:r>
      <w:r>
        <w:tab/>
      </w:r>
      <w:r>
        <w:rPr>
          <w:noProof/>
        </w:rPr>
        <w:t>Rühm koosneb riiklikest sertifitseerimise järelevalveasutu</w:t>
      </w:r>
      <w:r>
        <w:rPr>
          <w:noProof/>
        </w:rPr>
        <w:t>stest. Riiklikke sertifitseerimise järelevalveasutusi esindavad nende juhid või muud kõrgetasemelised esindajad.</w:t>
      </w:r>
    </w:p>
    <w:p w:rsidR="00F4358D" w:rsidRDefault="00D1585A">
      <w:pPr>
        <w:pStyle w:val="ManualNumPar1"/>
        <w:rPr>
          <w:noProof/>
        </w:rPr>
      </w:pPr>
      <w:r>
        <w:t>3.</w:t>
      </w:r>
      <w:r>
        <w:tab/>
      </w:r>
      <w:r>
        <w:rPr>
          <w:noProof/>
        </w:rPr>
        <w:t>Rühmal on järgmised ülesanded:</w:t>
      </w:r>
    </w:p>
    <w:p w:rsidR="00F4358D" w:rsidRDefault="00D1585A">
      <w:pPr>
        <w:pStyle w:val="Point1letter"/>
        <w:numPr>
          <w:ilvl w:val="3"/>
          <w:numId w:val="71"/>
        </w:numPr>
        <w:rPr>
          <w:noProof/>
          <w:szCs w:val="24"/>
        </w:rPr>
      </w:pPr>
      <w:r>
        <w:rPr>
          <w:noProof/>
        </w:rPr>
        <w:t>nõustada ja abistada komisjoni töös, mille eesmärk on tagada käesoleva jaotise järjepidev rakendamine ja kohaldamine, eelkõige seoses küberturvalisuse sertifitseerimise poliitika küsimuste, poliitika koordineerimise ja Euroopa küberturvalisuse sertifitseer</w:t>
      </w:r>
      <w:r>
        <w:rPr>
          <w:noProof/>
        </w:rPr>
        <w:t>imise kavade ettevalmistamisega;</w:t>
      </w:r>
    </w:p>
    <w:p w:rsidR="00F4358D" w:rsidRDefault="00D1585A">
      <w:pPr>
        <w:pStyle w:val="Point1letter"/>
        <w:numPr>
          <w:ilvl w:val="3"/>
          <w:numId w:val="71"/>
        </w:numPr>
        <w:rPr>
          <w:noProof/>
          <w:szCs w:val="24"/>
        </w:rPr>
      </w:pPr>
      <w:r>
        <w:rPr>
          <w:noProof/>
        </w:rPr>
        <w:t>abistada ja nõustada ENISAt ja teha temaga koostööd seoses ettevalmistava kava koostamisega kooskõlas käesoleva määruse artikliga 44;</w:t>
      </w:r>
    </w:p>
    <w:p w:rsidR="00F4358D" w:rsidRDefault="00D1585A">
      <w:pPr>
        <w:pStyle w:val="Point1letter"/>
        <w:numPr>
          <w:ilvl w:val="3"/>
          <w:numId w:val="71"/>
        </w:numPr>
        <w:rPr>
          <w:noProof/>
          <w:szCs w:val="24"/>
        </w:rPr>
      </w:pPr>
      <w:r>
        <w:rPr>
          <w:noProof/>
        </w:rPr>
        <w:t>teha komisjonile ettepanek, et ta paluks ametil koostada Euroopa küberturvalisuse sertifi</w:t>
      </w:r>
      <w:r>
        <w:rPr>
          <w:noProof/>
        </w:rPr>
        <w:t>tseerimise ettevalmistav kava kooskõlas käesoleva määruse artikliga 44;</w:t>
      </w:r>
    </w:p>
    <w:p w:rsidR="00F4358D" w:rsidRDefault="00D1585A">
      <w:pPr>
        <w:pStyle w:val="Point1letter"/>
        <w:numPr>
          <w:ilvl w:val="3"/>
          <w:numId w:val="71"/>
        </w:numPr>
        <w:rPr>
          <w:noProof/>
          <w:szCs w:val="24"/>
        </w:rPr>
      </w:pPr>
      <w:r>
        <w:rPr>
          <w:noProof/>
        </w:rPr>
        <w:t>võtta vastu komisjonile suunatud arvamusi seoses olemasolevate Euroopa küberturvalisuse sertifitseerimise kavade alalhoidmise ja läbivaatamisega;</w:t>
      </w:r>
    </w:p>
    <w:p w:rsidR="00F4358D" w:rsidRDefault="00D1585A">
      <w:pPr>
        <w:pStyle w:val="Point1letter"/>
        <w:numPr>
          <w:ilvl w:val="3"/>
          <w:numId w:val="71"/>
        </w:numPr>
        <w:rPr>
          <w:noProof/>
          <w:szCs w:val="24"/>
        </w:rPr>
      </w:pPr>
      <w:r>
        <w:rPr>
          <w:noProof/>
        </w:rPr>
        <w:t>analüüsida küberturvalisuse sertifitse</w:t>
      </w:r>
      <w:r>
        <w:rPr>
          <w:noProof/>
        </w:rPr>
        <w:t>erimise valdkonna asjakohaseid arenguid ja vahetada häid tavasid seoses küberturvalisuse sertifitseerimise kavadega;</w:t>
      </w:r>
    </w:p>
    <w:p w:rsidR="00F4358D" w:rsidRDefault="00D1585A">
      <w:pPr>
        <w:pStyle w:val="Point1letter"/>
        <w:numPr>
          <w:ilvl w:val="3"/>
          <w:numId w:val="71"/>
        </w:numPr>
        <w:rPr>
          <w:noProof/>
          <w:szCs w:val="24"/>
        </w:rPr>
      </w:pPr>
      <w:r>
        <w:rPr>
          <w:noProof/>
        </w:rPr>
        <w:t>lihtsustada riiklike sertifitseerimise järelevalveasutuste käesoleva jaotise kohast koostööd teabevahetuse kaudu, eelkõige luues meetodid t</w:t>
      </w:r>
      <w:r>
        <w:rPr>
          <w:noProof/>
        </w:rPr>
        <w:t>õhusaks teabevahetuseks kõigis küberturvalisuse sertifitseerimisega seotud küsimustes.</w:t>
      </w:r>
    </w:p>
    <w:p w:rsidR="00F4358D" w:rsidRDefault="00D1585A">
      <w:pPr>
        <w:pStyle w:val="ManualNumPar1"/>
        <w:rPr>
          <w:noProof/>
        </w:rPr>
      </w:pPr>
      <w:r>
        <w:t>4.</w:t>
      </w:r>
      <w:r>
        <w:tab/>
      </w:r>
      <w:r>
        <w:rPr>
          <w:noProof/>
        </w:rPr>
        <w:t>Komisjon juhatab rühma ja osutab sellele sekretariaaditeenust, komisjoni abistab ENISA kooskõlas artikli 8 punktiga a.</w:t>
      </w:r>
    </w:p>
    <w:p w:rsidR="00F4358D" w:rsidRDefault="00F4358D">
      <w:pPr>
        <w:rPr>
          <w:noProof/>
          <w:szCs w:val="24"/>
        </w:rPr>
      </w:pPr>
    </w:p>
    <w:p w:rsidR="00F4358D" w:rsidRDefault="00D1585A">
      <w:pPr>
        <w:pStyle w:val="Titrearticle"/>
        <w:rPr>
          <w:rFonts w:eastAsia="Times New Roman"/>
          <w:b/>
          <w:noProof/>
        </w:rPr>
      </w:pPr>
      <w:r>
        <w:rPr>
          <w:noProof/>
        </w:rPr>
        <w:t>Artikkel 54</w:t>
      </w:r>
      <w:r>
        <w:rPr>
          <w:rFonts w:eastAsia="Times New Roman"/>
          <w:b/>
          <w:i w:val="0"/>
          <w:noProof/>
        </w:rPr>
        <w:br/>
      </w:r>
      <w:r>
        <w:rPr>
          <w:b/>
          <w:noProof/>
        </w:rPr>
        <w:t>Karistused</w:t>
      </w:r>
    </w:p>
    <w:p w:rsidR="00F4358D" w:rsidRDefault="00D1585A">
      <w:pPr>
        <w:rPr>
          <w:noProof/>
          <w:szCs w:val="24"/>
        </w:rPr>
      </w:pPr>
      <w:r>
        <w:rPr>
          <w:noProof/>
        </w:rPr>
        <w:t>Liikmesriigid kehtestav</w:t>
      </w:r>
      <w:r>
        <w:rPr>
          <w:noProof/>
        </w:rPr>
        <w:t>ad sätted karistuste kohta, mida rakendatakse käesoleva jaotise ja Euroopa küberturvalisuse sertifitseerimise kavade rikkumise korral, ning võtavad kõik vajalikud meetmed nende rakendamise tagamiseks. Nimetatud karistused peavad olema tõhusad, proportsiona</w:t>
      </w:r>
      <w:r>
        <w:rPr>
          <w:noProof/>
        </w:rPr>
        <w:t>alsed ja hoiatavad. Liikmesriigid teavitavad komisjoni [.../viivitama] kõnealustest eeskirjadest ja meetmetest ja kõikidest nende hilisematest muudatustest.</w:t>
      </w:r>
    </w:p>
    <w:p w:rsidR="00F4358D" w:rsidRDefault="00F4358D">
      <w:pPr>
        <w:spacing w:before="75"/>
        <w:rPr>
          <w:rFonts w:eastAsia="Times New Roman"/>
          <w:b/>
          <w:bCs/>
          <w:noProof/>
          <w:szCs w:val="24"/>
        </w:rPr>
      </w:pPr>
    </w:p>
    <w:p w:rsidR="00F4358D" w:rsidRDefault="00D1585A">
      <w:pPr>
        <w:pStyle w:val="PartTitle"/>
        <w:rPr>
          <w:bCs/>
          <w:noProof/>
        </w:rPr>
      </w:pPr>
      <w:bookmarkStart w:id="37" w:name="_Toc492216479"/>
      <w:r>
        <w:rPr>
          <w:noProof/>
        </w:rPr>
        <w:t>IV JAOTIS</w:t>
      </w:r>
      <w:r>
        <w:rPr>
          <w:noProof/>
        </w:rPr>
        <w:br/>
        <w:t>LÕPPSÄTTED</w:t>
      </w:r>
      <w:bookmarkEnd w:id="37"/>
    </w:p>
    <w:p w:rsidR="00F4358D" w:rsidRDefault="00F4358D">
      <w:pPr>
        <w:jc w:val="center"/>
        <w:rPr>
          <w:i/>
          <w:noProof/>
          <w:szCs w:val="24"/>
        </w:rPr>
      </w:pPr>
    </w:p>
    <w:p w:rsidR="00F4358D" w:rsidRDefault="00D1585A">
      <w:pPr>
        <w:pStyle w:val="Titrearticle"/>
        <w:rPr>
          <w:noProof/>
        </w:rPr>
      </w:pPr>
      <w:r>
        <w:rPr>
          <w:noProof/>
        </w:rPr>
        <w:t>Artikkel 55</w:t>
      </w:r>
      <w:r>
        <w:rPr>
          <w:i w:val="0"/>
          <w:noProof/>
        </w:rPr>
        <w:br/>
      </w:r>
      <w:r>
        <w:rPr>
          <w:b/>
          <w:noProof/>
        </w:rPr>
        <w:t>Komiteemenetlus</w:t>
      </w:r>
    </w:p>
    <w:p w:rsidR="00F4358D" w:rsidRDefault="00D1585A">
      <w:pPr>
        <w:pStyle w:val="ManualNumPar1"/>
        <w:rPr>
          <w:noProof/>
        </w:rPr>
      </w:pPr>
      <w:r>
        <w:t>1.</w:t>
      </w:r>
      <w:r>
        <w:tab/>
      </w:r>
      <w:r>
        <w:rPr>
          <w:noProof/>
        </w:rPr>
        <w:t xml:space="preserve">Komisjoni abistab komitee. See komitee on </w:t>
      </w:r>
      <w:r>
        <w:rPr>
          <w:noProof/>
        </w:rPr>
        <w:t>komitee määruse (EL) nr 182/2011 tähenduses.</w:t>
      </w:r>
    </w:p>
    <w:p w:rsidR="00F4358D" w:rsidRDefault="00D1585A">
      <w:pPr>
        <w:pStyle w:val="ManualNumPar1"/>
        <w:rPr>
          <w:noProof/>
        </w:rPr>
      </w:pPr>
      <w:r>
        <w:t>2.</w:t>
      </w:r>
      <w:r>
        <w:tab/>
      </w:r>
      <w:r>
        <w:rPr>
          <w:noProof/>
        </w:rPr>
        <w:t>Käesolevale lõikele viitamisel kohaldatakse määruse (EL) nr 182/2011 artiklit 5.</w:t>
      </w:r>
    </w:p>
    <w:p w:rsidR="00F4358D" w:rsidRDefault="00F4358D">
      <w:pPr>
        <w:rPr>
          <w:noProof/>
        </w:rPr>
      </w:pPr>
    </w:p>
    <w:p w:rsidR="00F4358D" w:rsidRDefault="00D1585A">
      <w:pPr>
        <w:pStyle w:val="Titrearticle"/>
        <w:rPr>
          <w:b/>
          <w:noProof/>
        </w:rPr>
      </w:pPr>
      <w:r>
        <w:rPr>
          <w:noProof/>
        </w:rPr>
        <w:t>Artikkel 56</w:t>
      </w:r>
      <w:r>
        <w:rPr>
          <w:noProof/>
        </w:rPr>
        <w:br/>
      </w:r>
      <w:r>
        <w:rPr>
          <w:b/>
          <w:noProof/>
        </w:rPr>
        <w:t>Hindamine ja läbivaatamine</w:t>
      </w:r>
    </w:p>
    <w:p w:rsidR="00F4358D" w:rsidRDefault="00D1585A">
      <w:pPr>
        <w:pStyle w:val="ManualNumPar1"/>
        <w:rPr>
          <w:noProof/>
        </w:rPr>
      </w:pPr>
      <w:r>
        <w:t>1.</w:t>
      </w:r>
      <w:r>
        <w:tab/>
      </w:r>
      <w:r>
        <w:rPr>
          <w:noProof/>
        </w:rPr>
        <w:t>Hiljemalt viis aastat pärast artiklis 58 osutatud kuupäeva ja seejärel iga viie aast</w:t>
      </w:r>
      <w:r>
        <w:rPr>
          <w:noProof/>
        </w:rPr>
        <w:t>a tagant hindab komisjon ameti ja selle töökorralduse mõju, tulemuslikkust ja tõhusust ning võimalikku vajadust muuta ameti mandaati ja kõigi selliste muudatuste finantsmõju. Hindamisel arvestatakse tagasisidet, mida amet on oma töö kohta saanud. Kui komis</w:t>
      </w:r>
      <w:r>
        <w:rPr>
          <w:noProof/>
        </w:rPr>
        <w:t>jon leiab, et ameti töö jätkamine ei ole ametile seatud eesmärkide, mandaadi ja ülesannete seisukohast enam põhjendatud, võib ta teha ettepaneku käesolevat määrust ametiga seotud sätete osas muuta.</w:t>
      </w:r>
    </w:p>
    <w:p w:rsidR="00F4358D" w:rsidRDefault="00D1585A">
      <w:pPr>
        <w:pStyle w:val="ManualNumPar1"/>
        <w:rPr>
          <w:noProof/>
        </w:rPr>
      </w:pPr>
      <w:r>
        <w:t>2.</w:t>
      </w:r>
      <w:r>
        <w:tab/>
      </w:r>
      <w:r>
        <w:rPr>
          <w:noProof/>
        </w:rPr>
        <w:t>Selle hindamise käigus vaadeldakse ka III jaotise sätet</w:t>
      </w:r>
      <w:r>
        <w:rPr>
          <w:noProof/>
        </w:rPr>
        <w:t>e mõju, tulemuslikkust ja tõhusust seoses eesmärgiga tagada IKT toodete ja teenuste piisav küberturvalisus ELis ja parandada siseturu toimimist.</w:t>
      </w:r>
    </w:p>
    <w:p w:rsidR="00F4358D" w:rsidRDefault="00D1585A">
      <w:pPr>
        <w:pStyle w:val="ManualNumPar1"/>
        <w:rPr>
          <w:noProof/>
        </w:rPr>
      </w:pPr>
      <w:r>
        <w:t>3.</w:t>
      </w:r>
      <w:r>
        <w:tab/>
      </w:r>
      <w:r>
        <w:rPr>
          <w:noProof/>
        </w:rPr>
        <w:t>Komisjon edastab hindamisaruande koos oma järeldustega Euroopa Parlamendile, nõukogule ja haldusnõukogule. H</w:t>
      </w:r>
      <w:r>
        <w:rPr>
          <w:noProof/>
        </w:rPr>
        <w:t>indamistulemused avalikustatakse.</w:t>
      </w:r>
    </w:p>
    <w:p w:rsidR="00F4358D" w:rsidRDefault="00F4358D">
      <w:pPr>
        <w:spacing w:after="0"/>
        <w:rPr>
          <w:rFonts w:eastAsia="Times New Roman"/>
          <w:noProof/>
          <w:szCs w:val="24"/>
        </w:rPr>
      </w:pPr>
    </w:p>
    <w:p w:rsidR="00F4358D" w:rsidRDefault="00D1585A">
      <w:pPr>
        <w:pStyle w:val="Titrearticle"/>
        <w:rPr>
          <w:b/>
          <w:noProof/>
        </w:rPr>
      </w:pPr>
      <w:r>
        <w:rPr>
          <w:noProof/>
        </w:rPr>
        <w:t>Artikkel 57</w:t>
      </w:r>
      <w:r>
        <w:rPr>
          <w:noProof/>
        </w:rPr>
        <w:br/>
      </w:r>
      <w:r>
        <w:rPr>
          <w:b/>
          <w:noProof/>
        </w:rPr>
        <w:t>Kehtetuks tunnistamine ja õigusjärglus</w:t>
      </w:r>
    </w:p>
    <w:p w:rsidR="00F4358D" w:rsidRDefault="00D1585A">
      <w:pPr>
        <w:pStyle w:val="ManualNumPar1"/>
        <w:rPr>
          <w:noProof/>
        </w:rPr>
      </w:pPr>
      <w:r>
        <w:t>1.</w:t>
      </w:r>
      <w:r>
        <w:tab/>
      </w:r>
      <w:r>
        <w:rPr>
          <w:noProof/>
        </w:rPr>
        <w:t>Määrus (EL) nr 526/2013 tunnistatakse kehtetuks alates [...].</w:t>
      </w:r>
    </w:p>
    <w:p w:rsidR="00F4358D" w:rsidRDefault="00D1585A">
      <w:pPr>
        <w:pStyle w:val="ManualNumPar1"/>
        <w:rPr>
          <w:noProof/>
        </w:rPr>
      </w:pPr>
      <w:r>
        <w:t>2.</w:t>
      </w:r>
      <w:r>
        <w:tab/>
      </w:r>
      <w:r>
        <w:rPr>
          <w:noProof/>
        </w:rPr>
        <w:t xml:space="preserve">Viiteid määrusele (EL) nr 526/2013 ja ENISA-le tõlgendatakse viidetena käesolevale määrusele ja </w:t>
      </w:r>
      <w:r>
        <w:rPr>
          <w:noProof/>
        </w:rPr>
        <w:t>ametile.</w:t>
      </w:r>
    </w:p>
    <w:p w:rsidR="00F4358D" w:rsidRDefault="00D1585A">
      <w:pPr>
        <w:pStyle w:val="ManualNumPar1"/>
        <w:rPr>
          <w:noProof/>
        </w:rPr>
      </w:pPr>
      <w:r>
        <w:t>3.</w:t>
      </w:r>
      <w:r>
        <w:tab/>
      </w:r>
      <w:r>
        <w:rPr>
          <w:noProof/>
        </w:rPr>
        <w:t>Amet on omandiõiguse, lepingute, õiguslike kohustuste, töölepingute, finantskohustuste ja vastutuse osas määrusega (EL) nr 526/2013 loodud ameti õigusjärglane. Kõik haldusnõukogu ja juhatuse otsused jäävad kehtima, tingimusel et nad ei ole käes</w:t>
      </w:r>
      <w:r>
        <w:rPr>
          <w:noProof/>
        </w:rPr>
        <w:t>oleva määrusega vastuolus.</w:t>
      </w:r>
    </w:p>
    <w:p w:rsidR="00F4358D" w:rsidRDefault="00D1585A">
      <w:pPr>
        <w:pStyle w:val="ManualNumPar1"/>
        <w:rPr>
          <w:noProof/>
        </w:rPr>
      </w:pPr>
      <w:r>
        <w:t>4.</w:t>
      </w:r>
      <w:r>
        <w:tab/>
      </w:r>
      <w:r>
        <w:rPr>
          <w:noProof/>
        </w:rPr>
        <w:t>Amet luuakse määramata ajaks alates [...]</w:t>
      </w:r>
    </w:p>
    <w:p w:rsidR="00F4358D" w:rsidRDefault="00D1585A">
      <w:pPr>
        <w:pStyle w:val="ManualNumPar1"/>
        <w:rPr>
          <w:noProof/>
        </w:rPr>
      </w:pPr>
      <w:r>
        <w:t>5.</w:t>
      </w:r>
      <w:r>
        <w:tab/>
      </w:r>
      <w:r>
        <w:rPr>
          <w:noProof/>
        </w:rPr>
        <w:t>Määruse (EL) nr 526/2013 artikli 24 lõike 4 alusel ametisse nimetatud tegevdirektor jääb tegevdirektoriks oma ametiaja lõpuni.</w:t>
      </w:r>
    </w:p>
    <w:p w:rsidR="00F4358D" w:rsidRDefault="00D1585A">
      <w:pPr>
        <w:pStyle w:val="ManualNumPar1"/>
        <w:rPr>
          <w:noProof/>
        </w:rPr>
      </w:pPr>
      <w:r>
        <w:t>6.</w:t>
      </w:r>
      <w:r>
        <w:tab/>
      </w:r>
      <w:r>
        <w:rPr>
          <w:noProof/>
        </w:rPr>
        <w:t xml:space="preserve">Määruse (EL) nr 526/2013 artikli 6 alusel ametisse </w:t>
      </w:r>
      <w:r>
        <w:rPr>
          <w:noProof/>
        </w:rPr>
        <w:t>nimetatud haldusnõukogu liikmed ja nende asendusliikmed jäävad ameti haldusnõukogu liikmeteks ja nende asendusliikmeteks oma ametiaja lõpuni.</w:t>
      </w:r>
    </w:p>
    <w:p w:rsidR="00F4358D" w:rsidRDefault="00D1585A">
      <w:pPr>
        <w:pStyle w:val="Titrearticle"/>
        <w:spacing w:before="0"/>
        <w:rPr>
          <w:noProof/>
        </w:rPr>
      </w:pPr>
      <w:r>
        <w:rPr>
          <w:noProof/>
        </w:rPr>
        <w:t>Artikkel 58</w:t>
      </w:r>
    </w:p>
    <w:p w:rsidR="00F4358D" w:rsidRDefault="00D1585A">
      <w:pPr>
        <w:pStyle w:val="Titrearticle"/>
        <w:spacing w:before="0"/>
        <w:rPr>
          <w:b/>
          <w:noProof/>
        </w:rPr>
      </w:pPr>
      <w:r>
        <w:rPr>
          <w:noProof/>
        </w:rPr>
        <w:t xml:space="preserve"> </w:t>
      </w:r>
      <w:r>
        <w:rPr>
          <w:b/>
          <w:noProof/>
        </w:rPr>
        <w:t>Jõustumine</w:t>
      </w:r>
    </w:p>
    <w:p w:rsidR="00F4358D" w:rsidRDefault="00D1585A">
      <w:pPr>
        <w:pStyle w:val="ManualNumPar1"/>
        <w:rPr>
          <w:noProof/>
        </w:rPr>
      </w:pPr>
      <w:r>
        <w:t>1.</w:t>
      </w:r>
      <w:r>
        <w:tab/>
      </w:r>
      <w:r>
        <w:rPr>
          <w:noProof/>
        </w:rPr>
        <w:t>Käesolev määrus jõustub kahekümnendal päeval pärast selle avaldamist Euroopa Liidu Teat</w:t>
      </w:r>
      <w:r>
        <w:rPr>
          <w:noProof/>
        </w:rPr>
        <w:t>ajas.</w:t>
      </w:r>
    </w:p>
    <w:p w:rsidR="00F4358D" w:rsidRDefault="00D1585A">
      <w:pPr>
        <w:pStyle w:val="ManualNumPar1"/>
        <w:rPr>
          <w:noProof/>
        </w:rPr>
      </w:pPr>
      <w:r>
        <w:t>2.</w:t>
      </w:r>
      <w:r>
        <w:tab/>
      </w:r>
      <w:r>
        <w:rPr>
          <w:noProof/>
        </w:rPr>
        <w:t>Käesolev määrus on tervikuna siduv ja vahetult kohaldatav kõikides liikmesriikides.</w:t>
      </w:r>
    </w:p>
    <w:p w:rsidR="00F4358D" w:rsidRDefault="00D1585A" w:rsidP="00D1585A">
      <w:pPr>
        <w:pStyle w:val="Fait"/>
        <w:rPr>
          <w:noProof/>
        </w:rPr>
      </w:pPr>
      <w:r w:rsidRPr="00D1585A">
        <w:t>Brüssel,</w:t>
      </w:r>
    </w:p>
    <w:p w:rsidR="00F4358D" w:rsidRDefault="00D1585A">
      <w:pPr>
        <w:pStyle w:val="Institutionquisigne"/>
        <w:rPr>
          <w:noProof/>
        </w:rPr>
      </w:pPr>
      <w:r>
        <w:rPr>
          <w:noProof/>
        </w:rPr>
        <w:t>Euroopa Parlamendi nimel</w:t>
      </w:r>
      <w:r>
        <w:rPr>
          <w:noProof/>
        </w:rPr>
        <w:tab/>
        <w:t>Nõukogu nimel</w:t>
      </w:r>
    </w:p>
    <w:p w:rsidR="00F4358D" w:rsidRDefault="00D1585A">
      <w:pPr>
        <w:pStyle w:val="Personnequisigne"/>
        <w:rPr>
          <w:noProof/>
        </w:rPr>
      </w:pPr>
      <w:r>
        <w:rPr>
          <w:noProof/>
        </w:rPr>
        <w:t>president</w:t>
      </w:r>
      <w:r>
        <w:rPr>
          <w:noProof/>
        </w:rPr>
        <w:tab/>
        <w:t>eesistuja</w:t>
      </w:r>
    </w:p>
    <w:p w:rsidR="00F4358D" w:rsidRDefault="00F4358D">
      <w:pPr>
        <w:rPr>
          <w:noProof/>
        </w:rPr>
        <w:sectPr w:rsidR="00F4358D" w:rsidSect="00D1585A">
          <w:footerReference w:type="default" r:id="rId20"/>
          <w:footerReference w:type="first" r:id="rId21"/>
          <w:pgSz w:w="11907" w:h="16839"/>
          <w:pgMar w:top="1134" w:right="1417" w:bottom="1134" w:left="1417" w:header="709" w:footer="709" w:gutter="0"/>
          <w:cols w:space="708"/>
          <w:docGrid w:linePitch="360"/>
        </w:sectPr>
      </w:pPr>
    </w:p>
    <w:p w:rsidR="00F4358D" w:rsidRDefault="00D1585A">
      <w:pPr>
        <w:pStyle w:val="Fichefinanciretitre"/>
        <w:rPr>
          <w:noProof/>
        </w:rPr>
      </w:pPr>
      <w:bookmarkStart w:id="38" w:name="_Toc492216480"/>
      <w:r>
        <w:rPr>
          <w:noProof/>
        </w:rPr>
        <w:t>FINANTSSELGITUS</w:t>
      </w:r>
      <w:bookmarkEnd w:id="38"/>
      <w:r>
        <w:rPr>
          <w:noProof/>
        </w:rPr>
        <w:t xml:space="preserve"> </w:t>
      </w:r>
    </w:p>
    <w:p w:rsidR="00F4358D" w:rsidRDefault="00D1585A">
      <w:pPr>
        <w:pStyle w:val="ManualHeading1"/>
        <w:rPr>
          <w:bCs/>
          <w:noProof/>
          <w:szCs w:val="24"/>
        </w:rPr>
      </w:pPr>
      <w:bookmarkStart w:id="39" w:name="_Toc492216481"/>
      <w:r>
        <w:t>1.</w:t>
      </w:r>
      <w:r>
        <w:tab/>
      </w:r>
      <w:r>
        <w:rPr>
          <w:noProof/>
        </w:rPr>
        <w:t xml:space="preserve">ETTEPANEKU/ALGATUSE </w:t>
      </w:r>
      <w:r>
        <w:rPr>
          <w:noProof/>
        </w:rPr>
        <w:t>RAAMISTIK</w:t>
      </w:r>
      <w:bookmarkEnd w:id="39"/>
      <w:r>
        <w:rPr>
          <w:noProof/>
        </w:rPr>
        <w:t xml:space="preserve"> </w:t>
      </w:r>
    </w:p>
    <w:p w:rsidR="00F4358D" w:rsidRDefault="00D1585A">
      <w:pPr>
        <w:pStyle w:val="ManualHeading2"/>
        <w:rPr>
          <w:bCs/>
          <w:noProof/>
          <w:szCs w:val="24"/>
        </w:rPr>
      </w:pPr>
      <w:bookmarkStart w:id="40" w:name="_Toc492216482"/>
      <w:r>
        <w:t>1.1.</w:t>
      </w:r>
      <w:r>
        <w:tab/>
      </w:r>
      <w:r>
        <w:rPr>
          <w:noProof/>
        </w:rPr>
        <w:t>Ettepaneku/algatuse nimetus</w:t>
      </w:r>
      <w:bookmarkEnd w:id="40"/>
    </w:p>
    <w:p w:rsidR="00F4358D" w:rsidRDefault="00D1585A">
      <w:pPr>
        <w:pStyle w:val="Text1"/>
        <w:pBdr>
          <w:top w:val="single" w:sz="4" w:space="1" w:color="auto"/>
          <w:left w:val="single" w:sz="4" w:space="4" w:color="auto"/>
          <w:bottom w:val="single" w:sz="4" w:space="1" w:color="auto"/>
          <w:right w:val="single" w:sz="4" w:space="4" w:color="auto"/>
        </w:pBdr>
        <w:rPr>
          <w:noProof/>
        </w:rPr>
      </w:pPr>
      <w:r>
        <w:rPr>
          <w:noProof/>
        </w:rPr>
        <w:t xml:space="preserve">Euroopa Parlamendi ja nõukogu määrus, mis käsitleb ENISAt ehk ELi küberturvalisuse ametit, millega tunnistatakse kehtetuks määrus (EL) nr 526/2013 ja mis käsitleb info- ja kommunikatsioonitehnoloogia turvalisuse </w:t>
      </w:r>
      <w:r>
        <w:rPr>
          <w:noProof/>
        </w:rPr>
        <w:t>sertifitseerimist („küberturvalisust käsitlev õigusakt/määrus“)</w:t>
      </w:r>
    </w:p>
    <w:p w:rsidR="00F4358D" w:rsidRDefault="00D1585A">
      <w:pPr>
        <w:pStyle w:val="ManualHeading2"/>
        <w:rPr>
          <w:bCs/>
          <w:noProof/>
          <w:szCs w:val="24"/>
        </w:rPr>
      </w:pPr>
      <w:bookmarkStart w:id="41" w:name="_Toc492216483"/>
      <w:r>
        <w:t>1.2.</w:t>
      </w:r>
      <w:r>
        <w:tab/>
      </w:r>
      <w:r>
        <w:rPr>
          <w:noProof/>
        </w:rPr>
        <w:t>Asjaomased poliitikavaldkonnad</w:t>
      </w:r>
      <w:bookmarkEnd w:id="41"/>
    </w:p>
    <w:p w:rsidR="00F4358D" w:rsidRDefault="00D1585A">
      <w:pPr>
        <w:pStyle w:val="Text1"/>
        <w:pBdr>
          <w:top w:val="single" w:sz="4" w:space="1" w:color="auto"/>
          <w:left w:val="single" w:sz="4" w:space="4" w:color="auto"/>
          <w:bottom w:val="single" w:sz="4" w:space="1" w:color="auto"/>
          <w:right w:val="single" w:sz="4" w:space="4" w:color="auto"/>
        </w:pBdr>
        <w:rPr>
          <w:noProof/>
        </w:rPr>
      </w:pPr>
      <w:r>
        <w:rPr>
          <w:noProof/>
        </w:rPr>
        <w:t>Poliitikavaldkond: 09. Sidevõrgud, sisu ja tehnoloogia</w:t>
      </w:r>
    </w:p>
    <w:p w:rsidR="00F4358D" w:rsidRDefault="00D1585A">
      <w:pPr>
        <w:pStyle w:val="Text1"/>
        <w:pBdr>
          <w:top w:val="single" w:sz="4" w:space="1" w:color="auto"/>
          <w:left w:val="single" w:sz="4" w:space="4" w:color="auto"/>
          <w:bottom w:val="single" w:sz="4" w:space="1" w:color="auto"/>
          <w:right w:val="single" w:sz="4" w:space="4" w:color="auto"/>
        </w:pBdr>
        <w:rPr>
          <w:noProof/>
        </w:rPr>
      </w:pPr>
      <w:r>
        <w:rPr>
          <w:noProof/>
        </w:rPr>
        <w:t>Tegevusala: 09.02. Digitaalne ühtne turg</w:t>
      </w:r>
    </w:p>
    <w:p w:rsidR="00F4358D" w:rsidRDefault="00D1585A">
      <w:pPr>
        <w:pStyle w:val="ManualHeading2"/>
        <w:rPr>
          <w:bCs/>
          <w:noProof/>
          <w:szCs w:val="24"/>
        </w:rPr>
      </w:pPr>
      <w:bookmarkStart w:id="42" w:name="_Toc492216484"/>
      <w:r>
        <w:t>1.3.</w:t>
      </w:r>
      <w:r>
        <w:tab/>
      </w:r>
      <w:r>
        <w:rPr>
          <w:noProof/>
        </w:rPr>
        <w:t>Ettepaneku/algatuse liik</w:t>
      </w:r>
      <w:bookmarkEnd w:id="42"/>
    </w:p>
    <w:p w:rsidR="00F4358D" w:rsidRDefault="00D1585A">
      <w:pPr>
        <w:pStyle w:val="Text1"/>
        <w:rPr>
          <w:b/>
          <w:noProof/>
        </w:rPr>
      </w:pPr>
      <w:r>
        <w:rPr>
          <w:noProof/>
        </w:rPr>
        <w:sym w:font="Wingdings" w:char="F078"/>
      </w:r>
      <w:r>
        <w:rPr>
          <w:noProof/>
        </w:rPr>
        <w:t xml:space="preserve"> Ettepanek/algatus käsitleb </w:t>
      </w:r>
      <w:r>
        <w:rPr>
          <w:b/>
          <w:noProof/>
        </w:rPr>
        <w:t>u</w:t>
      </w:r>
      <w:r>
        <w:rPr>
          <w:b/>
          <w:noProof/>
        </w:rPr>
        <w:t>ut meedet (III jaotis – sertifitseerimine)</w:t>
      </w:r>
    </w:p>
    <w:p w:rsidR="00F4358D" w:rsidRDefault="00D1585A">
      <w:pPr>
        <w:pStyle w:val="Text1"/>
        <w:rPr>
          <w:noProof/>
          <w:sz w:val="22"/>
        </w:rPr>
      </w:pPr>
      <w:r>
        <w:rPr>
          <w:noProof/>
        </w:rPr>
        <w:sym w:font="Wingdings" w:char="F0A8"/>
      </w:r>
      <w:r>
        <w:rPr>
          <w:noProof/>
        </w:rPr>
        <w:t xml:space="preserve"> Ettepanek/algatus käsitleb </w:t>
      </w:r>
      <w:r>
        <w:rPr>
          <w:b/>
          <w:noProof/>
        </w:rPr>
        <w:t>uut meedet, mis tuleneb katseprojektist / ettevalmistavast meetmest</w:t>
      </w:r>
      <w:r>
        <w:rPr>
          <w:rStyle w:val="FootnoteReference"/>
          <w:noProof/>
        </w:rPr>
        <w:footnoteReference w:id="44"/>
      </w:r>
      <w:r>
        <w:rPr>
          <w:noProof/>
          <w:sz w:val="22"/>
        </w:rPr>
        <w:t xml:space="preserve"> </w:t>
      </w:r>
    </w:p>
    <w:p w:rsidR="00F4358D" w:rsidRDefault="00D1585A">
      <w:pPr>
        <w:pStyle w:val="Text1"/>
        <w:rPr>
          <w:b/>
          <w:noProof/>
        </w:rPr>
      </w:pPr>
      <w:r>
        <w:rPr>
          <w:noProof/>
        </w:rPr>
        <w:sym w:font="Wingdings" w:char="F078"/>
      </w:r>
      <w:r>
        <w:rPr>
          <w:noProof/>
        </w:rPr>
        <w:t xml:space="preserve"> Ettepanek/algatus käsitleb </w:t>
      </w:r>
      <w:r>
        <w:rPr>
          <w:b/>
          <w:noProof/>
        </w:rPr>
        <w:t>olemasoleva meetme pikendamist (II jaotis – ENISA mandaat)</w:t>
      </w:r>
    </w:p>
    <w:p w:rsidR="00F4358D" w:rsidRDefault="00D1585A">
      <w:pPr>
        <w:pStyle w:val="Text1"/>
        <w:rPr>
          <w:noProof/>
        </w:rPr>
      </w:pPr>
      <w:r>
        <w:rPr>
          <w:noProof/>
        </w:rPr>
        <w:sym w:font="Wingdings" w:char="F0A8"/>
      </w:r>
      <w:r>
        <w:rPr>
          <w:noProof/>
        </w:rPr>
        <w:t xml:space="preserve"> Ettepanek/algatus käsitleb </w:t>
      </w:r>
      <w:r>
        <w:rPr>
          <w:b/>
          <w:noProof/>
        </w:rPr>
        <w:t>ümbersuunatud meedet</w:t>
      </w:r>
    </w:p>
    <w:p w:rsidR="00F4358D" w:rsidRDefault="00D1585A">
      <w:pPr>
        <w:pStyle w:val="ManualHeading2"/>
        <w:rPr>
          <w:bCs/>
          <w:noProof/>
          <w:szCs w:val="24"/>
        </w:rPr>
      </w:pPr>
      <w:bookmarkStart w:id="43" w:name="_Toc492216485"/>
      <w:r>
        <w:t>1.4.</w:t>
      </w:r>
      <w:r>
        <w:tab/>
      </w:r>
      <w:r>
        <w:rPr>
          <w:noProof/>
        </w:rPr>
        <w:t>Eesmärgid</w:t>
      </w:r>
      <w:bookmarkEnd w:id="43"/>
    </w:p>
    <w:p w:rsidR="00F4358D" w:rsidRDefault="00D1585A">
      <w:pPr>
        <w:pStyle w:val="ManualHeading3"/>
        <w:rPr>
          <w:bCs/>
          <w:noProof/>
          <w:szCs w:val="24"/>
        </w:rPr>
      </w:pPr>
      <w:bookmarkStart w:id="44" w:name="_Toc492216486"/>
      <w:r>
        <w:t>1.4.1.</w:t>
      </w:r>
      <w:r>
        <w:tab/>
      </w:r>
      <w:r>
        <w:rPr>
          <w:noProof/>
        </w:rPr>
        <w:t>Komisjoni mitmeaastased strateegilised eesmärgid, mida ettepaneku/algatuse kaudu täidetakse</w:t>
      </w:r>
      <w:bookmarkEnd w:id="44"/>
    </w:p>
    <w:p w:rsidR="00F4358D" w:rsidRDefault="00D1585A">
      <w:pPr>
        <w:pStyle w:val="Text1"/>
        <w:pBdr>
          <w:top w:val="single" w:sz="4" w:space="0" w:color="auto"/>
          <w:left w:val="single" w:sz="4" w:space="4" w:color="auto"/>
          <w:bottom w:val="single" w:sz="4" w:space="1" w:color="auto"/>
          <w:right w:val="single" w:sz="4" w:space="4" w:color="auto"/>
        </w:pBdr>
        <w:rPr>
          <w:noProof/>
        </w:rPr>
      </w:pPr>
      <w:r>
        <w:rPr>
          <w:noProof/>
        </w:rPr>
        <w:t>1. Liikmesriikide, ettevõtjate ja ELi kui terviku vastupidavusvõime suurendamine</w:t>
      </w:r>
    </w:p>
    <w:p w:rsidR="00F4358D" w:rsidRDefault="00D1585A">
      <w:pPr>
        <w:pStyle w:val="Text1"/>
        <w:pBdr>
          <w:top w:val="single" w:sz="4" w:space="0" w:color="auto"/>
          <w:left w:val="single" w:sz="4" w:space="4" w:color="auto"/>
          <w:bottom w:val="single" w:sz="4" w:space="1" w:color="auto"/>
          <w:right w:val="single" w:sz="4" w:space="4" w:color="auto"/>
        </w:pBdr>
        <w:rPr>
          <w:noProof/>
        </w:rPr>
      </w:pPr>
      <w:r>
        <w:rPr>
          <w:noProof/>
        </w:rPr>
        <w:t>2. ELi IKT t</w:t>
      </w:r>
      <w:r>
        <w:rPr>
          <w:noProof/>
        </w:rPr>
        <w:t>oodete ja teenuste siseturu nõuetekohase toimimise tagamine</w:t>
      </w:r>
    </w:p>
    <w:p w:rsidR="00F4358D" w:rsidRDefault="00D1585A">
      <w:pPr>
        <w:pStyle w:val="Text1"/>
        <w:pBdr>
          <w:top w:val="single" w:sz="4" w:space="0" w:color="auto"/>
          <w:left w:val="single" w:sz="4" w:space="4" w:color="auto"/>
          <w:bottom w:val="single" w:sz="4" w:space="1" w:color="auto"/>
          <w:right w:val="single" w:sz="4" w:space="4" w:color="auto"/>
        </w:pBdr>
        <w:rPr>
          <w:noProof/>
        </w:rPr>
      </w:pPr>
      <w:r>
        <w:rPr>
          <w:noProof/>
        </w:rPr>
        <w:t>3. IKT valdkonnas tegutsevate ELi ettevõtjate ülemaailmse konkurentsivõime suurendamine</w:t>
      </w:r>
    </w:p>
    <w:p w:rsidR="00F4358D" w:rsidRDefault="00D1585A">
      <w:pPr>
        <w:pStyle w:val="Text1"/>
        <w:pBdr>
          <w:top w:val="single" w:sz="4" w:space="0" w:color="auto"/>
          <w:left w:val="single" w:sz="4" w:space="4" w:color="auto"/>
          <w:bottom w:val="single" w:sz="4" w:space="1" w:color="auto"/>
          <w:right w:val="single" w:sz="4" w:space="4" w:color="auto"/>
        </w:pBdr>
        <w:rPr>
          <w:noProof/>
        </w:rPr>
      </w:pPr>
      <w:r>
        <w:rPr>
          <w:noProof/>
        </w:rPr>
        <w:t>4. Liikmesriikide nende õigus- ja haldusnormide ühtlustamine, mille puhul on vaja tagada küberturvalisus</w:t>
      </w:r>
    </w:p>
    <w:p w:rsidR="00F4358D" w:rsidRDefault="00D1585A">
      <w:pPr>
        <w:pStyle w:val="ManualHeading3"/>
        <w:rPr>
          <w:noProof/>
        </w:rPr>
      </w:pPr>
      <w:bookmarkStart w:id="45" w:name="_Toc492216487"/>
      <w:r>
        <w:t>1.4</w:t>
      </w:r>
      <w:r>
        <w:t>.2.</w:t>
      </w:r>
      <w:r>
        <w:tab/>
      </w:r>
      <w:r>
        <w:rPr>
          <w:noProof/>
        </w:rPr>
        <w:t>Erieesmärgid</w:t>
      </w:r>
      <w:bookmarkEnd w:id="45"/>
      <w:r>
        <w:rPr>
          <w:noProof/>
        </w:rPr>
        <w:t xml:space="preserve"> </w:t>
      </w:r>
    </w:p>
    <w:tbl>
      <w:tblPr>
        <w:tblStyle w:val="TableGrid"/>
        <w:tblW w:w="0" w:type="auto"/>
        <w:tblInd w:w="850" w:type="dxa"/>
        <w:tblLook w:val="04A0" w:firstRow="1" w:lastRow="0" w:firstColumn="1" w:lastColumn="0" w:noHBand="0" w:noVBand="1"/>
      </w:tblPr>
      <w:tblGrid>
        <w:gridCol w:w="9005"/>
      </w:tblGrid>
      <w:tr w:rsidR="00F4358D">
        <w:tc>
          <w:tcPr>
            <w:tcW w:w="9855" w:type="dxa"/>
          </w:tcPr>
          <w:p w:rsidR="00F4358D" w:rsidRDefault="00D1585A">
            <w:pPr>
              <w:ind w:right="-29"/>
              <w:rPr>
                <w:noProof/>
              </w:rPr>
            </w:pPr>
            <w:r>
              <w:rPr>
                <w:noProof/>
              </w:rPr>
              <w:t>Üldeesmärki arvesse võttes on instrumendi eesmärk saavutada läbivaadatud küberturvalisuse strateegia laiemas kontekstis järgmised erieesmärgid, määrates kindlaks ENISA haldusala ja mandaadi ning kehtestades IKT toodete ja teenuste Euroopa</w:t>
            </w:r>
            <w:r>
              <w:rPr>
                <w:noProof/>
              </w:rPr>
              <w:t xml:space="preserve"> sertifitseerimise raamistiku:</w:t>
            </w:r>
          </w:p>
          <w:p w:rsidR="00F4358D" w:rsidRDefault="00D1585A">
            <w:pPr>
              <w:numPr>
                <w:ilvl w:val="0"/>
                <w:numId w:val="14"/>
              </w:numPr>
              <w:ind w:left="720" w:right="-29"/>
              <w:rPr>
                <w:noProof/>
              </w:rPr>
            </w:pPr>
            <w:r>
              <w:rPr>
                <w:noProof/>
              </w:rPr>
              <w:t xml:space="preserve">arendada liikmesriikide ja ettevõtjate </w:t>
            </w:r>
            <w:r>
              <w:rPr>
                <w:b/>
                <w:noProof/>
              </w:rPr>
              <w:t>suutlikkust ja valmisolekut</w:t>
            </w:r>
            <w:r>
              <w:rPr>
                <w:noProof/>
              </w:rPr>
              <w:t>;</w:t>
            </w:r>
          </w:p>
          <w:p w:rsidR="00F4358D" w:rsidRDefault="00D1585A">
            <w:pPr>
              <w:numPr>
                <w:ilvl w:val="0"/>
                <w:numId w:val="14"/>
              </w:numPr>
              <w:ind w:left="720" w:right="-29"/>
              <w:rPr>
                <w:noProof/>
              </w:rPr>
            </w:pPr>
            <w:r>
              <w:rPr>
                <w:noProof/>
              </w:rPr>
              <w:t>parandada k</w:t>
            </w:r>
            <w:r>
              <w:rPr>
                <w:b/>
                <w:noProof/>
              </w:rPr>
              <w:t>oostööd ja koordineerimist</w:t>
            </w:r>
            <w:r>
              <w:rPr>
                <w:noProof/>
              </w:rPr>
              <w:t xml:space="preserve"> liikmesriikides, ELis ning institutsioonides, organites ja asutustes;</w:t>
            </w:r>
          </w:p>
          <w:p w:rsidR="00F4358D" w:rsidRDefault="00D1585A">
            <w:pPr>
              <w:numPr>
                <w:ilvl w:val="0"/>
                <w:numId w:val="14"/>
              </w:numPr>
              <w:ind w:left="720" w:right="-29"/>
              <w:rPr>
                <w:noProof/>
              </w:rPr>
            </w:pPr>
            <w:r>
              <w:rPr>
                <w:noProof/>
              </w:rPr>
              <w:t xml:space="preserve">suurendada </w:t>
            </w:r>
            <w:r>
              <w:rPr>
                <w:b/>
                <w:noProof/>
              </w:rPr>
              <w:t>ELi tasandil suutlikkust täiendada lii</w:t>
            </w:r>
            <w:r>
              <w:rPr>
                <w:b/>
                <w:noProof/>
              </w:rPr>
              <w:t>kmesriikide võetavaid meetmeid</w:t>
            </w:r>
            <w:r>
              <w:rPr>
                <w:noProof/>
              </w:rPr>
              <w:t>, eelkõige piirüleste küberkriiside puhul;</w:t>
            </w:r>
          </w:p>
          <w:p w:rsidR="00F4358D" w:rsidRDefault="00D1585A">
            <w:pPr>
              <w:numPr>
                <w:ilvl w:val="0"/>
                <w:numId w:val="14"/>
              </w:numPr>
              <w:ind w:left="720" w:right="-29"/>
              <w:rPr>
                <w:noProof/>
              </w:rPr>
            </w:pPr>
            <w:r>
              <w:rPr>
                <w:noProof/>
              </w:rPr>
              <w:t xml:space="preserve">suurendada kodanike ja ettevõtjate </w:t>
            </w:r>
            <w:r>
              <w:rPr>
                <w:b/>
                <w:noProof/>
              </w:rPr>
              <w:t>teadlikkust</w:t>
            </w:r>
            <w:r>
              <w:rPr>
                <w:noProof/>
              </w:rPr>
              <w:t xml:space="preserve"> küberturvalisusega seotud küsimustest;</w:t>
            </w:r>
          </w:p>
          <w:p w:rsidR="00F4358D" w:rsidRDefault="00D1585A">
            <w:pPr>
              <w:numPr>
                <w:ilvl w:val="0"/>
                <w:numId w:val="14"/>
              </w:numPr>
              <w:ind w:left="720" w:right="-29"/>
              <w:rPr>
                <w:noProof/>
              </w:rPr>
            </w:pPr>
            <w:r>
              <w:rPr>
                <w:noProof/>
              </w:rPr>
              <w:t>suurendada usaldust digitaalse ühtse turu ja digitaalse uuendustegevuse vastu, suurendades IKT to</w:t>
            </w:r>
            <w:r>
              <w:rPr>
                <w:noProof/>
              </w:rPr>
              <w:t xml:space="preserve">odete ja teenuste </w:t>
            </w:r>
            <w:r>
              <w:rPr>
                <w:b/>
                <w:noProof/>
              </w:rPr>
              <w:t>küberturvalisuse alase usaldusväärsuse</w:t>
            </w:r>
            <w:r>
              <w:rPr>
                <w:rStyle w:val="FootnoteReference"/>
                <w:noProof/>
              </w:rPr>
              <w:footnoteReference w:id="45"/>
            </w:r>
            <w:r>
              <w:rPr>
                <w:noProof/>
              </w:rPr>
              <w:t xml:space="preserve"> üldist </w:t>
            </w:r>
            <w:r>
              <w:rPr>
                <w:b/>
                <w:noProof/>
              </w:rPr>
              <w:t>läbipaistvust</w:t>
            </w:r>
            <w:r>
              <w:rPr>
                <w:noProof/>
              </w:rPr>
              <w:t>.</w:t>
            </w:r>
          </w:p>
        </w:tc>
      </w:tr>
    </w:tbl>
    <w:p w:rsidR="00F4358D" w:rsidRDefault="00D1585A">
      <w:pPr>
        <w:pStyle w:val="Text1"/>
        <w:pBdr>
          <w:top w:val="single" w:sz="4" w:space="1" w:color="auto"/>
          <w:left w:val="single" w:sz="4" w:space="4" w:color="auto"/>
          <w:bottom w:val="single" w:sz="4" w:space="1" w:color="auto"/>
          <w:right w:val="single" w:sz="4" w:space="4" w:color="auto"/>
        </w:pBdr>
        <w:rPr>
          <w:b/>
          <w:noProof/>
        </w:rPr>
      </w:pPr>
      <w:r>
        <w:rPr>
          <w:b/>
          <w:noProof/>
        </w:rPr>
        <w:t>ENISA aitab saavutada eespool nimetatud eesmärgid järgmiselt:</w:t>
      </w:r>
    </w:p>
    <w:p w:rsidR="00F4358D" w:rsidRDefault="00D1585A">
      <w:pPr>
        <w:pStyle w:val="Text1"/>
        <w:pBdr>
          <w:top w:val="single" w:sz="4" w:space="1" w:color="auto"/>
          <w:left w:val="single" w:sz="4" w:space="4" w:color="auto"/>
          <w:bottom w:val="single" w:sz="4" w:space="1" w:color="auto"/>
          <w:right w:val="single" w:sz="4" w:space="1" w:color="auto"/>
        </w:pBdr>
        <w:rPr>
          <w:noProof/>
        </w:rPr>
      </w:pPr>
      <w:r>
        <w:rPr>
          <w:b/>
          <w:noProof/>
        </w:rPr>
        <w:t>suurem toetus poliitikakujundamisele</w:t>
      </w:r>
      <w:r>
        <w:rPr>
          <w:noProof/>
        </w:rPr>
        <w:t xml:space="preserve"> – annab komisjonile ja liikmesriikidele juhiseid ja nõuandeid, et töötada kü</w:t>
      </w:r>
      <w:r>
        <w:rPr>
          <w:noProof/>
        </w:rPr>
        <w:t>berturvalisuse valdkonnas välja terviklik normatiivne raamistik ning sektoripõhised poliitika- ja seadusandlikud algatused ning neid ajakohastada; panustab koostöörühma (direktiivi (EL) 2016/1148 artikkel 11) töösse, andes oskusteavet ja abi; toetab poliit</w:t>
      </w:r>
      <w:r>
        <w:rPr>
          <w:noProof/>
        </w:rPr>
        <w:t>ikakujundamist ja rakendamist e-identimise ja usaldusteenuste valdkonnas; edendab parimate tavade jagamist pädevate asutuste vahel;</w:t>
      </w:r>
    </w:p>
    <w:p w:rsidR="00F4358D" w:rsidRDefault="00D1585A">
      <w:pPr>
        <w:pStyle w:val="Text1"/>
        <w:pBdr>
          <w:top w:val="single" w:sz="4" w:space="1" w:color="auto"/>
          <w:left w:val="single" w:sz="4" w:space="1" w:color="auto"/>
          <w:bottom w:val="single" w:sz="4" w:space="1" w:color="auto"/>
          <w:right w:val="single" w:sz="4" w:space="1" w:color="auto"/>
        </w:pBdr>
        <w:rPr>
          <w:noProof/>
        </w:rPr>
      </w:pPr>
      <w:r>
        <w:rPr>
          <w:b/>
          <w:noProof/>
        </w:rPr>
        <w:t>suurem toetus suutlikkuse arendamisele</w:t>
      </w:r>
      <w:r>
        <w:rPr>
          <w:noProof/>
        </w:rPr>
        <w:t xml:space="preserve"> – aitab liikmesriikidel ning Euroopa Liidu institutsioonidel, organitel ja asutustel töötada välja ja parandada küberturvalisuse probleemide ja intsidentide ärahoidmise, avastamise, analüüsimise ja neile reageerimise suutlikkust; aitab liikmesriikidel, ku</w:t>
      </w:r>
      <w:r>
        <w:rPr>
          <w:noProof/>
        </w:rPr>
        <w:t>i nad seda taotlevad, arendada välja riiklikud küberturbe intsidentide lahendamise üksused (CSIRTid) ja riiklikud küberturvalisuse strateegiad; aitab Euroopa Liidu institutsioonidel arendada välja ja vaadata läbi Euroopa Liidu küberturvalisuse strateegiad;</w:t>
      </w:r>
      <w:r>
        <w:rPr>
          <w:noProof/>
        </w:rPr>
        <w:t xml:space="preserve"> pakub küberturvalisuse alast koolitust; aitab liikmesriikidel tutvustada koostöörühma kaudu parimaid tavasid; soodustab valdkondlike teabe jagamise ja analüüsimise keskuste (ISACide) loomist;</w:t>
      </w:r>
    </w:p>
    <w:p w:rsidR="00F4358D" w:rsidRDefault="00D1585A">
      <w:pPr>
        <w:pStyle w:val="Text1"/>
        <w:pBdr>
          <w:top w:val="single" w:sz="4" w:space="1" w:color="auto"/>
          <w:left w:val="single" w:sz="4" w:space="1" w:color="auto"/>
          <w:bottom w:val="single" w:sz="4" w:space="1" w:color="auto"/>
          <w:right w:val="single" w:sz="4" w:space="1" w:color="auto"/>
        </w:pBdr>
        <w:rPr>
          <w:noProof/>
        </w:rPr>
      </w:pPr>
      <w:r>
        <w:rPr>
          <w:b/>
          <w:noProof/>
        </w:rPr>
        <w:t>operatiivkoostöö ja kriisiohje toetamine</w:t>
      </w:r>
      <w:r>
        <w:rPr>
          <w:noProof/>
        </w:rPr>
        <w:t xml:space="preserve"> – toetab koostööd päde</w:t>
      </w:r>
      <w:r>
        <w:rPr>
          <w:noProof/>
        </w:rPr>
        <w:t>vate avalik-õiguslike asutuste seas ja sidusrühmade vahel, luues süsteemse koostöö Euroopa Liidu institutsioonide, organite ja ametitega, kelle tegevus puudutab küberturvalisust, küberkuritegevust ning eraelu puutumatuse ja isikuandmete kaitset; tagab CSIR</w:t>
      </w:r>
      <w:r>
        <w:rPr>
          <w:noProof/>
        </w:rPr>
        <w:t>Tide võrgustiku sekretariaaditeenused (direktiivi (EL) 2016/1148 artikli 12 lõige 2) ja panustab operatiivkoostöösse võrgustikuga, tagades koostöös CERT-EUga liikmesriikide taotluse korral neile vajaliku toe; korraldab korrapäraselt küberturvalisuse õppusi</w:t>
      </w:r>
      <w:r>
        <w:rPr>
          <w:noProof/>
        </w:rPr>
        <w:t>; aitab töötada välja koostööl põhinevat reageerimist ulatuslikele piirülestele küberturvalisuse intsidentidele ja kriisidele; viib koostöös CSIRTide võrgustikuga ellu oluliste intsidentide tehnilised järeluurimised ja annab edasisi soovitusi;</w:t>
      </w:r>
    </w:p>
    <w:p w:rsidR="00F4358D" w:rsidRDefault="00D1585A">
      <w:pPr>
        <w:pStyle w:val="Text1"/>
        <w:pBdr>
          <w:top w:val="single" w:sz="4" w:space="1" w:color="auto"/>
          <w:left w:val="single" w:sz="4" w:space="1" w:color="auto"/>
          <w:bottom w:val="single" w:sz="4" w:space="1" w:color="auto"/>
          <w:right w:val="single" w:sz="4" w:space="1" w:color="auto"/>
        </w:pBdr>
        <w:rPr>
          <w:noProof/>
        </w:rPr>
      </w:pPr>
      <w:r>
        <w:rPr>
          <w:b/>
          <w:noProof/>
        </w:rPr>
        <w:t>turuga seotu</w:t>
      </w:r>
      <w:r>
        <w:rPr>
          <w:b/>
          <w:noProof/>
        </w:rPr>
        <w:t>d ülesanded (standardimine ja sertifitseerimine)</w:t>
      </w:r>
      <w:r>
        <w:rPr>
          <w:noProof/>
        </w:rPr>
        <w:t xml:space="preserve"> – täidab mitmeid ülesandeid, et toetada siseturgu: tegutseb küberturvalisuse turu vaatlusrühmana, analüüsides küberturvalisuse turu asjaomaseid suundumusi, et reageerida paremini nõudlusele ja pakkumisele; t</w:t>
      </w:r>
      <w:r>
        <w:rPr>
          <w:noProof/>
        </w:rPr>
        <w:t xml:space="preserve">oetab ja edendab Euroopa Liidu tegevuspõhimõtete väljatöötamist ja rakendamist IKT toodete ja teenuste küberturvalisuse sertifitseerimise valdkonnas, koostades IKT toodete ja teenuste jaoks ettevalmistavad Euroopa küberturvalisuse sertifitseerimise kavad, </w:t>
      </w:r>
      <w:r>
        <w:rPr>
          <w:noProof/>
        </w:rPr>
        <w:t xml:space="preserve">tagades Euroopa Liidu küberturvalisuse sertifitseerimise rühma sekretariaaditeenused ning IKT toodete ja teenuste turvanõuete juhised ja head tavad koostöös riiklike sertifitseerimise järelevalveasutuste ja tööstusega; </w:t>
      </w:r>
      <w:r>
        <w:rPr>
          <w:b/>
          <w:noProof/>
        </w:rPr>
        <w:t>suurem toetus teadmiste, teabe ja tea</w:t>
      </w:r>
      <w:r>
        <w:rPr>
          <w:b/>
          <w:noProof/>
        </w:rPr>
        <w:t>dlikkuse suurendamisele</w:t>
      </w:r>
      <w:r>
        <w:rPr>
          <w:noProof/>
        </w:rPr>
        <w:t xml:space="preserve"> – annab komisjonile ja liikmesriikidele abi ja nõu kogu liidus võrgu- ja infoturbe küsimustes kõrgetasemeliste teadmiste omandamiseks ja nende rakendamiseks tööstusvaldkonna sidusrühmade suhtes. Selleks tuleb ka spetsiaalse portaali kaudu koondada, korral</w:t>
      </w:r>
      <w:r>
        <w:rPr>
          <w:noProof/>
        </w:rPr>
        <w:t>dada ja teha avalikkusele kättesaadavaks võrgu- ja infosüsteemide turvalisust [või küberturvalisust] käsitlevat teavet. Teine tähtis element on küberturvalisuse riske käsitlevad teadlikkuse suurendamise tegevused ja teavituskampaaniad, mis on suunatud laie</w:t>
      </w:r>
      <w:r>
        <w:rPr>
          <w:noProof/>
        </w:rPr>
        <w:t>male avalikkusele;</w:t>
      </w:r>
    </w:p>
    <w:p w:rsidR="00F4358D" w:rsidRDefault="00D1585A">
      <w:pPr>
        <w:pStyle w:val="Text1"/>
        <w:pBdr>
          <w:top w:val="single" w:sz="4" w:space="1" w:color="auto"/>
          <w:left w:val="single" w:sz="4" w:space="1" w:color="auto"/>
          <w:bottom w:val="single" w:sz="4" w:space="1" w:color="auto"/>
          <w:right w:val="single" w:sz="4" w:space="1" w:color="auto"/>
        </w:pBdr>
        <w:rPr>
          <w:noProof/>
        </w:rPr>
      </w:pPr>
      <w:r>
        <w:rPr>
          <w:b/>
          <w:noProof/>
        </w:rPr>
        <w:t>suurem toetus teadus- ja uuendustegevusele</w:t>
      </w:r>
      <w:r>
        <w:rPr>
          <w:noProof/>
        </w:rPr>
        <w:t xml:space="preserve"> – annab nõuandeid vajalike teadusuuringute ja prioriteetide kohta küberturvalisuse valdkonnas;</w:t>
      </w:r>
    </w:p>
    <w:p w:rsidR="00F4358D" w:rsidRDefault="00D1585A">
      <w:pPr>
        <w:pStyle w:val="Text1"/>
        <w:pBdr>
          <w:top w:val="single" w:sz="4" w:space="1" w:color="auto"/>
          <w:left w:val="single" w:sz="4" w:space="1" w:color="auto"/>
          <w:bottom w:val="single" w:sz="4" w:space="1" w:color="auto"/>
          <w:right w:val="single" w:sz="4" w:space="1" w:color="auto"/>
        </w:pBdr>
        <w:rPr>
          <w:noProof/>
        </w:rPr>
      </w:pPr>
      <w:r>
        <w:rPr>
          <w:b/>
          <w:noProof/>
        </w:rPr>
        <w:t>rahvusvahelise koostöö toetamine</w:t>
      </w:r>
      <w:r>
        <w:rPr>
          <w:noProof/>
        </w:rPr>
        <w:t xml:space="preserve"> – toetab jõupingutusi, mida Euroopa Liit teeb kolmandate riikide j</w:t>
      </w:r>
      <w:r>
        <w:rPr>
          <w:noProof/>
        </w:rPr>
        <w:t>a rahvusvaheliste organisatsioonidega koostöö tegemiseks, et edendada küberturvalisuse valdkonnas tehtavat rahvusvahelist koostööd.</w:t>
      </w:r>
    </w:p>
    <w:p w:rsidR="00F4358D" w:rsidRDefault="00D1585A">
      <w:pPr>
        <w:pStyle w:val="Text1"/>
        <w:pBdr>
          <w:top w:val="single" w:sz="4" w:space="1" w:color="auto"/>
          <w:left w:val="single" w:sz="4" w:space="1" w:color="auto"/>
          <w:bottom w:val="single" w:sz="4" w:space="1" w:color="auto"/>
          <w:right w:val="single" w:sz="4" w:space="1" w:color="auto"/>
        </w:pBdr>
        <w:rPr>
          <w:b/>
          <w:noProof/>
          <w:u w:val="single"/>
        </w:rPr>
      </w:pPr>
      <w:r>
        <w:rPr>
          <w:b/>
          <w:noProof/>
          <w:u w:val="single"/>
        </w:rPr>
        <w:t>SERTIFITSEERIMINE</w:t>
      </w:r>
    </w:p>
    <w:p w:rsidR="00F4358D" w:rsidRDefault="00D1585A">
      <w:pPr>
        <w:pStyle w:val="Text1"/>
        <w:pBdr>
          <w:top w:val="single" w:sz="4" w:space="1" w:color="auto"/>
          <w:left w:val="single" w:sz="4" w:space="1" w:color="auto"/>
          <w:bottom w:val="single" w:sz="4" w:space="1" w:color="auto"/>
          <w:right w:val="single" w:sz="4" w:space="1" w:color="auto"/>
        </w:pBdr>
        <w:rPr>
          <w:noProof/>
        </w:rPr>
      </w:pPr>
      <w:r>
        <w:rPr>
          <w:b/>
          <w:noProof/>
        </w:rPr>
        <w:t>Sertifitseerimisraamistik aitab saavutada eesmärke</w:t>
      </w:r>
      <w:r>
        <w:rPr>
          <w:noProof/>
        </w:rPr>
        <w:t>, suurendades IKT toodete ja teenuste küberturvalisuse a</w:t>
      </w:r>
      <w:r>
        <w:rPr>
          <w:noProof/>
        </w:rPr>
        <w:t>lase usaldusväärsuse</w:t>
      </w:r>
      <w:r>
        <w:rPr>
          <w:rStyle w:val="FootnoteReference"/>
          <w:noProof/>
        </w:rPr>
        <w:footnoteReference w:id="46"/>
      </w:r>
      <w:r>
        <w:rPr>
          <w:noProof/>
        </w:rPr>
        <w:t xml:space="preserve"> üldist läbipaistvust ja seeläbi ka usaldust digitaalse ühtse turu ja digitaalse uuendustegevuse vastu. Selle abil peaks ka olema võimalik vältida sertifitseerimise kavade killustatust ELis ning nendega seotud turvanõuete ja hindamiskr</w:t>
      </w:r>
      <w:r>
        <w:rPr>
          <w:noProof/>
        </w:rPr>
        <w:t>iteeriumide killustatust liikmesriikides ja sektorites.</w:t>
      </w:r>
    </w:p>
    <w:p w:rsidR="00F4358D" w:rsidRDefault="00F4358D">
      <w:pPr>
        <w:rPr>
          <w:bCs/>
          <w:noProof/>
          <w:szCs w:val="24"/>
        </w:rPr>
      </w:pPr>
    </w:p>
    <w:p w:rsidR="00F4358D" w:rsidRDefault="00D1585A">
      <w:pPr>
        <w:pStyle w:val="ManualHeading3"/>
        <w:rPr>
          <w:bCs/>
          <w:noProof/>
          <w:szCs w:val="24"/>
        </w:rPr>
      </w:pPr>
      <w:bookmarkStart w:id="46" w:name="_Toc492216488"/>
      <w:r>
        <w:t>1.4.3.</w:t>
      </w:r>
      <w:r>
        <w:tab/>
      </w:r>
      <w:r>
        <w:rPr>
          <w:noProof/>
        </w:rPr>
        <w:t>Oodatavad tulemused ja mõju</w:t>
      </w:r>
      <w:bookmarkEnd w:id="46"/>
    </w:p>
    <w:p w:rsidR="00F4358D" w:rsidRDefault="00D1585A">
      <w:pPr>
        <w:pStyle w:val="Text1"/>
        <w:rPr>
          <w:i/>
          <w:noProof/>
          <w:sz w:val="20"/>
        </w:rPr>
      </w:pPr>
      <w:r>
        <w:rPr>
          <w:i/>
          <w:noProof/>
          <w:sz w:val="20"/>
        </w:rPr>
        <w:t>Täpsustage, milline peaks olema ettepaneku/algatuse oodatav mõju toetusesaajatele/sihtrühmale.</w:t>
      </w:r>
    </w:p>
    <w:p w:rsidR="00F4358D" w:rsidRDefault="00F4358D">
      <w:pPr>
        <w:pStyle w:val="Text1"/>
        <w:rPr>
          <w:i/>
          <w:noProof/>
          <w:sz w:val="20"/>
        </w:rPr>
      </w:pPr>
    </w:p>
    <w:p w:rsidR="00F4358D" w:rsidRDefault="00D1585A">
      <w:pPr>
        <w:pStyle w:val="Text1"/>
        <w:pBdr>
          <w:top w:val="single" w:sz="4" w:space="0" w:color="auto"/>
          <w:left w:val="single" w:sz="4" w:space="4" w:color="auto"/>
          <w:bottom w:val="single" w:sz="4" w:space="1" w:color="auto"/>
          <w:right w:val="single" w:sz="4" w:space="4" w:color="auto"/>
        </w:pBdr>
        <w:rPr>
          <w:noProof/>
          <w:szCs w:val="24"/>
        </w:rPr>
      </w:pPr>
      <w:r>
        <w:rPr>
          <w:noProof/>
        </w:rPr>
        <w:t>Tugevam ENISA (mis toetab suutlikkust, ennetamist, koostööd ja teadl</w:t>
      </w:r>
      <w:r>
        <w:rPr>
          <w:noProof/>
        </w:rPr>
        <w:t>ikkust ELi tasandil ja on seega kujundatud suurendama ELi üldist kübervastupidavusvõimet) ning IKT toodete ja teenuste ELi sertifitseerimisraamistiku toetamine annab eeldatavasti järgmised tulemused (loetelu ei ole ammendav).</w:t>
      </w:r>
    </w:p>
    <w:p w:rsidR="00F4358D" w:rsidRDefault="00D1585A">
      <w:pPr>
        <w:pStyle w:val="Text1"/>
        <w:pBdr>
          <w:top w:val="single" w:sz="4" w:space="0" w:color="auto"/>
          <w:left w:val="single" w:sz="4" w:space="4" w:color="auto"/>
          <w:bottom w:val="single" w:sz="4" w:space="1" w:color="auto"/>
          <w:right w:val="single" w:sz="4" w:space="4" w:color="auto"/>
        </w:pBdr>
        <w:rPr>
          <w:b/>
          <w:noProof/>
          <w:szCs w:val="24"/>
          <w:u w:val="single"/>
        </w:rPr>
      </w:pPr>
      <w:r>
        <w:rPr>
          <w:b/>
          <w:noProof/>
          <w:u w:val="single"/>
        </w:rPr>
        <w:t>Üldine mõju</w:t>
      </w:r>
    </w:p>
    <w:p w:rsidR="00F4358D" w:rsidRDefault="00D1585A">
      <w:pPr>
        <w:pStyle w:val="Text1"/>
        <w:pBdr>
          <w:top w:val="single" w:sz="4" w:space="0" w:color="auto"/>
          <w:left w:val="single" w:sz="4" w:space="4" w:color="auto"/>
          <w:bottom w:val="single" w:sz="4" w:space="1" w:color="auto"/>
          <w:right w:val="single" w:sz="4" w:space="4" w:color="auto"/>
        </w:pBdr>
        <w:rPr>
          <w:noProof/>
          <w:szCs w:val="24"/>
        </w:rPr>
      </w:pPr>
      <w:r>
        <w:rPr>
          <w:noProof/>
        </w:rPr>
        <w:t>- Üldine positiivn</w:t>
      </w:r>
      <w:r>
        <w:rPr>
          <w:noProof/>
        </w:rPr>
        <w:t>e mõju siseturule tänu väiksemale turu killustatusele ja parema koostöö abil usalduse suurendamisele digitaaltehnoloogia vastu, paremini ühtlustatud lähenemisviisidele ELi küberturvalisuse valdkonna põhimõtete puhul ja suuremale suutlikkusele ELi tasandil.</w:t>
      </w:r>
      <w:r>
        <w:rPr>
          <w:noProof/>
        </w:rPr>
        <w:t xml:space="preserve"> See peaks avaldama positiivset majanduslikku mõju, aidates vähendada küberturvalisuse / küberkuritegevuse intsidentide kulusid, mille hinnanguline majanduslik mõju liidus on 0,41 % ELi SKPst (s.o ligikaudu 55 miljardit eurot).</w:t>
      </w:r>
    </w:p>
    <w:p w:rsidR="00F4358D" w:rsidRDefault="00D1585A">
      <w:pPr>
        <w:pStyle w:val="Text1"/>
        <w:pBdr>
          <w:top w:val="single" w:sz="4" w:space="0" w:color="auto"/>
          <w:left w:val="single" w:sz="4" w:space="4" w:color="auto"/>
          <w:bottom w:val="single" w:sz="4" w:space="1" w:color="auto"/>
          <w:right w:val="single" w:sz="4" w:space="4" w:color="auto"/>
        </w:pBdr>
        <w:rPr>
          <w:b/>
          <w:noProof/>
          <w:szCs w:val="24"/>
          <w:u w:val="single"/>
        </w:rPr>
      </w:pPr>
      <w:r>
        <w:rPr>
          <w:b/>
          <w:noProof/>
          <w:u w:val="single"/>
        </w:rPr>
        <w:t>Konkreetsed tulemused</w:t>
      </w:r>
    </w:p>
    <w:p w:rsidR="00F4358D" w:rsidRDefault="00D1585A">
      <w:pPr>
        <w:pStyle w:val="Text1"/>
        <w:pBdr>
          <w:top w:val="single" w:sz="4" w:space="0" w:color="auto"/>
          <w:left w:val="single" w:sz="4" w:space="4" w:color="auto"/>
          <w:bottom w:val="single" w:sz="4" w:space="1" w:color="auto"/>
          <w:right w:val="single" w:sz="4" w:space="4" w:color="auto"/>
        </w:pBdr>
        <w:rPr>
          <w:noProof/>
          <w:szCs w:val="24"/>
        </w:rPr>
      </w:pPr>
      <w:r>
        <w:rPr>
          <w:b/>
          <w:i/>
          <w:noProof/>
        </w:rPr>
        <w:t>Liikme</w:t>
      </w:r>
      <w:r>
        <w:rPr>
          <w:b/>
          <w:i/>
          <w:noProof/>
        </w:rPr>
        <w:t xml:space="preserve">sriikide ja ettevõtjate parem küberturvalisuse alane suutlikkus ja valmisolek </w:t>
      </w:r>
    </w:p>
    <w:p w:rsidR="00F4358D" w:rsidRDefault="00D1585A">
      <w:pPr>
        <w:pStyle w:val="Text1"/>
        <w:pBdr>
          <w:top w:val="single" w:sz="4" w:space="0" w:color="auto"/>
          <w:left w:val="single" w:sz="4" w:space="4" w:color="auto"/>
          <w:bottom w:val="single" w:sz="4" w:space="1" w:color="auto"/>
          <w:right w:val="single" w:sz="4" w:space="4" w:color="auto"/>
        </w:pBdr>
        <w:rPr>
          <w:noProof/>
          <w:szCs w:val="24"/>
        </w:rPr>
      </w:pPr>
      <w:r>
        <w:rPr>
          <w:noProof/>
        </w:rPr>
        <w:t>- Liikmesriikide parem küberturvalisuse alane suutlikkus ja valmisolek (tänu küberohtude ja -intsidentide pikaajalisele strateegilisele analüüsile, juhistele ja aruannetele, osk</w:t>
      </w:r>
      <w:r>
        <w:rPr>
          <w:noProof/>
        </w:rPr>
        <w:t>usteabe ja heade tavade vahendamisele, koolitustele ja õppematerjalide kättesaadavusele ning täiustatud õppustele Cyber Europe).</w:t>
      </w:r>
    </w:p>
    <w:p w:rsidR="00F4358D" w:rsidRDefault="00D1585A">
      <w:pPr>
        <w:pStyle w:val="Text1"/>
        <w:pBdr>
          <w:top w:val="single" w:sz="4" w:space="0" w:color="auto"/>
          <w:left w:val="single" w:sz="4" w:space="4" w:color="auto"/>
          <w:bottom w:val="single" w:sz="4" w:space="1" w:color="auto"/>
          <w:right w:val="single" w:sz="4" w:space="4" w:color="auto"/>
        </w:pBdr>
        <w:rPr>
          <w:noProof/>
          <w:szCs w:val="24"/>
        </w:rPr>
      </w:pPr>
      <w:r>
        <w:rPr>
          <w:noProof/>
        </w:rPr>
        <w:t xml:space="preserve"> - Erasektori osalejate parem suutlikkus tänu teabe jagamise ja analüüsimise keskuste (ISACide) loomisele eri valdkondades.</w:t>
      </w:r>
    </w:p>
    <w:p w:rsidR="00F4358D" w:rsidRDefault="00D1585A">
      <w:pPr>
        <w:pStyle w:val="Text1"/>
        <w:pBdr>
          <w:top w:val="single" w:sz="4" w:space="0" w:color="auto"/>
          <w:left w:val="single" w:sz="4" w:space="4" w:color="auto"/>
          <w:bottom w:val="single" w:sz="4" w:space="1" w:color="auto"/>
          <w:right w:val="single" w:sz="4" w:space="4" w:color="auto"/>
        </w:pBdr>
        <w:rPr>
          <w:noProof/>
          <w:szCs w:val="24"/>
        </w:rPr>
      </w:pPr>
      <w:r>
        <w:rPr>
          <w:noProof/>
        </w:rPr>
        <w:t>- E</w:t>
      </w:r>
      <w:r>
        <w:rPr>
          <w:noProof/>
        </w:rPr>
        <w:t>Li ja liikmesriikide parem küberturvalisuse alane valmisolek tänu sellele, et õppuste Cyber Europe raames katsetatud suuremahuliste piiriüleste küberturvalisuse intsidentide puhul on kättesaadavad hästi läbi harjutatud ja kokkulepitud kavad.</w:t>
      </w:r>
    </w:p>
    <w:p w:rsidR="00F4358D" w:rsidRDefault="00D1585A">
      <w:pPr>
        <w:pStyle w:val="Text1"/>
        <w:pBdr>
          <w:top w:val="single" w:sz="4" w:space="0" w:color="auto"/>
          <w:left w:val="single" w:sz="4" w:space="4" w:color="auto"/>
          <w:bottom w:val="single" w:sz="4" w:space="1" w:color="auto"/>
          <w:right w:val="single" w:sz="4" w:space="4" w:color="auto"/>
        </w:pBdr>
        <w:rPr>
          <w:b/>
          <w:i/>
          <w:noProof/>
          <w:szCs w:val="24"/>
        </w:rPr>
      </w:pPr>
      <w:r>
        <w:rPr>
          <w:b/>
          <w:i/>
          <w:noProof/>
        </w:rPr>
        <w:t xml:space="preserve">Parem koostöö </w:t>
      </w:r>
      <w:r>
        <w:rPr>
          <w:b/>
          <w:i/>
          <w:noProof/>
        </w:rPr>
        <w:t>ja koordineerimine liikmesriikides ning ELi institutsioonides, organites ja asutustes</w:t>
      </w:r>
    </w:p>
    <w:p w:rsidR="00F4358D" w:rsidRDefault="00D1585A">
      <w:pPr>
        <w:pStyle w:val="Text1"/>
        <w:pBdr>
          <w:top w:val="single" w:sz="4" w:space="0" w:color="auto"/>
          <w:left w:val="single" w:sz="4" w:space="4" w:color="auto"/>
          <w:bottom w:val="single" w:sz="4" w:space="1" w:color="auto"/>
          <w:right w:val="single" w:sz="4" w:space="4" w:color="auto"/>
        </w:pBdr>
        <w:rPr>
          <w:noProof/>
          <w:szCs w:val="24"/>
        </w:rPr>
      </w:pPr>
      <w:r>
        <w:rPr>
          <w:noProof/>
        </w:rPr>
        <w:t>- Parem koostöö nii avaliku ja erasektori piires kui ka nende vahel.</w:t>
      </w:r>
    </w:p>
    <w:p w:rsidR="00F4358D" w:rsidRDefault="00D1585A">
      <w:pPr>
        <w:pStyle w:val="Text1"/>
        <w:pBdr>
          <w:top w:val="single" w:sz="4" w:space="0" w:color="auto"/>
          <w:left w:val="single" w:sz="4" w:space="4" w:color="auto"/>
          <w:bottom w:val="single" w:sz="4" w:space="1" w:color="auto"/>
          <w:right w:val="single" w:sz="4" w:space="4" w:color="auto"/>
        </w:pBdr>
        <w:rPr>
          <w:noProof/>
          <w:szCs w:val="24"/>
        </w:rPr>
      </w:pPr>
      <w:r>
        <w:rPr>
          <w:noProof/>
        </w:rPr>
        <w:t xml:space="preserve">- ELi võrgu- ja infoturbe direktiivi piiriülese ja valdkondliku rakendamise puhul ühtsema </w:t>
      </w:r>
      <w:r>
        <w:rPr>
          <w:noProof/>
        </w:rPr>
        <w:t>lähenemisviisi kasutamine.</w:t>
      </w:r>
    </w:p>
    <w:p w:rsidR="00F4358D" w:rsidRDefault="00D1585A">
      <w:pPr>
        <w:pStyle w:val="Text1"/>
        <w:pBdr>
          <w:top w:val="single" w:sz="4" w:space="0" w:color="auto"/>
          <w:left w:val="single" w:sz="4" w:space="0" w:color="auto"/>
          <w:bottom w:val="single" w:sz="4" w:space="1" w:color="auto"/>
          <w:right w:val="single" w:sz="4" w:space="4" w:color="auto"/>
        </w:pBdr>
        <w:rPr>
          <w:noProof/>
          <w:szCs w:val="24"/>
        </w:rPr>
      </w:pPr>
      <w:r>
        <w:rPr>
          <w:noProof/>
        </w:rPr>
        <w:t>- Parem koostöö sertifitseerimise valdkonnas tänu institutsioonilisele raamistikule, mis võimaldab töötada välja Euroopa küberturvalisuse sertifitseerimise kavad ja ühised tegevuspõhimõtted selles valdkonnas.</w:t>
      </w:r>
    </w:p>
    <w:p w:rsidR="00F4358D" w:rsidRDefault="00D1585A">
      <w:pPr>
        <w:pStyle w:val="Text1"/>
        <w:pBdr>
          <w:top w:val="single" w:sz="4" w:space="0" w:color="auto"/>
          <w:left w:val="single" w:sz="4" w:space="0" w:color="auto"/>
          <w:bottom w:val="single" w:sz="4" w:space="1" w:color="auto"/>
          <w:right w:val="single" w:sz="4" w:space="4" w:color="auto"/>
        </w:pBdr>
        <w:rPr>
          <w:b/>
          <w:i/>
          <w:noProof/>
          <w:szCs w:val="24"/>
        </w:rPr>
      </w:pPr>
      <w:r>
        <w:rPr>
          <w:b/>
          <w:i/>
          <w:noProof/>
        </w:rPr>
        <w:t>Suurem ELi tasandi s</w:t>
      </w:r>
      <w:r>
        <w:rPr>
          <w:b/>
          <w:i/>
          <w:noProof/>
        </w:rPr>
        <w:t>uutlikkus täiendada liikmesriikide võetavaid meetmeid</w:t>
      </w:r>
    </w:p>
    <w:p w:rsidR="00F4358D" w:rsidRDefault="00D1585A">
      <w:pPr>
        <w:pStyle w:val="Text1"/>
        <w:pBdr>
          <w:top w:val="single" w:sz="4" w:space="0" w:color="auto"/>
          <w:left w:val="single" w:sz="4" w:space="0" w:color="auto"/>
          <w:bottom w:val="single" w:sz="4" w:space="1" w:color="auto"/>
          <w:right w:val="single" w:sz="4" w:space="4" w:color="auto"/>
        </w:pBdr>
        <w:rPr>
          <w:noProof/>
          <w:szCs w:val="24"/>
        </w:rPr>
      </w:pPr>
      <w:r>
        <w:rPr>
          <w:noProof/>
        </w:rPr>
        <w:t>- Parem ELi tegevussuutlikkus täiendada liikmesriikide võetavaid meetmeid ja toetada liikmesriike piiritletud ja eelnevalt kindlaks määratud teenustega, kui nad esitavad vastava taotluse. Need avaldavad</w:t>
      </w:r>
      <w:r>
        <w:rPr>
          <w:noProof/>
        </w:rPr>
        <w:t xml:space="preserve"> tõenäoliselt positiivset mõju intsidentide edukale ärahoidmisele, avastamisele ja lahendamisele nii liikmesriigi kui ka liidu tasandil.</w:t>
      </w:r>
    </w:p>
    <w:p w:rsidR="00F4358D" w:rsidRDefault="00D1585A">
      <w:pPr>
        <w:pStyle w:val="Text1"/>
        <w:pBdr>
          <w:top w:val="single" w:sz="4" w:space="0" w:color="auto"/>
          <w:left w:val="single" w:sz="4" w:space="0" w:color="auto"/>
          <w:bottom w:val="single" w:sz="4" w:space="1" w:color="auto"/>
          <w:right w:val="single" w:sz="4" w:space="4" w:color="auto"/>
        </w:pBdr>
        <w:rPr>
          <w:b/>
          <w:i/>
          <w:noProof/>
          <w:szCs w:val="24"/>
        </w:rPr>
      </w:pPr>
      <w:r>
        <w:rPr>
          <w:b/>
          <w:i/>
          <w:noProof/>
        </w:rPr>
        <w:t>Kodanike ja ettevõtjate suurem teadlikkus küberturvalisusega seotud küsimustest</w:t>
      </w:r>
    </w:p>
    <w:p w:rsidR="00F4358D" w:rsidRDefault="00D1585A">
      <w:pPr>
        <w:pStyle w:val="Text1"/>
        <w:pBdr>
          <w:top w:val="single" w:sz="4" w:space="0" w:color="auto"/>
          <w:left w:val="single" w:sz="4" w:space="0" w:color="auto"/>
          <w:bottom w:val="single" w:sz="4" w:space="1" w:color="auto"/>
          <w:right w:val="single" w:sz="4" w:space="4" w:color="auto"/>
        </w:pBdr>
        <w:rPr>
          <w:noProof/>
          <w:szCs w:val="24"/>
        </w:rPr>
      </w:pPr>
      <w:r>
        <w:rPr>
          <w:noProof/>
        </w:rPr>
        <w:t xml:space="preserve"> - Kodanike ja ettevõtjate suurem üldin</w:t>
      </w:r>
      <w:r>
        <w:rPr>
          <w:noProof/>
        </w:rPr>
        <w:t>e teadlikkus küberturvalisusega seotud küsimustest.</w:t>
      </w:r>
    </w:p>
    <w:p w:rsidR="00F4358D" w:rsidRDefault="00D1585A">
      <w:pPr>
        <w:pStyle w:val="Text1"/>
        <w:pBdr>
          <w:top w:val="single" w:sz="4" w:space="0" w:color="auto"/>
          <w:left w:val="single" w:sz="4" w:space="0" w:color="auto"/>
          <w:bottom w:val="single" w:sz="4" w:space="1" w:color="auto"/>
          <w:right w:val="single" w:sz="4" w:space="4" w:color="auto"/>
        </w:pBdr>
        <w:rPr>
          <w:noProof/>
          <w:szCs w:val="24"/>
        </w:rPr>
      </w:pPr>
      <w:r>
        <w:rPr>
          <w:noProof/>
        </w:rPr>
        <w:t xml:space="preserve"> - Tänu küberturvalisuse sertifitseerimisele on võimalik teha paremini IKT toodete ja teenuste teadlikke ostuotsuseid.</w:t>
      </w:r>
    </w:p>
    <w:p w:rsidR="00F4358D" w:rsidRDefault="00D1585A">
      <w:pPr>
        <w:pStyle w:val="Text1"/>
        <w:pBdr>
          <w:top w:val="single" w:sz="4" w:space="0" w:color="auto"/>
          <w:left w:val="single" w:sz="4" w:space="0" w:color="auto"/>
          <w:bottom w:val="single" w:sz="4" w:space="1" w:color="auto"/>
          <w:right w:val="single" w:sz="4" w:space="4" w:color="auto"/>
        </w:pBdr>
        <w:rPr>
          <w:b/>
          <w:i/>
          <w:noProof/>
          <w:szCs w:val="24"/>
        </w:rPr>
      </w:pPr>
      <w:r>
        <w:rPr>
          <w:b/>
          <w:i/>
          <w:noProof/>
        </w:rPr>
        <w:t>Suurem usaldus digitaalse ühtse turu ja digitaalse uuendustegevuse vastu, suurendades</w:t>
      </w:r>
      <w:r>
        <w:rPr>
          <w:b/>
          <w:i/>
          <w:noProof/>
        </w:rPr>
        <w:t xml:space="preserve"> IKT toodete ja teenuste küberturvalisuse alase usaldusväärsuse läbipaistvust</w:t>
      </w:r>
    </w:p>
    <w:p w:rsidR="00F4358D" w:rsidRDefault="00D1585A">
      <w:pPr>
        <w:pStyle w:val="Text1"/>
        <w:pBdr>
          <w:top w:val="single" w:sz="4" w:space="0" w:color="auto"/>
          <w:left w:val="single" w:sz="4" w:space="0" w:color="auto"/>
          <w:bottom w:val="single" w:sz="4" w:space="1" w:color="auto"/>
          <w:right w:val="single" w:sz="4" w:space="4" w:color="auto"/>
        </w:pBdr>
        <w:rPr>
          <w:b/>
          <w:i/>
          <w:noProof/>
          <w:szCs w:val="24"/>
        </w:rPr>
      </w:pPr>
      <w:r>
        <w:rPr>
          <w:noProof/>
        </w:rPr>
        <w:t>- IKT toodete ja teenuste küberturvalisuse alase usaldusväärsuse</w:t>
      </w:r>
      <w:r>
        <w:rPr>
          <w:rStyle w:val="FootnoteReference"/>
          <w:noProof/>
        </w:rPr>
        <w:footnoteReference w:id="47"/>
      </w:r>
      <w:r>
        <w:rPr>
          <w:noProof/>
        </w:rPr>
        <w:t xml:space="preserve"> suurem läbipaistvus tänu turvalisuse sertifitseerimise menetluste lihtsustamisele ELi-ülese raamistiku abil.</w:t>
      </w:r>
    </w:p>
    <w:p w:rsidR="00F4358D" w:rsidRDefault="00D1585A">
      <w:pPr>
        <w:pStyle w:val="Text1"/>
        <w:pBdr>
          <w:top w:val="single" w:sz="4" w:space="0" w:color="auto"/>
          <w:left w:val="single" w:sz="4" w:space="0" w:color="auto"/>
          <w:bottom w:val="single" w:sz="4" w:space="1" w:color="auto"/>
          <w:right w:val="single" w:sz="4" w:space="4" w:color="auto"/>
        </w:pBdr>
        <w:rPr>
          <w:noProof/>
          <w:szCs w:val="24"/>
        </w:rPr>
      </w:pPr>
      <w:r>
        <w:rPr>
          <w:noProof/>
        </w:rPr>
        <w:t xml:space="preserve">- </w:t>
      </w:r>
      <w:r>
        <w:rPr>
          <w:noProof/>
        </w:rPr>
        <w:t>IKT toodete ja teenuste turvaomadused on usaldusväärsemad.</w:t>
      </w:r>
    </w:p>
    <w:p w:rsidR="00F4358D" w:rsidRDefault="00D1585A">
      <w:pPr>
        <w:pStyle w:val="Text1"/>
        <w:pBdr>
          <w:top w:val="single" w:sz="4" w:space="0" w:color="auto"/>
          <w:left w:val="single" w:sz="4" w:space="0" w:color="auto"/>
          <w:bottom w:val="single" w:sz="4" w:space="1" w:color="auto"/>
          <w:right w:val="single" w:sz="4" w:space="4" w:color="auto"/>
        </w:pBdr>
        <w:rPr>
          <w:noProof/>
          <w:szCs w:val="24"/>
        </w:rPr>
      </w:pPr>
      <w:r>
        <w:rPr>
          <w:noProof/>
        </w:rPr>
        <w:t>- Turvalisuse sertifitseerimine võetakse laialdasemalt kasutusele tänu lihtsustatud menetlustele, väiksematele kuludele ja kogu ELi hõlmavatele ärivõimalustele, mida ei takista turu killustatus.</w:t>
      </w:r>
    </w:p>
    <w:p w:rsidR="00F4358D" w:rsidRDefault="00D1585A">
      <w:pPr>
        <w:pStyle w:val="Text1"/>
        <w:pBdr>
          <w:top w:val="single" w:sz="4" w:space="0" w:color="auto"/>
          <w:left w:val="single" w:sz="4" w:space="0" w:color="auto"/>
          <w:bottom w:val="single" w:sz="4" w:space="1" w:color="auto"/>
          <w:right w:val="single" w:sz="4" w:space="4" w:color="auto"/>
        </w:pBdr>
        <w:rPr>
          <w:noProof/>
          <w:szCs w:val="24"/>
        </w:rPr>
      </w:pPr>
      <w:r>
        <w:rPr>
          <w:noProof/>
        </w:rPr>
        <w:t xml:space="preserve">- </w:t>
      </w:r>
      <w:r>
        <w:rPr>
          <w:noProof/>
        </w:rPr>
        <w:t>ELi küberturvalisuse turu parem konkurentsivõime tänu VKEde väiksematele kuludele ja halduskoormusele ning mitmest riiklikust sertifitseerimissüsteemist põhjustatud potentsiaalsete turule sisenemise tõkete kõrvaldamisele.</w:t>
      </w:r>
    </w:p>
    <w:p w:rsidR="00F4358D" w:rsidRDefault="00D1585A">
      <w:pPr>
        <w:pStyle w:val="Text1"/>
        <w:pBdr>
          <w:top w:val="single" w:sz="4" w:space="0" w:color="auto"/>
          <w:left w:val="single" w:sz="4" w:space="0" w:color="auto"/>
          <w:bottom w:val="single" w:sz="4" w:space="1" w:color="auto"/>
          <w:right w:val="single" w:sz="4" w:space="4" w:color="auto"/>
        </w:pBdr>
        <w:rPr>
          <w:b/>
          <w:i/>
          <w:noProof/>
          <w:szCs w:val="24"/>
        </w:rPr>
      </w:pPr>
      <w:r>
        <w:rPr>
          <w:b/>
          <w:i/>
          <w:noProof/>
        </w:rPr>
        <w:t>Muud</w:t>
      </w:r>
    </w:p>
    <w:p w:rsidR="00F4358D" w:rsidRDefault="00D1585A">
      <w:pPr>
        <w:pStyle w:val="Text1"/>
        <w:pBdr>
          <w:top w:val="single" w:sz="4" w:space="0" w:color="auto"/>
          <w:left w:val="single" w:sz="4" w:space="0" w:color="auto"/>
          <w:bottom w:val="single" w:sz="4" w:space="1" w:color="auto"/>
          <w:right w:val="single" w:sz="4" w:space="4" w:color="auto"/>
        </w:pBdr>
        <w:rPr>
          <w:noProof/>
          <w:szCs w:val="24"/>
        </w:rPr>
      </w:pPr>
      <w:r>
        <w:rPr>
          <w:noProof/>
        </w:rPr>
        <w:t xml:space="preserve"> - Ühegi eesmärgi puhul ei ee</w:t>
      </w:r>
      <w:r>
        <w:rPr>
          <w:noProof/>
        </w:rPr>
        <w:t>ldata märkimisväärse keskkonnamõju tekkimist.</w:t>
      </w:r>
    </w:p>
    <w:p w:rsidR="00F4358D" w:rsidRDefault="00D1585A">
      <w:pPr>
        <w:pStyle w:val="Text1"/>
        <w:pBdr>
          <w:top w:val="single" w:sz="4" w:space="0" w:color="auto"/>
          <w:left w:val="single" w:sz="4" w:space="0" w:color="auto"/>
          <w:bottom w:val="single" w:sz="4" w:space="1" w:color="auto"/>
          <w:right w:val="single" w:sz="4" w:space="4" w:color="auto"/>
        </w:pBdr>
        <w:rPr>
          <w:noProof/>
          <w:szCs w:val="24"/>
        </w:rPr>
      </w:pPr>
      <w:r>
        <w:rPr>
          <w:noProof/>
        </w:rPr>
        <w:t>- ELi eelarve puhul võib eeldada, et tõhusus suureneb tänu paremale koostööle ja tegevuse koordineerimisele ELi institutsioonide, organite ja asutuste vahel.</w:t>
      </w:r>
    </w:p>
    <w:p w:rsidR="00F4358D" w:rsidRDefault="00F4358D">
      <w:pPr>
        <w:pStyle w:val="Text1"/>
        <w:pBdr>
          <w:top w:val="single" w:sz="4" w:space="0" w:color="auto"/>
          <w:left w:val="single" w:sz="4" w:space="0" w:color="auto"/>
          <w:bottom w:val="single" w:sz="4" w:space="1" w:color="auto"/>
          <w:right w:val="single" w:sz="4" w:space="4" w:color="auto"/>
        </w:pBdr>
        <w:rPr>
          <w:noProof/>
          <w:szCs w:val="24"/>
        </w:rPr>
      </w:pPr>
    </w:p>
    <w:p w:rsidR="00F4358D" w:rsidRDefault="00F4358D">
      <w:pPr>
        <w:spacing w:after="0"/>
        <w:rPr>
          <w:noProof/>
          <w:sz w:val="22"/>
        </w:rPr>
      </w:pPr>
    </w:p>
    <w:p w:rsidR="00F4358D" w:rsidRDefault="00D1585A">
      <w:pPr>
        <w:pStyle w:val="ManualHeading3"/>
        <w:rPr>
          <w:bCs/>
          <w:noProof/>
          <w:szCs w:val="24"/>
        </w:rPr>
      </w:pPr>
      <w:bookmarkStart w:id="47" w:name="_Toc492216489"/>
      <w:r>
        <w:t>1.4.4.</w:t>
      </w:r>
      <w:r>
        <w:tab/>
      </w:r>
      <w:r>
        <w:rPr>
          <w:noProof/>
        </w:rPr>
        <w:t>Tulemus- ja mõjunäitajad</w:t>
      </w:r>
      <w:bookmarkEnd w:id="47"/>
    </w:p>
    <w:p w:rsidR="00F4358D" w:rsidRDefault="00D1585A">
      <w:pPr>
        <w:pStyle w:val="Text1"/>
        <w:rPr>
          <w:i/>
          <w:noProof/>
          <w:sz w:val="20"/>
        </w:rPr>
      </w:pPr>
      <w:r>
        <w:rPr>
          <w:i/>
          <w:noProof/>
          <w:sz w:val="20"/>
        </w:rPr>
        <w:t>Täpsustage, millis</w:t>
      </w:r>
      <w:r>
        <w:rPr>
          <w:i/>
          <w:noProof/>
          <w:sz w:val="20"/>
        </w:rPr>
        <w:t>te näitajate alusel hinnatakse ettepaneku/algatuse elluviimist.</w:t>
      </w:r>
    </w:p>
    <w:p w:rsidR="00F4358D" w:rsidRDefault="00F4358D">
      <w:pPr>
        <w:pStyle w:val="Point1letter"/>
        <w:numPr>
          <w:ilvl w:val="3"/>
          <w:numId w:val="73"/>
        </w:numPr>
        <w:rPr>
          <w:noProof/>
        </w:rPr>
      </w:pPr>
    </w:p>
    <w:tbl>
      <w:tblPr>
        <w:tblStyle w:val="TableGrid"/>
        <w:tblW w:w="0" w:type="auto"/>
        <w:tblInd w:w="959" w:type="dxa"/>
        <w:tblLook w:val="04A0" w:firstRow="1" w:lastRow="0" w:firstColumn="1" w:lastColumn="0" w:noHBand="0" w:noVBand="1"/>
      </w:tblPr>
      <w:tblGrid>
        <w:gridCol w:w="8896"/>
      </w:tblGrid>
      <w:tr w:rsidR="00F4358D">
        <w:tc>
          <w:tcPr>
            <w:tcW w:w="8896" w:type="dxa"/>
          </w:tcPr>
          <w:p w:rsidR="00F4358D" w:rsidRDefault="00D1585A">
            <w:pPr>
              <w:ind w:right="-29"/>
              <w:rPr>
                <w:b/>
                <w:noProof/>
              </w:rPr>
            </w:pPr>
            <w:r>
              <w:rPr>
                <w:b/>
                <w:noProof/>
              </w:rPr>
              <w:t>Eesmärk: arendada liikmesriikide ja ettevõtjate suutlikkust ja valmisolekut</w:t>
            </w:r>
          </w:p>
          <w:p w:rsidR="00F4358D" w:rsidRDefault="00D1585A">
            <w:pPr>
              <w:numPr>
                <w:ilvl w:val="0"/>
                <w:numId w:val="17"/>
              </w:numPr>
              <w:autoSpaceDE w:val="0"/>
              <w:autoSpaceDN w:val="0"/>
              <w:adjustRightInd w:val="0"/>
              <w:spacing w:after="0"/>
              <w:rPr>
                <w:noProof/>
                <w:szCs w:val="20"/>
              </w:rPr>
            </w:pPr>
            <w:r>
              <w:rPr>
                <w:noProof/>
              </w:rPr>
              <w:t>ENISA korraldatud koolituste arv.</w:t>
            </w:r>
          </w:p>
          <w:p w:rsidR="00F4358D" w:rsidRDefault="00D1585A">
            <w:pPr>
              <w:numPr>
                <w:ilvl w:val="0"/>
                <w:numId w:val="17"/>
              </w:numPr>
              <w:autoSpaceDE w:val="0"/>
              <w:autoSpaceDN w:val="0"/>
              <w:adjustRightInd w:val="0"/>
              <w:spacing w:after="0"/>
              <w:rPr>
                <w:noProof/>
                <w:szCs w:val="20"/>
              </w:rPr>
            </w:pPr>
            <w:r>
              <w:rPr>
                <w:noProof/>
              </w:rPr>
              <w:t>ENISA antud otsese abi geograafiline hõlmavus (riikide ja piirkondade arv).</w:t>
            </w:r>
          </w:p>
          <w:p w:rsidR="00F4358D" w:rsidRDefault="00D1585A">
            <w:pPr>
              <w:numPr>
                <w:ilvl w:val="0"/>
                <w:numId w:val="17"/>
              </w:numPr>
              <w:spacing w:after="0"/>
              <w:ind w:right="-29"/>
              <w:rPr>
                <w:noProof/>
                <w:szCs w:val="20"/>
              </w:rPr>
            </w:pPr>
            <w:r>
              <w:rPr>
                <w:noProof/>
              </w:rPr>
              <w:t>Liikmesriikide valmisoleku tase CSIRTide valmisoleku ning küberturvalisuse järelevalvega seotud regulatiivsete meetmete seisukohast.</w:t>
            </w:r>
          </w:p>
          <w:p w:rsidR="00F4358D" w:rsidRDefault="00D1585A">
            <w:pPr>
              <w:numPr>
                <w:ilvl w:val="0"/>
                <w:numId w:val="17"/>
              </w:numPr>
              <w:spacing w:after="0"/>
              <w:ind w:right="-29"/>
              <w:rPr>
                <w:noProof/>
                <w:szCs w:val="20"/>
              </w:rPr>
            </w:pPr>
            <w:r>
              <w:rPr>
                <w:noProof/>
              </w:rPr>
              <w:t>ENISA jagatud kogu ELi hõlmavate heade tavade arv elutähtsa taristu jaoks.</w:t>
            </w:r>
          </w:p>
          <w:p w:rsidR="00F4358D" w:rsidRDefault="00D1585A">
            <w:pPr>
              <w:numPr>
                <w:ilvl w:val="0"/>
                <w:numId w:val="17"/>
              </w:numPr>
              <w:spacing w:after="0"/>
              <w:ind w:right="-29"/>
              <w:rPr>
                <w:noProof/>
                <w:szCs w:val="20"/>
              </w:rPr>
            </w:pPr>
            <w:r>
              <w:rPr>
                <w:noProof/>
              </w:rPr>
              <w:t>ENISA jagatud kogu ELi hõlmavate heade tavade ar</w:t>
            </w:r>
            <w:r>
              <w:rPr>
                <w:noProof/>
              </w:rPr>
              <w:t>v VKEde jaoks.</w:t>
            </w:r>
          </w:p>
          <w:p w:rsidR="00F4358D" w:rsidRDefault="00D1585A">
            <w:pPr>
              <w:numPr>
                <w:ilvl w:val="0"/>
                <w:numId w:val="17"/>
              </w:numPr>
              <w:spacing w:after="0"/>
              <w:ind w:right="-29"/>
              <w:rPr>
                <w:noProof/>
                <w:szCs w:val="20"/>
              </w:rPr>
            </w:pPr>
            <w:r>
              <w:rPr>
                <w:noProof/>
              </w:rPr>
              <w:t>ENISA poolt küberohtude ja -intsidentide iga-aastase strateegilise analüüsi avaldamine, et määrata kindlaks tekkivad seaduspärad.</w:t>
            </w:r>
          </w:p>
          <w:p w:rsidR="00F4358D" w:rsidRDefault="00D1585A">
            <w:pPr>
              <w:numPr>
                <w:ilvl w:val="0"/>
                <w:numId w:val="17"/>
              </w:numPr>
              <w:spacing w:after="0"/>
              <w:ind w:right="-29"/>
              <w:rPr>
                <w:noProof/>
                <w:szCs w:val="20"/>
              </w:rPr>
            </w:pPr>
            <w:r>
              <w:rPr>
                <w:noProof/>
              </w:rPr>
              <w:t>ENISA pidev panus Euroopa standardiorganisatsioonide küberturvalisuse töörühmade töösse.</w:t>
            </w:r>
          </w:p>
          <w:p w:rsidR="00F4358D" w:rsidRDefault="00D1585A">
            <w:pPr>
              <w:ind w:right="-29"/>
              <w:rPr>
                <w:b/>
                <w:noProof/>
              </w:rPr>
            </w:pPr>
            <w:r>
              <w:rPr>
                <w:b/>
                <w:noProof/>
              </w:rPr>
              <w:t>Eesmärk: parandada koo</w:t>
            </w:r>
            <w:r>
              <w:rPr>
                <w:b/>
                <w:noProof/>
              </w:rPr>
              <w:t>stööd ja koordineerimist liikmesriikides ning ELi institutsioonides, organites ja asutustes</w:t>
            </w:r>
          </w:p>
          <w:p w:rsidR="00F4358D" w:rsidRDefault="00D1585A">
            <w:pPr>
              <w:numPr>
                <w:ilvl w:val="0"/>
                <w:numId w:val="17"/>
              </w:numPr>
              <w:spacing w:after="0"/>
              <w:ind w:right="-29"/>
              <w:rPr>
                <w:noProof/>
                <w:szCs w:val="20"/>
              </w:rPr>
            </w:pPr>
            <w:r>
              <w:rPr>
                <w:noProof/>
              </w:rPr>
              <w:t>Oma poliitika kujundamise protsessis ENISA soovitusi ja arvamusi kasutanud liikmesriikide arv.</w:t>
            </w:r>
          </w:p>
          <w:p w:rsidR="00F4358D" w:rsidRDefault="00D1585A">
            <w:pPr>
              <w:numPr>
                <w:ilvl w:val="0"/>
                <w:numId w:val="17"/>
              </w:numPr>
              <w:spacing w:after="0"/>
              <w:ind w:right="-29"/>
              <w:rPr>
                <w:noProof/>
                <w:szCs w:val="20"/>
              </w:rPr>
            </w:pPr>
            <w:r>
              <w:rPr>
                <w:noProof/>
              </w:rPr>
              <w:t>Oma poliitika kujundamise protsessis ENISA soovitusi ja arvamusi kasu</w:t>
            </w:r>
            <w:r>
              <w:rPr>
                <w:noProof/>
              </w:rPr>
              <w:t>tanud ELi institutsioonide, organite ja asutuste arv.</w:t>
            </w:r>
          </w:p>
          <w:p w:rsidR="00F4358D" w:rsidRDefault="00D1585A">
            <w:pPr>
              <w:numPr>
                <w:ilvl w:val="0"/>
                <w:numId w:val="17"/>
              </w:numPr>
              <w:spacing w:after="0"/>
              <w:ind w:right="-29"/>
              <w:rPr>
                <w:noProof/>
                <w:szCs w:val="20"/>
              </w:rPr>
            </w:pPr>
            <w:r>
              <w:rPr>
                <w:noProof/>
              </w:rPr>
              <w:t>CSIRTide võrgustiku tööprogrammi korrapärane rakendamine ning CSIRTide võrgustiku IT taristu ja teabevahetuskanalite hea toimimine.</w:t>
            </w:r>
          </w:p>
          <w:p w:rsidR="00F4358D" w:rsidRDefault="00D1585A">
            <w:pPr>
              <w:numPr>
                <w:ilvl w:val="0"/>
                <w:numId w:val="17"/>
              </w:numPr>
              <w:spacing w:after="0"/>
              <w:ind w:right="-29"/>
              <w:rPr>
                <w:noProof/>
                <w:szCs w:val="20"/>
              </w:rPr>
            </w:pPr>
            <w:r>
              <w:rPr>
                <w:noProof/>
              </w:rPr>
              <w:t>Koostöörühmale kättesaadavaks tehtud ja rühma kasutatud tehniliste aru</w:t>
            </w:r>
            <w:r>
              <w:rPr>
                <w:noProof/>
              </w:rPr>
              <w:t>annete arv.</w:t>
            </w:r>
          </w:p>
          <w:p w:rsidR="00F4358D" w:rsidRDefault="00D1585A">
            <w:pPr>
              <w:numPr>
                <w:ilvl w:val="0"/>
                <w:numId w:val="17"/>
              </w:numPr>
              <w:spacing w:after="0"/>
              <w:ind w:right="-29"/>
              <w:rPr>
                <w:noProof/>
                <w:szCs w:val="20"/>
              </w:rPr>
            </w:pPr>
            <w:r>
              <w:rPr>
                <w:noProof/>
              </w:rPr>
              <w:t>Võrgu- ja infoturbe direktiivi piiriülese ja valdkondliku rakendamise puhul ühtse lähenemisviisi kasutamine.</w:t>
            </w:r>
          </w:p>
          <w:p w:rsidR="00F4358D" w:rsidRDefault="00D1585A">
            <w:pPr>
              <w:numPr>
                <w:ilvl w:val="0"/>
                <w:numId w:val="17"/>
              </w:numPr>
              <w:spacing w:after="0"/>
              <w:ind w:right="-29"/>
              <w:rPr>
                <w:noProof/>
                <w:szCs w:val="20"/>
              </w:rPr>
            </w:pPr>
            <w:r>
              <w:rPr>
                <w:noProof/>
              </w:rPr>
              <w:t>ENISA ellu viidud regulatiivsetele nõuetele vastavuse hindamiste arv.</w:t>
            </w:r>
          </w:p>
          <w:p w:rsidR="00F4358D" w:rsidRDefault="00D1585A">
            <w:pPr>
              <w:numPr>
                <w:ilvl w:val="0"/>
                <w:numId w:val="17"/>
              </w:numPr>
              <w:spacing w:after="0"/>
              <w:ind w:right="-29"/>
              <w:rPr>
                <w:noProof/>
                <w:szCs w:val="20"/>
              </w:rPr>
            </w:pPr>
            <w:r>
              <w:rPr>
                <w:noProof/>
              </w:rPr>
              <w:t xml:space="preserve">Erinevates valdkondades ja eriti elutähtsa taristu puhul </w:t>
            </w:r>
            <w:r>
              <w:rPr>
                <w:noProof/>
              </w:rPr>
              <w:t>kasutusel olevate ISACide arv.</w:t>
            </w:r>
          </w:p>
          <w:p w:rsidR="00F4358D" w:rsidRDefault="00D1585A">
            <w:pPr>
              <w:numPr>
                <w:ilvl w:val="0"/>
                <w:numId w:val="17"/>
              </w:numPr>
              <w:spacing w:after="0"/>
              <w:ind w:right="-29"/>
              <w:rPr>
                <w:noProof/>
                <w:szCs w:val="20"/>
              </w:rPr>
            </w:pPr>
            <w:r>
              <w:rPr>
                <w:noProof/>
              </w:rPr>
              <w:t>ELi institutsioonidest, organitest ja asutustest saadavat küberturvalisuse teavet levitava teabeplatvormi loomine ja korrapärane käitamine.</w:t>
            </w:r>
          </w:p>
          <w:p w:rsidR="00F4358D" w:rsidRDefault="00D1585A">
            <w:pPr>
              <w:numPr>
                <w:ilvl w:val="0"/>
                <w:numId w:val="17"/>
              </w:numPr>
              <w:spacing w:after="0"/>
              <w:ind w:right="-29"/>
              <w:rPr>
                <w:noProof/>
                <w:szCs w:val="20"/>
              </w:rPr>
            </w:pPr>
            <w:r>
              <w:rPr>
                <w:noProof/>
              </w:rPr>
              <w:t>Korrapärane panustamine ELi teadus- ja uuendustegevuse tööprogrammide koostamisse.</w:t>
            </w:r>
          </w:p>
          <w:p w:rsidR="00F4358D" w:rsidRDefault="00D1585A">
            <w:pPr>
              <w:numPr>
                <w:ilvl w:val="0"/>
                <w:numId w:val="17"/>
              </w:numPr>
              <w:spacing w:after="0"/>
              <w:ind w:right="-29"/>
              <w:rPr>
                <w:noProof/>
                <w:szCs w:val="20"/>
              </w:rPr>
            </w:pPr>
            <w:r>
              <w:rPr>
                <w:noProof/>
              </w:rPr>
              <w:t>EN</w:t>
            </w:r>
            <w:r>
              <w:rPr>
                <w:noProof/>
              </w:rPr>
              <w:t>ISA, küberkuritegevuse vastase võitluse Euroopa keskuse (EC3) ja CERT-EU vahel koostöölepingu sõlmimine.</w:t>
            </w:r>
          </w:p>
          <w:p w:rsidR="00F4358D" w:rsidRDefault="00D1585A">
            <w:pPr>
              <w:numPr>
                <w:ilvl w:val="0"/>
                <w:numId w:val="17"/>
              </w:numPr>
              <w:spacing w:after="0"/>
              <w:ind w:right="-29"/>
              <w:rPr>
                <w:noProof/>
                <w:szCs w:val="20"/>
              </w:rPr>
            </w:pPr>
            <w:r>
              <w:rPr>
                <w:noProof/>
              </w:rPr>
              <w:t>Raamistiku alla kuuluvate ja selle piires välja töötatud sertifitseerimiskavade arv.</w:t>
            </w:r>
          </w:p>
          <w:p w:rsidR="00F4358D" w:rsidRDefault="00D1585A">
            <w:pPr>
              <w:ind w:right="-29"/>
              <w:rPr>
                <w:b/>
                <w:noProof/>
              </w:rPr>
            </w:pPr>
            <w:r>
              <w:rPr>
                <w:b/>
                <w:noProof/>
              </w:rPr>
              <w:t>Eesmärk: suurendada ELi tasandil liikmesriikide võetavate meetmete</w:t>
            </w:r>
            <w:r>
              <w:rPr>
                <w:b/>
                <w:noProof/>
              </w:rPr>
              <w:t xml:space="preserve"> täiendamise suutlikkust, eelkõige piirüleste küberkriiside puhul</w:t>
            </w:r>
          </w:p>
          <w:p w:rsidR="00F4358D" w:rsidRDefault="00D1585A">
            <w:pPr>
              <w:numPr>
                <w:ilvl w:val="0"/>
                <w:numId w:val="17"/>
              </w:numPr>
              <w:spacing w:after="0"/>
              <w:ind w:right="-29"/>
              <w:rPr>
                <w:noProof/>
                <w:szCs w:val="20"/>
              </w:rPr>
            </w:pPr>
            <w:r>
              <w:rPr>
                <w:noProof/>
              </w:rPr>
              <w:t>ENISA poolt küberohtude ja -intsidentide iga-aastase strateegilise analüüsi avaldamine, et määrata kindlaks tekkivad seaduspärad.</w:t>
            </w:r>
          </w:p>
          <w:p w:rsidR="00F4358D" w:rsidRDefault="00D1585A">
            <w:pPr>
              <w:numPr>
                <w:ilvl w:val="0"/>
                <w:numId w:val="17"/>
              </w:numPr>
              <w:spacing w:after="0"/>
              <w:ind w:right="-29"/>
              <w:rPr>
                <w:noProof/>
                <w:szCs w:val="20"/>
              </w:rPr>
            </w:pPr>
            <w:r>
              <w:rPr>
                <w:noProof/>
              </w:rPr>
              <w:t xml:space="preserve">Koondteabe avaldamine nende intsidentide kohta, millest </w:t>
            </w:r>
            <w:r>
              <w:rPr>
                <w:noProof/>
              </w:rPr>
              <w:t>ENISA on teatanud vastavalt võrgu- ja infoturbe direktiivile.</w:t>
            </w:r>
          </w:p>
          <w:p w:rsidR="00F4358D" w:rsidRDefault="00D1585A">
            <w:pPr>
              <w:numPr>
                <w:ilvl w:val="0"/>
                <w:numId w:val="17"/>
              </w:numPr>
              <w:spacing w:after="0"/>
              <w:ind w:right="-29"/>
              <w:rPr>
                <w:noProof/>
                <w:szCs w:val="20"/>
              </w:rPr>
            </w:pPr>
            <w:r>
              <w:rPr>
                <w:noProof/>
              </w:rPr>
              <w:t>Ameti poolt koordineeritud üleeuroopaliste õppuste arv ning nendes osalevate liikmesriikide ja organisatsioonide arv.</w:t>
            </w:r>
          </w:p>
          <w:p w:rsidR="00F4358D" w:rsidRDefault="00D1585A">
            <w:pPr>
              <w:numPr>
                <w:ilvl w:val="0"/>
                <w:numId w:val="17"/>
              </w:numPr>
              <w:spacing w:after="0"/>
              <w:ind w:right="-29"/>
              <w:rPr>
                <w:noProof/>
                <w:szCs w:val="20"/>
              </w:rPr>
            </w:pPr>
            <w:r>
              <w:rPr>
                <w:noProof/>
              </w:rPr>
              <w:t>Nende taotluste arv, mille liikmesriigid on ENISA-le hädaolukorrale reageeri</w:t>
            </w:r>
            <w:r>
              <w:rPr>
                <w:noProof/>
              </w:rPr>
              <w:t>mise käigus toetuse saamiseks esitanud ja millele amet on reageerinud.</w:t>
            </w:r>
          </w:p>
          <w:p w:rsidR="00F4358D" w:rsidRDefault="00D1585A">
            <w:pPr>
              <w:numPr>
                <w:ilvl w:val="0"/>
                <w:numId w:val="17"/>
              </w:numPr>
              <w:spacing w:after="0"/>
              <w:ind w:right="-29"/>
              <w:rPr>
                <w:noProof/>
                <w:szCs w:val="20"/>
              </w:rPr>
            </w:pPr>
            <w:r>
              <w:rPr>
                <w:noProof/>
              </w:rPr>
              <w:t>Nõrkuste, moonutuste ja intsidentide analüüside arv, mille ENISA on koostöös CERT-EUga ellu viinud.</w:t>
            </w:r>
          </w:p>
          <w:p w:rsidR="00F4358D" w:rsidRDefault="00D1585A">
            <w:pPr>
              <w:numPr>
                <w:ilvl w:val="0"/>
                <w:numId w:val="17"/>
              </w:numPr>
              <w:spacing w:after="0"/>
              <w:ind w:right="-29"/>
              <w:rPr>
                <w:noProof/>
                <w:szCs w:val="20"/>
              </w:rPr>
            </w:pPr>
            <w:r>
              <w:rPr>
                <w:noProof/>
              </w:rPr>
              <w:t>Nende üleeuroopaliste olukorra aruannete kättesaadavus, mis põhinevad teabel, mille l</w:t>
            </w:r>
            <w:r>
              <w:rPr>
                <w:noProof/>
              </w:rPr>
              <w:t>iikmesriigid ja muud üksused on esitanud ENISA-le suuremahulise piiriülese küberintsidendi korral.</w:t>
            </w:r>
          </w:p>
          <w:p w:rsidR="00F4358D" w:rsidRDefault="00D1585A">
            <w:pPr>
              <w:ind w:right="-29"/>
              <w:rPr>
                <w:b/>
                <w:noProof/>
              </w:rPr>
            </w:pPr>
            <w:r>
              <w:rPr>
                <w:b/>
                <w:noProof/>
              </w:rPr>
              <w:t>Eesmärk: suurendada kodanike ja ettevõtjate teadlikkust küberturvalisusega seotud küsimustest</w:t>
            </w:r>
          </w:p>
          <w:p w:rsidR="00F4358D" w:rsidRDefault="00D1585A">
            <w:pPr>
              <w:numPr>
                <w:ilvl w:val="0"/>
                <w:numId w:val="17"/>
              </w:numPr>
              <w:spacing w:after="0"/>
              <w:ind w:right="-29"/>
              <w:rPr>
                <w:noProof/>
                <w:szCs w:val="20"/>
              </w:rPr>
            </w:pPr>
            <w:r>
              <w:rPr>
                <w:noProof/>
              </w:rPr>
              <w:t>Kogu ELi hõlmavate ja riiklike teadlikkuse suurendamise kampaan</w:t>
            </w:r>
            <w:r>
              <w:rPr>
                <w:noProof/>
              </w:rPr>
              <w:t>iate korrapärane korraldamine ning teemade korrapärane ajakohastamine lähtuvalt tekkivatest õppevajadustest.</w:t>
            </w:r>
          </w:p>
          <w:p w:rsidR="00F4358D" w:rsidRDefault="00D1585A">
            <w:pPr>
              <w:numPr>
                <w:ilvl w:val="0"/>
                <w:numId w:val="17"/>
              </w:numPr>
              <w:spacing w:after="0"/>
              <w:ind w:right="-29"/>
              <w:rPr>
                <w:noProof/>
                <w:szCs w:val="20"/>
              </w:rPr>
            </w:pPr>
            <w:r>
              <w:rPr>
                <w:noProof/>
              </w:rPr>
              <w:t>ELi kodanike kübervaldkonnaga seotud teadlikkuse suurendamine</w:t>
            </w:r>
          </w:p>
          <w:p w:rsidR="00F4358D" w:rsidRDefault="00D1585A">
            <w:pPr>
              <w:numPr>
                <w:ilvl w:val="0"/>
                <w:numId w:val="17"/>
              </w:numPr>
              <w:spacing w:after="0"/>
              <w:ind w:right="-29"/>
              <w:rPr>
                <w:noProof/>
                <w:szCs w:val="20"/>
              </w:rPr>
            </w:pPr>
            <w:r>
              <w:rPr>
                <w:noProof/>
              </w:rPr>
              <w:t xml:space="preserve">Küberturvalisuse alast teadlikkust käsitlevate viktoriinide korrapärane korraldamine </w:t>
            </w:r>
            <w:r>
              <w:rPr>
                <w:noProof/>
              </w:rPr>
              <w:t>ja aja jooksul õigete vastuste protsendi suurendamine.</w:t>
            </w:r>
          </w:p>
          <w:p w:rsidR="00F4358D" w:rsidRDefault="00D1585A">
            <w:pPr>
              <w:numPr>
                <w:ilvl w:val="0"/>
                <w:numId w:val="17"/>
              </w:numPr>
              <w:spacing w:after="0"/>
              <w:ind w:right="-29"/>
              <w:rPr>
                <w:noProof/>
                <w:szCs w:val="20"/>
              </w:rPr>
            </w:pPr>
            <w:r>
              <w:rPr>
                <w:noProof/>
              </w:rPr>
              <w:t>Töötajatele ja organisatsioonidele suunatud küberturvalisuse ja küberhügieeni alaste heade tavade korrapärane avaldamine.</w:t>
            </w:r>
          </w:p>
          <w:p w:rsidR="00F4358D" w:rsidRDefault="00D1585A">
            <w:pPr>
              <w:ind w:right="-29"/>
              <w:rPr>
                <w:b/>
                <w:noProof/>
              </w:rPr>
            </w:pPr>
            <w:r>
              <w:rPr>
                <w:b/>
                <w:noProof/>
              </w:rPr>
              <w:t>Eesmärk: suurendada usaldust digitaalse ühtse turu ja digitaalse uuendustegevus</w:t>
            </w:r>
            <w:r>
              <w:rPr>
                <w:b/>
                <w:noProof/>
              </w:rPr>
              <w:t>e vastu, suurendades IKT toodete ja teenuste küberturvalisuse alase usaldusväärsuse</w:t>
            </w:r>
            <w:r>
              <w:rPr>
                <w:rStyle w:val="FootnoteReference"/>
                <w:noProof/>
              </w:rPr>
              <w:footnoteReference w:id="48"/>
            </w:r>
            <w:r>
              <w:rPr>
                <w:b/>
                <w:noProof/>
              </w:rPr>
              <w:t xml:space="preserve"> üldist läbipaistvust</w:t>
            </w:r>
          </w:p>
          <w:p w:rsidR="00F4358D" w:rsidRDefault="00D1585A">
            <w:pPr>
              <w:numPr>
                <w:ilvl w:val="0"/>
                <w:numId w:val="17"/>
              </w:numPr>
              <w:spacing w:after="0"/>
              <w:ind w:right="-29"/>
              <w:rPr>
                <w:noProof/>
                <w:szCs w:val="20"/>
              </w:rPr>
            </w:pPr>
            <w:r>
              <w:rPr>
                <w:noProof/>
              </w:rPr>
              <w:t>ELi raamistikule vastavate kavade arv.</w:t>
            </w:r>
          </w:p>
          <w:p w:rsidR="00F4358D" w:rsidRDefault="00D1585A">
            <w:pPr>
              <w:numPr>
                <w:ilvl w:val="0"/>
                <w:numId w:val="17"/>
              </w:numPr>
              <w:spacing w:after="0"/>
              <w:ind w:right="-29"/>
              <w:rPr>
                <w:noProof/>
                <w:szCs w:val="20"/>
              </w:rPr>
            </w:pPr>
            <w:r>
              <w:rPr>
                <w:noProof/>
              </w:rPr>
              <w:t>IKT turvalisuse sertifikaadi hankimisega kaasnev väiksem kulu.</w:t>
            </w:r>
          </w:p>
          <w:p w:rsidR="00F4358D" w:rsidRDefault="00D1585A">
            <w:pPr>
              <w:numPr>
                <w:ilvl w:val="0"/>
                <w:numId w:val="17"/>
              </w:numPr>
              <w:spacing w:after="0"/>
              <w:ind w:right="-29"/>
              <w:rPr>
                <w:noProof/>
                <w:szCs w:val="20"/>
              </w:rPr>
            </w:pPr>
            <w:r>
              <w:rPr>
                <w:noProof/>
              </w:rPr>
              <w:t>Liikmeriikides IKT sertifitseerimisele spetsiali</w:t>
            </w:r>
            <w:r>
              <w:rPr>
                <w:noProof/>
              </w:rPr>
              <w:t>seerunud vastavushindamisasutuste arv.</w:t>
            </w:r>
          </w:p>
          <w:p w:rsidR="00F4358D" w:rsidRDefault="00D1585A">
            <w:pPr>
              <w:numPr>
                <w:ilvl w:val="0"/>
                <w:numId w:val="17"/>
              </w:numPr>
              <w:spacing w:after="0"/>
              <w:ind w:right="-29"/>
              <w:rPr>
                <w:noProof/>
                <w:szCs w:val="20"/>
              </w:rPr>
            </w:pPr>
            <w:r>
              <w:rPr>
                <w:noProof/>
              </w:rPr>
              <w:t>Euroopa küberturvalisuse sertifitseerimise rühma loomine ja korrapärane koosolekute korraldamine.</w:t>
            </w:r>
          </w:p>
          <w:p w:rsidR="00F4358D" w:rsidRDefault="00D1585A">
            <w:pPr>
              <w:numPr>
                <w:ilvl w:val="0"/>
                <w:numId w:val="17"/>
              </w:numPr>
              <w:spacing w:after="0"/>
              <w:ind w:right="-29"/>
              <w:rPr>
                <w:noProof/>
                <w:szCs w:val="20"/>
              </w:rPr>
            </w:pPr>
            <w:r>
              <w:rPr>
                <w:noProof/>
              </w:rPr>
              <w:t>ELi raamistikule vastavate sertifitseerimise juhiste kasutuselevõtmine.</w:t>
            </w:r>
          </w:p>
          <w:p w:rsidR="00F4358D" w:rsidRDefault="00D1585A">
            <w:pPr>
              <w:numPr>
                <w:ilvl w:val="0"/>
                <w:numId w:val="17"/>
              </w:numPr>
              <w:spacing w:after="0"/>
              <w:ind w:right="-29"/>
              <w:rPr>
                <w:noProof/>
                <w:szCs w:val="20"/>
              </w:rPr>
            </w:pPr>
            <w:r>
              <w:rPr>
                <w:noProof/>
              </w:rPr>
              <w:t>ELi küberturvalisuse turu peamisi suundumusi kä</w:t>
            </w:r>
            <w:r>
              <w:rPr>
                <w:noProof/>
              </w:rPr>
              <w:t>sitlevate analüüside korrapärane avaldamine.</w:t>
            </w:r>
          </w:p>
          <w:p w:rsidR="00F4358D" w:rsidRDefault="00D1585A">
            <w:pPr>
              <w:numPr>
                <w:ilvl w:val="0"/>
                <w:numId w:val="17"/>
              </w:numPr>
              <w:spacing w:after="0"/>
              <w:ind w:right="-29"/>
              <w:rPr>
                <w:noProof/>
                <w:szCs w:val="20"/>
              </w:rPr>
            </w:pPr>
            <w:r>
              <w:rPr>
                <w:noProof/>
              </w:rPr>
              <w:t>Euroopa IKT turvalisuse sertifitseerimise raamistiku normide kohaselt sertifitseeritud IKT toodete ja teenuste arv.</w:t>
            </w:r>
          </w:p>
          <w:p w:rsidR="00F4358D" w:rsidRDefault="00D1585A">
            <w:pPr>
              <w:numPr>
                <w:ilvl w:val="0"/>
                <w:numId w:val="17"/>
              </w:numPr>
              <w:spacing w:after="0"/>
              <w:ind w:right="-29"/>
              <w:rPr>
                <w:noProof/>
                <w:sz w:val="20"/>
                <w:szCs w:val="20"/>
              </w:rPr>
            </w:pPr>
            <w:r>
              <w:rPr>
                <w:noProof/>
              </w:rPr>
              <w:t>Rohkem lõppkasutajaid, kes on teadlikud IKT toodete ja teenuste turvaomadustest.</w:t>
            </w:r>
          </w:p>
        </w:tc>
      </w:tr>
    </w:tbl>
    <w:p w:rsidR="00F4358D" w:rsidRDefault="00F4358D">
      <w:pPr>
        <w:pStyle w:val="Point1letter"/>
        <w:numPr>
          <w:ilvl w:val="3"/>
          <w:numId w:val="73"/>
        </w:numPr>
        <w:rPr>
          <w:bCs/>
          <w:noProof/>
        </w:rPr>
      </w:pPr>
    </w:p>
    <w:p w:rsidR="00F4358D" w:rsidRDefault="00D1585A">
      <w:pPr>
        <w:pStyle w:val="ManualHeading3"/>
        <w:rPr>
          <w:noProof/>
        </w:rPr>
      </w:pPr>
      <w:bookmarkStart w:id="48" w:name="_Toc492216490"/>
      <w:r>
        <w:t>1.4.5.</w:t>
      </w:r>
      <w:r>
        <w:tab/>
      </w:r>
      <w:r>
        <w:rPr>
          <w:noProof/>
        </w:rPr>
        <w:t>Lühi-</w:t>
      </w:r>
      <w:r>
        <w:rPr>
          <w:noProof/>
        </w:rPr>
        <w:t xml:space="preserve"> või pikaajalises perspektiivis täidetavad vajadused</w:t>
      </w:r>
      <w:bookmarkEnd w:id="48"/>
    </w:p>
    <w:tbl>
      <w:tblPr>
        <w:tblStyle w:val="TableGrid"/>
        <w:tblW w:w="0" w:type="auto"/>
        <w:tblInd w:w="850" w:type="dxa"/>
        <w:tblLook w:val="04A0" w:firstRow="1" w:lastRow="0" w:firstColumn="1" w:lastColumn="0" w:noHBand="0" w:noVBand="1"/>
      </w:tblPr>
      <w:tblGrid>
        <w:gridCol w:w="9005"/>
      </w:tblGrid>
      <w:tr w:rsidR="00F4358D">
        <w:tc>
          <w:tcPr>
            <w:tcW w:w="9855" w:type="dxa"/>
          </w:tcPr>
          <w:p w:rsidR="00F4358D" w:rsidRDefault="00D1585A">
            <w:pPr>
              <w:spacing w:after="0"/>
              <w:rPr>
                <w:rFonts w:eastAsia="Calibri"/>
                <w:noProof/>
                <w:szCs w:val="24"/>
              </w:rPr>
            </w:pPr>
            <w:r>
              <w:rPr>
                <w:noProof/>
              </w:rPr>
              <w:t>Võttes arvesse regulatiivseid nõudeid ja kiiresti muutuvat küberturvalisuse ohtude maastikku, tuleb vaadata läbi ENISA mandaat, et määrata kindlaks uued ülesanded eesmärgiga toetada tulemuslikult ja tõhu</w:t>
            </w:r>
            <w:r>
              <w:rPr>
                <w:noProof/>
              </w:rPr>
              <w:t>salt liikmesriikide, ELi institutsioonide ja muude sidusrühmade jõupingutusi Euroopa Liidus turvalise küberruumi tagamiseks. Mandaadi soovituslik ulatus piiritletakse, tugevdades neid valdkondi, kus amet on näidanud selget lisaväärtust, ja lisades valdkonn</w:t>
            </w:r>
            <w:r>
              <w:rPr>
                <w:noProof/>
              </w:rPr>
              <w:t>ad, kus vajatakse tuge, võttes arvesse uusi poliitilisi prioriteete ja vahendeid, eelkõige võrgu- ja infoturbe direktiivi, Euroopa Liidu küberjulgeoleku strateegia läbivaatamist, ELi küberturvalisuse tegevuskava küberkriiside valdkonnas tehtava koostöö jao</w:t>
            </w:r>
            <w:r>
              <w:rPr>
                <w:noProof/>
              </w:rPr>
              <w:t>ks ning IKT turvalisuse sertifitseerimist. Uue välja pakutud mandaadi eesmärk on anda ametile tugevam ja kesksem roll, eelkõige toetades ka liikmesriike aktiivsemalt konkreetsete ohtude vastases võitluses (tegevussuutlikkus) ning saades liikmesriike ja kom</w:t>
            </w:r>
            <w:r>
              <w:rPr>
                <w:noProof/>
              </w:rPr>
              <w:t>isjoni küberturvalisuse sertifitseerimise valdkonnas toetavaks eksperdikeskuseks.</w:t>
            </w:r>
          </w:p>
          <w:p w:rsidR="00F4358D" w:rsidRDefault="00D1585A">
            <w:pPr>
              <w:spacing w:after="0"/>
              <w:rPr>
                <w:noProof/>
              </w:rPr>
            </w:pPr>
            <w:r>
              <w:rPr>
                <w:noProof/>
              </w:rPr>
              <w:t>Samal ajal luuakse ettepanekuga IKT toodete ja teenuste Euroopa küberturvalisuse sertifitseerimise raamistik ning täpsustatakse ENISA olulised ülesanded küberturvalisuse sert</w:t>
            </w:r>
            <w:r>
              <w:rPr>
                <w:noProof/>
              </w:rPr>
              <w:t>ifitseerimise valdkonnas. Raamistikuga kehtestatakse ühised sätted ja menetlused, mis võimaldavad luua konkreetsete IKT toodete/teenuste või küberturvalisuse riskide jaoks kogu ELi hõlmavad küberturvalisuse sertifitseerimise kavad. Raamistiku kohaselt Euro</w:t>
            </w:r>
            <w:r>
              <w:rPr>
                <w:noProof/>
              </w:rPr>
              <w:t>opa küberturvalisuse sertifitseerimise kavade loomine võimaldab tagada nende kavade alusel väljastatud sertifikaatide kehtivuse ja tunnustamise kõikides liikmesriikides ning vähendada praegust turu killustatust.</w:t>
            </w:r>
          </w:p>
        </w:tc>
      </w:tr>
    </w:tbl>
    <w:p w:rsidR="00F4358D" w:rsidRDefault="00F4358D">
      <w:pPr>
        <w:pStyle w:val="Text1"/>
        <w:rPr>
          <w:noProof/>
        </w:rPr>
      </w:pPr>
    </w:p>
    <w:p w:rsidR="00F4358D" w:rsidRDefault="00D1585A">
      <w:pPr>
        <w:pStyle w:val="ManualHeading3"/>
        <w:rPr>
          <w:bCs/>
          <w:noProof/>
          <w:szCs w:val="24"/>
        </w:rPr>
      </w:pPr>
      <w:bookmarkStart w:id="49" w:name="_Toc492216491"/>
      <w:r>
        <w:t>1.4.6.</w:t>
      </w:r>
      <w:r>
        <w:tab/>
      </w:r>
      <w:r>
        <w:rPr>
          <w:noProof/>
        </w:rPr>
        <w:t>ELi meetme lisaväärtus</w:t>
      </w:r>
      <w:bookmarkEnd w:id="49"/>
    </w:p>
    <w:tbl>
      <w:tblPr>
        <w:tblStyle w:val="TableGrid"/>
        <w:tblW w:w="0" w:type="auto"/>
        <w:tblInd w:w="959" w:type="dxa"/>
        <w:tblLook w:val="04A0" w:firstRow="1" w:lastRow="0" w:firstColumn="1" w:lastColumn="0" w:noHBand="0" w:noVBand="1"/>
      </w:tblPr>
      <w:tblGrid>
        <w:gridCol w:w="8896"/>
      </w:tblGrid>
      <w:tr w:rsidR="00F4358D">
        <w:tc>
          <w:tcPr>
            <w:tcW w:w="8896" w:type="dxa"/>
          </w:tcPr>
          <w:p w:rsidR="00F4358D" w:rsidRDefault="00D1585A">
            <w:pPr>
              <w:pStyle w:val="Text3"/>
              <w:ind w:left="0"/>
              <w:rPr>
                <w:noProof/>
              </w:rPr>
            </w:pPr>
            <w:r>
              <w:rPr>
                <w:noProof/>
              </w:rPr>
              <w:t>Küberturvalisus on tõeliselt ülemaailmne probleem, mis on juba oma olemuselt piiriülene ja muutub võrkude ja infosüsteemide omavahelise seotuse tõttu üha valdkonnaülesemaks. Küberturvalisuse intsidentide arv, keerukus ja ulatus ning neist majandusele ja üh</w:t>
            </w:r>
            <w:r>
              <w:rPr>
                <w:noProof/>
              </w:rPr>
              <w:t>iskonnale tekkiv mõju kasvab aja jooksul ning suureneb tehnoloogia arengu mõjul eeldatavasti veelgi, näiteks asjade interneti laialdase kasutuselevõtu tulemusena. See tähendab, et eeldatavasti ei vähene tulevikus vajadus liikmesriikide, ELi institutsioonid</w:t>
            </w:r>
            <w:r>
              <w:rPr>
                <w:noProof/>
              </w:rPr>
              <w:t>e ja erasektori sidusrühmade ühiste jõupingutuste järele, mille eesmärk on võidelda küberturvalisusega seotud ohtude vastu.</w:t>
            </w:r>
          </w:p>
          <w:p w:rsidR="00F4358D" w:rsidRDefault="00D1585A">
            <w:pPr>
              <w:pStyle w:val="Text3"/>
              <w:ind w:left="0"/>
              <w:rPr>
                <w:noProof/>
                <w:szCs w:val="24"/>
              </w:rPr>
            </w:pPr>
            <w:r>
              <w:rPr>
                <w:noProof/>
              </w:rPr>
              <w:t>Alates ENISA loomisest 2004. aastal on selle eesmärk olnud edendada koostööd liikmesriikide ning võrgu- ja infoturbealaste sidusrühm</w:t>
            </w:r>
            <w:r>
              <w:rPr>
                <w:noProof/>
              </w:rPr>
              <w:t>ade vahel, toetades muu hulgas avaliku ja erasektori koostööd. See koostöö toetamine hõlmas tehnilist tööd, et saada kogu ELi hõlmav arusaam ohukeskkonnast, eksperdirühmade loomist ja üleeuroopaliste küberintsidentide ja kriisiohjeõppuste korraldamist aval</w:t>
            </w:r>
            <w:r>
              <w:rPr>
                <w:noProof/>
              </w:rPr>
              <w:t>ikule ja erasektorile mõeldud õppuste raames (eelkõige Cyber Europe). Võrgu- ja infoturbe direktiiviga anti ENISA-le lisaülesanded, sealhulgas CSIRTide võrgustiku sekretariaadi roll liikmesriikidevahelise operatiivkoostöö jaoks.</w:t>
            </w:r>
          </w:p>
          <w:p w:rsidR="00F4358D" w:rsidRDefault="00D1585A">
            <w:pPr>
              <w:rPr>
                <w:noProof/>
              </w:rPr>
            </w:pPr>
            <w:r>
              <w:rPr>
                <w:noProof/>
              </w:rPr>
              <w:t>ELi tasandil tegutsemise li</w:t>
            </w:r>
            <w:r>
              <w:rPr>
                <w:noProof/>
              </w:rPr>
              <w:t>saväärtust, eelkõige et suurendada koostööd liikmesriikide, aga ka võrgu- ja infoturbe kogukondade vahel, on tunnustatud nõukogu 2016. aasta järeldustes</w:t>
            </w:r>
            <w:r>
              <w:rPr>
                <w:rStyle w:val="FootnoteReference"/>
                <w:noProof/>
              </w:rPr>
              <w:footnoteReference w:id="49"/>
            </w:r>
            <w:r>
              <w:rPr>
                <w:noProof/>
              </w:rPr>
              <w:t xml:space="preserve"> ja see ilmneb selgelt ka ENISA 2017. aasta hindamisest, mille kohaselt seisneb ameti lisaväärtus peami</w:t>
            </w:r>
            <w:r>
              <w:rPr>
                <w:noProof/>
              </w:rPr>
              <w:t>selt tema võimes suurendada koostööd nende sidusrühmade vahel. ELi tasandil ei ole ühtegi teist osalejat, kes toetaks kõnealuste võrgu- ja infoturbe sidusrühmade koostööd.</w:t>
            </w:r>
          </w:p>
          <w:p w:rsidR="00F4358D" w:rsidRDefault="00D1585A">
            <w:pPr>
              <w:rPr>
                <w:noProof/>
                <w:highlight w:val="yellow"/>
              </w:rPr>
            </w:pPr>
            <w:r>
              <w:rPr>
                <w:noProof/>
              </w:rPr>
              <w:t>ENISA lisaväärtus, mis seisneb küberturvalisuse kogukondade ja sidusrühmade kokkutoo</w:t>
            </w:r>
            <w:r>
              <w:rPr>
                <w:noProof/>
              </w:rPr>
              <w:t>mises, kehtib ka sertifitseerimise valdkonnas. Küberkuritegevuse ja küberturvalisuse ohtude suurenemise tõttu on loodud riiklikud algatused, millega kehtestatakse tavapärases taristus kasutatavatele IKT komponentidele kõrgetasemelised küberturvalisuse ja s</w:t>
            </w:r>
            <w:r>
              <w:rPr>
                <w:noProof/>
              </w:rPr>
              <w:t>ertifitseerimise nõuded. Kuigi kõnealused algatused on olulised, võivad need põhjustada ühtse turu killustatust ja takistusi koostalitlusvõimele. IKT müüjale võib tekkida vajadus läbida mitu sertifitseerimisprotsessi, et ta saaks oma tooteid ja teenuseid m</w:t>
            </w:r>
            <w:r>
              <w:rPr>
                <w:noProof/>
              </w:rPr>
              <w:t>itmes liikmesriigis müüa. Ei ole tõenäoline, et praeguste sertifitseerimiskavade ebatulemuslikkust/-tõhusust on võimalik kõrvaldada ilma ELi sekkumiseta. Kui meetmeid ei võeta, siis suureneb turu killustatus suure tõenäosusega lühikeses ja keskpikas perspe</w:t>
            </w:r>
            <w:r>
              <w:rPr>
                <w:noProof/>
              </w:rPr>
              <w:t>ktiivis (järgmise viie kuni kümne aasta jooksul) uute sertifitseerimiskavade kasutuselevõtu tõttu. Nende kavade koordineerituse ja koostalitlusvõime puudumise tõttu väheneb digitaalse ühtse turu potentsiaal. See tõendab IKT toodete ja teenuste jaoks Euroop</w:t>
            </w:r>
            <w:r>
              <w:rPr>
                <w:noProof/>
              </w:rPr>
              <w:t xml:space="preserve">a küberturvalisuse sertifitseerimise raamistiku loomise lisaväärtust, tagades õiged tingimused, et tegeleda tulemuslikult eri liikmesriikides mitme sertifitseerimismenetluse samaaegse olemasoluga seotud probleemiga, vähendades sertifitseerimise kulusid ja </w:t>
            </w:r>
            <w:r>
              <w:rPr>
                <w:noProof/>
              </w:rPr>
              <w:t>muutes seega sertifitseerimise ELis ärilisest ja konkurentsi seisukohast kokkuvõttes atraktiivsemaks.</w:t>
            </w:r>
          </w:p>
        </w:tc>
      </w:tr>
    </w:tbl>
    <w:p w:rsidR="00F4358D" w:rsidRDefault="00F4358D">
      <w:pPr>
        <w:rPr>
          <w:noProof/>
          <w:highlight w:val="yellow"/>
        </w:rPr>
      </w:pPr>
    </w:p>
    <w:p w:rsidR="00F4358D" w:rsidRDefault="00D1585A">
      <w:pPr>
        <w:pStyle w:val="ManualHeading3"/>
        <w:rPr>
          <w:bCs/>
          <w:noProof/>
          <w:szCs w:val="24"/>
        </w:rPr>
      </w:pPr>
      <w:bookmarkStart w:id="50" w:name="_Toc492216492"/>
      <w:r>
        <w:t>1.4.7.</w:t>
      </w:r>
      <w:r>
        <w:tab/>
      </w:r>
      <w:r>
        <w:rPr>
          <w:noProof/>
        </w:rPr>
        <w:t>Samalaadsetest kogemustest saadud õppetunnid</w:t>
      </w:r>
      <w:bookmarkEnd w:id="50"/>
    </w:p>
    <w:p w:rsidR="00F4358D" w:rsidRDefault="00D1585A">
      <w:pPr>
        <w:pStyle w:val="Text1"/>
        <w:pBdr>
          <w:top w:val="single" w:sz="4" w:space="1" w:color="auto"/>
          <w:left w:val="single" w:sz="4" w:space="4" w:color="auto"/>
          <w:bottom w:val="single" w:sz="4" w:space="1" w:color="auto"/>
          <w:right w:val="single" w:sz="4" w:space="4" w:color="auto"/>
        </w:pBdr>
        <w:rPr>
          <w:noProof/>
        </w:rPr>
      </w:pPr>
      <w:r>
        <w:rPr>
          <w:noProof/>
        </w:rPr>
        <w:t>Komisjon on teinud ENISA õigusliku aluse kohaselt ameti hindamise, mis hõlmas sõltumatut uuringut ja</w:t>
      </w:r>
      <w:r>
        <w:rPr>
          <w:noProof/>
        </w:rPr>
        <w:t xml:space="preserve"> avalikku konsultatsiooni. Hindamise käigus jõuti järeldusele, et ENISA eesmärgid on ka praegu asjakohased. Võttes arvesse tehnoloogia arengut, muutuvaid ohte ja märkimisväärset vajadust suurema võrgu- ja infoturbe järele ELis, on vaja tehnilisi erialatead</w:t>
      </w:r>
      <w:r>
        <w:rPr>
          <w:noProof/>
        </w:rPr>
        <w:t>misi võrgu- ja infoturbe küsimuste muutumise kohta. Tuleb suurendada liikmesriikide suutlikkust mõista ohte ja neile reageerida ning sidusrühmad peavad tegema koostööd temaatiliste valdkondade ja institutsioonide üleselt.</w:t>
      </w:r>
    </w:p>
    <w:p w:rsidR="00F4358D" w:rsidRDefault="00D1585A">
      <w:pPr>
        <w:pStyle w:val="Text1"/>
        <w:pBdr>
          <w:top w:val="single" w:sz="4" w:space="1" w:color="auto"/>
          <w:left w:val="single" w:sz="4" w:space="4" w:color="auto"/>
          <w:bottom w:val="single" w:sz="4" w:space="1" w:color="auto"/>
          <w:right w:val="single" w:sz="4" w:space="4" w:color="auto"/>
        </w:pBdr>
        <w:rPr>
          <w:noProof/>
        </w:rPr>
      </w:pPr>
      <w:r>
        <w:rPr>
          <w:noProof/>
        </w:rPr>
        <w:t xml:space="preserve">Amet on edukalt aidanud parandada </w:t>
      </w:r>
      <w:r>
        <w:rPr>
          <w:noProof/>
        </w:rPr>
        <w:t>võrgu- ja infoturvet Euroopas, pakkudes suutlikkuse suurendamist 28 liikmesriigis ning tõhustades koostööd liikmesriikide ning võrgu- ja infoturbe sidusrühmade vahel, pakkudes oskusteavet, aidates kogukonna väljakujundamisel ja toetades poliitikat.</w:t>
      </w:r>
    </w:p>
    <w:p w:rsidR="00F4358D" w:rsidRDefault="00D1585A">
      <w:pPr>
        <w:pStyle w:val="Text1"/>
        <w:pBdr>
          <w:top w:val="single" w:sz="4" w:space="1" w:color="auto"/>
          <w:left w:val="single" w:sz="4" w:space="4" w:color="auto"/>
          <w:bottom w:val="single" w:sz="4" w:space="1" w:color="auto"/>
          <w:right w:val="single" w:sz="4" w:space="4" w:color="auto"/>
        </w:pBdr>
        <w:rPr>
          <w:noProof/>
        </w:rPr>
      </w:pPr>
      <w:r>
        <w:rPr>
          <w:noProof/>
        </w:rPr>
        <w:t>Kuigi E</w:t>
      </w:r>
      <w:r>
        <w:rPr>
          <w:noProof/>
        </w:rPr>
        <w:t>NISA suutis avaldada vähemalt teatavas ulatuses mõju väga mahukas võrgu- ja infoturbe valdkonnas, ei olnud ta täiesti edukas tugeva kaubamärgi väljakujundamisel ning piisava märgatavuse saamisel, et olla tunnustatud peamise eksperdikeskusena Euroopas. Sell</w:t>
      </w:r>
      <w:r>
        <w:rPr>
          <w:noProof/>
        </w:rPr>
        <w:t>e põhjus seisneb ENISA ulatuslikus mandaadis, mille jaoks ei eraldatud proportsionaalselt piisavalt ressursse. Lisaks sellele on ENISA ainus ELi amet, millel on tähtajaline mandaat, mis piirab tema võimet koostada pikaajalist strateegiat ja toetada oma sid</w:t>
      </w:r>
      <w:r>
        <w:rPr>
          <w:noProof/>
        </w:rPr>
        <w:t>usrühmi jätkusuutlikul viisil. See on ka vastuolus võrgu- ja infoturbe direktiivi sätetega, mis annavad ENISA-le ülesanded, millel ei ole lõppkuupäeva.</w:t>
      </w:r>
    </w:p>
    <w:p w:rsidR="00F4358D" w:rsidRDefault="00D1585A">
      <w:pPr>
        <w:pStyle w:val="Text1"/>
        <w:pBdr>
          <w:top w:val="single" w:sz="4" w:space="1" w:color="auto"/>
          <w:left w:val="single" w:sz="4" w:space="4" w:color="auto"/>
          <w:bottom w:val="single" w:sz="4" w:space="1" w:color="auto"/>
          <w:right w:val="single" w:sz="4" w:space="4" w:color="auto"/>
        </w:pBdr>
        <w:rPr>
          <w:noProof/>
        </w:rPr>
      </w:pPr>
      <w:r>
        <w:rPr>
          <w:noProof/>
        </w:rPr>
        <w:t>IKT toodete ja teenuste küberturvalisuse sertifitseerimiseks ei ole praegu mingit Euroopa raamistikku. S</w:t>
      </w:r>
      <w:r>
        <w:rPr>
          <w:noProof/>
        </w:rPr>
        <w:t>amas on küberkuritegevuse ja turvaohtude suurenemise tõttu tehtud riiklikke algatusi, mille tõttu tekib ühtse turu killustumise oht.</w:t>
      </w:r>
    </w:p>
    <w:p w:rsidR="00F4358D" w:rsidRDefault="00F4358D">
      <w:pPr>
        <w:rPr>
          <w:bCs/>
          <w:noProof/>
          <w:szCs w:val="24"/>
        </w:rPr>
      </w:pPr>
    </w:p>
    <w:p w:rsidR="00F4358D" w:rsidRDefault="00D1585A">
      <w:pPr>
        <w:pStyle w:val="ManualHeading3"/>
        <w:rPr>
          <w:bCs/>
          <w:noProof/>
          <w:szCs w:val="24"/>
        </w:rPr>
      </w:pPr>
      <w:bookmarkStart w:id="51" w:name="_Toc492216493"/>
      <w:r>
        <w:t>1.4.8.</w:t>
      </w:r>
      <w:r>
        <w:tab/>
      </w:r>
      <w:r>
        <w:rPr>
          <w:noProof/>
        </w:rPr>
        <w:t>Kooskõla ja võimalik koostoime muude asjaomaste meetmetega</w:t>
      </w:r>
      <w:bookmarkEnd w:id="51"/>
    </w:p>
    <w:p w:rsidR="00F4358D" w:rsidRDefault="00D1585A">
      <w:pPr>
        <w:pStyle w:val="Text1"/>
        <w:pBdr>
          <w:top w:val="single" w:sz="4" w:space="1" w:color="auto"/>
          <w:left w:val="single" w:sz="4" w:space="4" w:color="auto"/>
          <w:bottom w:val="single" w:sz="4" w:space="1" w:color="auto"/>
          <w:right w:val="single" w:sz="4" w:space="4" w:color="auto"/>
        </w:pBdr>
        <w:rPr>
          <w:noProof/>
        </w:rPr>
      </w:pPr>
      <w:r>
        <w:rPr>
          <w:noProof/>
        </w:rPr>
        <w:t xml:space="preserve">Algatus on suurel määral kooskõlas kehtiva poliitikaga, </w:t>
      </w:r>
      <w:r>
        <w:rPr>
          <w:noProof/>
        </w:rPr>
        <w:t>eelkõige siseturu valdkonnas. See on koostatud, võttes arvesse digitaalse ühtse turu strateegia läbivaatamise käigus kindlaks määratud üldist lähenemisviisi küberturvalisusele, et täiendada terviklikku meetmete komplekti, näiteks Euroopa Liidu küberjulgeol</w:t>
      </w:r>
      <w:r>
        <w:rPr>
          <w:noProof/>
        </w:rPr>
        <w:t>eku strateegia läbivaatamist, kübervaldkonna kriiside puhul koostöö tegemise tegevuskava ja küberkuritegevuse vastase võitluse algatusi. See tagaks kooskõla kehtivate küberturvalisuse õigusaktidega (eelkõige võrgu- ja infoturbe direktiiv) ja tugineks neile</w:t>
      </w:r>
      <w:r>
        <w:rPr>
          <w:noProof/>
        </w:rPr>
        <w:t>, et suurendada ELi kübervastupidavusvõimet suurema suutlikkuse, koostöö, riskijuhtimise ja kübervaldkonnast teadlikkuse abil.</w:t>
      </w:r>
    </w:p>
    <w:p w:rsidR="00F4358D" w:rsidRDefault="00D1585A">
      <w:pPr>
        <w:pStyle w:val="Text1"/>
        <w:pBdr>
          <w:top w:val="single" w:sz="4" w:space="1" w:color="auto"/>
          <w:left w:val="single" w:sz="4" w:space="4" w:color="auto"/>
          <w:bottom w:val="single" w:sz="4" w:space="1" w:color="auto"/>
          <w:right w:val="single" w:sz="4" w:space="4" w:color="auto"/>
        </w:pBdr>
        <w:rPr>
          <w:noProof/>
        </w:rPr>
      </w:pPr>
      <w:r>
        <w:rPr>
          <w:noProof/>
        </w:rPr>
        <w:t>Soovitatud sertifitseerimismeetmete abil peaks olema võimalik tegeleda olemasolevatest ja loodavatest riiklikest sertifitseerimis</w:t>
      </w:r>
      <w:r>
        <w:rPr>
          <w:noProof/>
        </w:rPr>
        <w:t xml:space="preserve">kavadest tekkiva võimaliku killustatusega, aidates seeläbi kaasa digitaalne ühtse turu arengule. Algatus toetab ja täiendab ka võrgu- ja infoturbe direktiivi rakendamist, andes ettevõtjatele, kelle suhtes seda direktiivi kohaldatakse, vahendid, mille abil </w:t>
      </w:r>
      <w:r>
        <w:rPr>
          <w:noProof/>
        </w:rPr>
        <w:t>nad saavad tõendada vastavust võrgu- ja infoturbe nõuetele kogu liidus.</w:t>
      </w:r>
    </w:p>
    <w:p w:rsidR="00F4358D" w:rsidRDefault="00D1585A">
      <w:pPr>
        <w:pStyle w:val="Text1"/>
        <w:pBdr>
          <w:top w:val="single" w:sz="4" w:space="1" w:color="auto"/>
          <w:left w:val="single" w:sz="4" w:space="4" w:color="auto"/>
          <w:bottom w:val="single" w:sz="4" w:space="1" w:color="auto"/>
          <w:right w:val="single" w:sz="4" w:space="4" w:color="auto"/>
        </w:pBdr>
        <w:rPr>
          <w:noProof/>
          <w:sz w:val="22"/>
        </w:rPr>
      </w:pPr>
      <w:r>
        <w:rPr>
          <w:noProof/>
        </w:rPr>
        <w:t>Välja pakutud Euroopa IKT küberturvalisuse sertifitseerimise raamistiku puhul ei piirata isikuandmete kaitse üldmääruse</w:t>
      </w:r>
      <w:r>
        <w:rPr>
          <w:rStyle w:val="FootnoteReference"/>
          <w:noProof/>
        </w:rPr>
        <w:footnoteReference w:id="50"/>
      </w:r>
      <w:r>
        <w:rPr>
          <w:noProof/>
        </w:rPr>
        <w:t xml:space="preserve"> ja eelkõige selle sertifitseerimist käsitlevate sätete</w:t>
      </w:r>
      <w:r>
        <w:rPr>
          <w:rStyle w:val="FootnoteReference"/>
          <w:noProof/>
        </w:rPr>
        <w:footnoteReference w:id="51"/>
      </w:r>
      <w:r>
        <w:rPr>
          <w:noProof/>
        </w:rPr>
        <w:t xml:space="preserve"> kohalda</w:t>
      </w:r>
      <w:r>
        <w:rPr>
          <w:noProof/>
        </w:rPr>
        <w:t>mist, kuna neid kohaldatakse isikuandmete töötlemisel järgitavate turvanõuete suhtes. Tulevases Euroopa raamistikus välja pakutavad kavad peaksid toetuma võimalikult palju rahvusvahelistele standarditele, et mitte luua kaubandustõkkeid ja tagada kooskõla r</w:t>
      </w:r>
      <w:r>
        <w:rPr>
          <w:noProof/>
        </w:rPr>
        <w:t>ahvusvaheliste algatustega.</w:t>
      </w:r>
    </w:p>
    <w:p w:rsidR="00F4358D" w:rsidRDefault="00D1585A">
      <w:pPr>
        <w:pStyle w:val="ManualHeading2"/>
        <w:rPr>
          <w:noProof/>
        </w:rPr>
      </w:pPr>
      <w:r>
        <w:rPr>
          <w:noProof/>
        </w:rPr>
        <w:br w:type="page"/>
      </w:r>
      <w:bookmarkStart w:id="52" w:name="_Toc492216494"/>
      <w:r>
        <w:t>1.5.</w:t>
      </w:r>
      <w:r>
        <w:tab/>
      </w:r>
      <w:r>
        <w:rPr>
          <w:noProof/>
        </w:rPr>
        <w:t>Meetme kestus ja finantsmõju</w:t>
      </w:r>
      <w:bookmarkEnd w:id="52"/>
    </w:p>
    <w:p w:rsidR="00F4358D" w:rsidRDefault="00D1585A">
      <w:pPr>
        <w:pStyle w:val="Text1"/>
        <w:rPr>
          <w:noProof/>
        </w:rPr>
      </w:pPr>
      <w:r>
        <w:rPr>
          <w:noProof/>
        </w:rPr>
        <w:sym w:font="Wingdings" w:char="F0A8"/>
      </w:r>
      <w:r>
        <w:rPr>
          <w:noProof/>
        </w:rPr>
        <w:t xml:space="preserve"> </w:t>
      </w:r>
      <w:r>
        <w:rPr>
          <w:b/>
          <w:noProof/>
        </w:rPr>
        <w:t>Piiratud kestusega</w:t>
      </w:r>
      <w:r>
        <w:rPr>
          <w:noProof/>
        </w:rPr>
        <w:t xml:space="preserve"> ettepanek/algatus</w:t>
      </w:r>
    </w:p>
    <w:p w:rsidR="00F4358D" w:rsidRDefault="00D1585A">
      <w:pPr>
        <w:pStyle w:val="Tiret1"/>
        <w:numPr>
          <w:ilvl w:val="0"/>
          <w:numId w:val="82"/>
        </w:numPr>
        <w:rPr>
          <w:noProof/>
        </w:rPr>
      </w:pPr>
      <w:r>
        <w:rPr>
          <w:noProof/>
        </w:rPr>
        <w:sym w:font="Wingdings" w:char="F0A8"/>
      </w:r>
      <w:r>
        <w:rPr>
          <w:noProof/>
        </w:rPr>
        <w:tab/>
        <w:t>Ettepanek/algatus hõlmab ajavahemikku [PP/KK]AAAA–[PP/KK]AAAA</w:t>
      </w:r>
    </w:p>
    <w:p w:rsidR="00F4358D" w:rsidRDefault="00D1585A">
      <w:pPr>
        <w:pStyle w:val="Tiret1"/>
        <w:rPr>
          <w:noProof/>
        </w:rPr>
      </w:pPr>
      <w:r>
        <w:rPr>
          <w:noProof/>
        </w:rPr>
        <w:sym w:font="Wingdings" w:char="F0A8"/>
      </w:r>
      <w:r>
        <w:rPr>
          <w:noProof/>
        </w:rPr>
        <w:tab/>
        <w:t>Finantsmõju avaldub ajavahemikul AAAA–AAAA</w:t>
      </w:r>
    </w:p>
    <w:p w:rsidR="00F4358D" w:rsidRDefault="00D1585A">
      <w:pPr>
        <w:pStyle w:val="Text1"/>
        <w:rPr>
          <w:noProof/>
        </w:rPr>
      </w:pPr>
      <w:r>
        <w:rPr>
          <w:noProof/>
        </w:rPr>
        <w:sym w:font="Wingdings" w:char="F078"/>
      </w:r>
      <w:r>
        <w:rPr>
          <w:noProof/>
        </w:rPr>
        <w:t xml:space="preserve"> </w:t>
      </w:r>
      <w:r>
        <w:rPr>
          <w:b/>
          <w:noProof/>
        </w:rPr>
        <w:t>Piiramatu kestusega</w:t>
      </w:r>
      <w:r>
        <w:rPr>
          <w:noProof/>
        </w:rPr>
        <w:t xml:space="preserve"> ettepanek/algatus</w:t>
      </w:r>
    </w:p>
    <w:p w:rsidR="00F4358D" w:rsidRDefault="00D1585A">
      <w:pPr>
        <w:pStyle w:val="Tiret1"/>
        <w:rPr>
          <w:noProof/>
        </w:rPr>
      </w:pPr>
      <w:r>
        <w:rPr>
          <w:noProof/>
        </w:rPr>
        <w:t>raken</w:t>
      </w:r>
      <w:r>
        <w:rPr>
          <w:noProof/>
        </w:rPr>
        <w:t>damise käivitumisperiood hõlmab ajavahemikku 2019–2020,</w:t>
      </w:r>
    </w:p>
    <w:p w:rsidR="00F4358D" w:rsidRDefault="00D1585A">
      <w:pPr>
        <w:pStyle w:val="Tiret1"/>
        <w:rPr>
          <w:noProof/>
        </w:rPr>
      </w:pPr>
      <w:r>
        <w:rPr>
          <w:noProof/>
        </w:rPr>
        <w:t>millele järgneb täieulatuslik rakendamine.</w:t>
      </w:r>
    </w:p>
    <w:p w:rsidR="00F4358D" w:rsidRDefault="00D1585A">
      <w:pPr>
        <w:pStyle w:val="ManualHeading2"/>
        <w:rPr>
          <w:bCs/>
          <w:noProof/>
          <w:szCs w:val="24"/>
        </w:rPr>
      </w:pPr>
      <w:bookmarkStart w:id="53" w:name="_Toc492216495"/>
      <w:r>
        <w:t>1.6.</w:t>
      </w:r>
      <w:r>
        <w:tab/>
      </w:r>
      <w:r>
        <w:rPr>
          <w:noProof/>
        </w:rPr>
        <w:t>Ettenähtud eelarve täitmise viisid</w:t>
      </w:r>
      <w:r>
        <w:rPr>
          <w:rStyle w:val="FootnoteReference"/>
          <w:noProof/>
        </w:rPr>
        <w:footnoteReference w:id="52"/>
      </w:r>
      <w:bookmarkEnd w:id="53"/>
      <w:r>
        <w:rPr>
          <w:noProof/>
        </w:rPr>
        <w:t xml:space="preserve"> </w:t>
      </w:r>
    </w:p>
    <w:p w:rsidR="00F4358D" w:rsidRDefault="00D1585A">
      <w:pPr>
        <w:pStyle w:val="Text1"/>
        <w:rPr>
          <w:noProof/>
        </w:rPr>
      </w:pPr>
      <w:r>
        <w:rPr>
          <w:noProof/>
        </w:rPr>
        <w:sym w:font="Wingdings" w:char="F078"/>
      </w:r>
      <w:r>
        <w:rPr>
          <w:noProof/>
        </w:rPr>
        <w:t xml:space="preserve"> </w:t>
      </w:r>
      <w:r>
        <w:rPr>
          <w:b/>
          <w:noProof/>
        </w:rPr>
        <w:t>Otsene eelarve täitmine</w:t>
      </w:r>
      <w:r>
        <w:rPr>
          <w:noProof/>
        </w:rPr>
        <w:t xml:space="preserve"> komisjoni poolt (III jaotis – sertifitseerimine)</w:t>
      </w:r>
    </w:p>
    <w:p w:rsidR="00F4358D" w:rsidRDefault="00D1585A">
      <w:pPr>
        <w:pStyle w:val="Tiret1"/>
        <w:rPr>
          <w:noProof/>
        </w:rPr>
      </w:pPr>
      <w:r>
        <w:rPr>
          <w:noProof/>
        </w:rPr>
        <w:sym w:font="Wingdings" w:char="F0A8"/>
      </w:r>
      <w:r>
        <w:rPr>
          <w:noProof/>
        </w:rPr>
        <w:tab/>
        <w:t>rakendusametite kaudu</w:t>
      </w:r>
    </w:p>
    <w:p w:rsidR="00F4358D" w:rsidRDefault="00D1585A">
      <w:pPr>
        <w:pStyle w:val="Text1"/>
        <w:rPr>
          <w:noProof/>
        </w:rPr>
      </w:pPr>
      <w:r>
        <w:rPr>
          <w:noProof/>
        </w:rPr>
        <w:sym w:font="Wingdings" w:char="F0A8"/>
      </w:r>
      <w:r>
        <w:rPr>
          <w:noProof/>
        </w:rPr>
        <w:t xml:space="preserve"> </w:t>
      </w:r>
      <w:r>
        <w:rPr>
          <w:b/>
          <w:noProof/>
        </w:rPr>
        <w:t xml:space="preserve">Eelarve </w:t>
      </w:r>
      <w:r>
        <w:rPr>
          <w:b/>
          <w:noProof/>
        </w:rPr>
        <w:t>täitmine koostöös</w:t>
      </w:r>
      <w:r>
        <w:rPr>
          <w:noProof/>
        </w:rPr>
        <w:t xml:space="preserve"> liikmesriikidega</w:t>
      </w:r>
    </w:p>
    <w:p w:rsidR="00F4358D" w:rsidRDefault="00D1585A">
      <w:pPr>
        <w:pStyle w:val="Text1"/>
        <w:rPr>
          <w:noProof/>
        </w:rPr>
      </w:pPr>
      <w:r>
        <w:rPr>
          <w:noProof/>
        </w:rPr>
        <w:sym w:font="Wingdings" w:char="F078"/>
      </w:r>
      <w:r>
        <w:rPr>
          <w:noProof/>
        </w:rPr>
        <w:t xml:space="preserve"> </w:t>
      </w:r>
      <w:r>
        <w:rPr>
          <w:b/>
          <w:noProof/>
        </w:rPr>
        <w:t>Kaudne eelarve täitmine</w:t>
      </w:r>
      <w:r>
        <w:rPr>
          <w:noProof/>
        </w:rPr>
        <w:t>, mille puhul eelarve täitmise ülesanded on delegeeritud:</w:t>
      </w:r>
    </w:p>
    <w:p w:rsidR="00F4358D" w:rsidRDefault="00D1585A">
      <w:pPr>
        <w:pStyle w:val="Text1"/>
        <w:rPr>
          <w:noProof/>
        </w:rPr>
      </w:pPr>
      <w:r>
        <w:rPr>
          <w:noProof/>
        </w:rPr>
        <w:sym w:font="Wingdings" w:char="F0A8"/>
      </w:r>
      <w:r>
        <w:rPr>
          <w:noProof/>
        </w:rPr>
        <w:t xml:space="preserve"> rahvusvahelistele organisatsioonidele ja nende allasutustele (täpsustage);</w:t>
      </w:r>
    </w:p>
    <w:p w:rsidR="00F4358D" w:rsidRDefault="00D1585A">
      <w:pPr>
        <w:pStyle w:val="Text1"/>
        <w:rPr>
          <w:noProof/>
        </w:rPr>
      </w:pPr>
      <w:r>
        <w:rPr>
          <w:noProof/>
        </w:rPr>
        <w:sym w:font="Wingdings" w:char="F0A8"/>
      </w:r>
      <w:r>
        <w:rPr>
          <w:noProof/>
        </w:rPr>
        <w:t xml:space="preserve"> Euroopa Investeerimispangale (EIP) ja Euroopa Investeerimis</w:t>
      </w:r>
      <w:r>
        <w:rPr>
          <w:noProof/>
        </w:rPr>
        <w:t>fondile (EIF);</w:t>
      </w:r>
    </w:p>
    <w:p w:rsidR="00F4358D" w:rsidRDefault="00D1585A">
      <w:pPr>
        <w:pStyle w:val="Text1"/>
        <w:rPr>
          <w:noProof/>
        </w:rPr>
      </w:pPr>
      <w:r>
        <w:rPr>
          <w:noProof/>
        </w:rPr>
        <w:sym w:font="Wingdings" w:char="F078"/>
      </w:r>
      <w:r>
        <w:rPr>
          <w:noProof/>
        </w:rPr>
        <w:t xml:space="preserve"> artiklites 208 ja 209 osutatud asutustele (II jaotis – ENISA);</w:t>
      </w:r>
    </w:p>
    <w:p w:rsidR="00F4358D" w:rsidRDefault="00D1585A">
      <w:pPr>
        <w:pStyle w:val="Text1"/>
        <w:rPr>
          <w:noProof/>
        </w:rPr>
      </w:pPr>
      <w:r>
        <w:rPr>
          <w:noProof/>
        </w:rPr>
        <w:sym w:font="Wingdings" w:char="F0A8"/>
      </w:r>
      <w:r>
        <w:rPr>
          <w:noProof/>
        </w:rPr>
        <w:t xml:space="preserve"> avalik-õiguslikele asutustele;</w:t>
      </w:r>
    </w:p>
    <w:p w:rsidR="00F4358D" w:rsidRDefault="00D1585A">
      <w:pPr>
        <w:pStyle w:val="Text1"/>
        <w:rPr>
          <w:noProof/>
        </w:rPr>
      </w:pPr>
      <w:r>
        <w:rPr>
          <w:noProof/>
        </w:rPr>
        <w:sym w:font="Wingdings" w:char="F0A8"/>
      </w:r>
      <w:r>
        <w:rPr>
          <w:noProof/>
        </w:rPr>
        <w:t xml:space="preserve"> avalikke teenuseid osutavatele eraõiguslikele asutustele, kuivõrd nad esitavad piisavad finantstagatised;</w:t>
      </w:r>
    </w:p>
    <w:p w:rsidR="00F4358D" w:rsidRDefault="00D1585A">
      <w:pPr>
        <w:pStyle w:val="Text1"/>
        <w:rPr>
          <w:noProof/>
        </w:rPr>
      </w:pPr>
      <w:r>
        <w:rPr>
          <w:noProof/>
        </w:rPr>
        <w:sym w:font="Wingdings" w:char="F0A8"/>
      </w:r>
      <w:r>
        <w:rPr>
          <w:noProof/>
        </w:rPr>
        <w:t xml:space="preserve"> liikmesriigi eraõigusega reguleeritud asutustele, kellele on delegeeritud avaliku ja erasektori partnerluse rakendamine ja kes esitavad piisavad finantstagatised;</w:t>
      </w:r>
    </w:p>
    <w:p w:rsidR="00F4358D" w:rsidRDefault="00D1585A">
      <w:pPr>
        <w:pStyle w:val="Text1"/>
        <w:rPr>
          <w:noProof/>
        </w:rPr>
      </w:pPr>
      <w:r>
        <w:rPr>
          <w:noProof/>
        </w:rPr>
        <w:sym w:font="Wingdings" w:char="F0A8"/>
      </w:r>
      <w:r>
        <w:rPr>
          <w:noProof/>
        </w:rPr>
        <w:t xml:space="preserve"> isikutele, kellele on delegeeritud Euroopa Liidu lepingu V jaotise kohaste ÜVJP erimeetmet</w:t>
      </w:r>
      <w:r>
        <w:rPr>
          <w:noProof/>
        </w:rPr>
        <w:t>e rakendamine ja kes on kindlaks määratud asjaomases alusaktis.</w:t>
      </w:r>
    </w:p>
    <w:p w:rsidR="00F4358D" w:rsidRDefault="00D1585A">
      <w:pPr>
        <w:rPr>
          <w:noProof/>
        </w:rPr>
      </w:pPr>
      <w:r>
        <w:rPr>
          <w:noProof/>
        </w:rPr>
        <w:t xml:space="preserve">Märkused </w:t>
      </w:r>
    </w:p>
    <w:p w:rsidR="00F4358D" w:rsidRDefault="00D1585A">
      <w:pPr>
        <w:pBdr>
          <w:top w:val="single" w:sz="4" w:space="1" w:color="auto"/>
          <w:left w:val="single" w:sz="4" w:space="4" w:color="auto"/>
          <w:bottom w:val="single" w:sz="4" w:space="1" w:color="auto"/>
          <w:right w:val="single" w:sz="4" w:space="4" w:color="auto"/>
        </w:pBdr>
        <w:rPr>
          <w:noProof/>
        </w:rPr>
      </w:pPr>
      <w:r>
        <w:rPr>
          <w:noProof/>
        </w:rPr>
        <w:t>Määrust kohaldatakse järgmise suhtes:</w:t>
      </w:r>
    </w:p>
    <w:p w:rsidR="00F4358D" w:rsidRDefault="00D1585A">
      <w:pPr>
        <w:pBdr>
          <w:top w:val="single" w:sz="4" w:space="1" w:color="auto"/>
          <w:left w:val="single" w:sz="4" w:space="4" w:color="auto"/>
          <w:bottom w:val="single" w:sz="4" w:space="1" w:color="auto"/>
          <w:right w:val="single" w:sz="4" w:space="4" w:color="auto"/>
        </w:pBdr>
        <w:rPr>
          <w:noProof/>
        </w:rPr>
      </w:pPr>
      <w:r>
        <w:rPr>
          <w:noProof/>
        </w:rPr>
        <w:t xml:space="preserve"> - välja pakutud määruse II jaotise alusel vaadatakse läbi Euroopa Liidu Võrgu- ja Infoturbeameti (ENISA) mandaat, andes talle sertifitseerimise</w:t>
      </w:r>
      <w:r>
        <w:rPr>
          <w:noProof/>
        </w:rPr>
        <w:t xml:space="preserve"> käigus olulise rolli, ning</w:t>
      </w:r>
    </w:p>
    <w:p w:rsidR="00F4358D" w:rsidRDefault="00D1585A">
      <w:pPr>
        <w:pBdr>
          <w:top w:val="single" w:sz="4" w:space="1" w:color="auto"/>
          <w:left w:val="single" w:sz="4" w:space="4" w:color="auto"/>
          <w:bottom w:val="single" w:sz="4" w:space="1" w:color="auto"/>
          <w:right w:val="single" w:sz="4" w:space="4" w:color="auto"/>
        </w:pBdr>
        <w:rPr>
          <w:noProof/>
        </w:rPr>
      </w:pPr>
      <w:r>
        <w:rPr>
          <w:noProof/>
        </w:rPr>
        <w:t xml:space="preserve"> - III jaotise alusel luuakse raamistik IKT toodete ja teenuste Euroopa küberturvalisuse sertifitseerimise kavade loomiseks, milles ENISA-l on ülioluline roll. </w:t>
      </w:r>
    </w:p>
    <w:p w:rsidR="00F4358D" w:rsidRDefault="00F4358D">
      <w:pPr>
        <w:pBdr>
          <w:top w:val="single" w:sz="4" w:space="1" w:color="auto"/>
          <w:left w:val="single" w:sz="4" w:space="4" w:color="auto"/>
          <w:bottom w:val="single" w:sz="4" w:space="1" w:color="auto"/>
          <w:right w:val="single" w:sz="4" w:space="4" w:color="auto"/>
        </w:pBdr>
        <w:rPr>
          <w:noProof/>
        </w:rPr>
        <w:sectPr w:rsidR="00F4358D" w:rsidSect="00D1585A">
          <w:pgSz w:w="11907" w:h="16839" w:code="9"/>
          <w:pgMar w:top="794" w:right="907" w:bottom="851" w:left="1361" w:header="510" w:footer="454" w:gutter="0"/>
          <w:cols w:space="720"/>
          <w:docGrid w:linePitch="326"/>
        </w:sectPr>
      </w:pPr>
    </w:p>
    <w:p w:rsidR="00F4358D" w:rsidRDefault="00D1585A">
      <w:pPr>
        <w:pStyle w:val="ManualHeading1"/>
        <w:rPr>
          <w:bCs/>
          <w:noProof/>
          <w:szCs w:val="24"/>
        </w:rPr>
      </w:pPr>
      <w:bookmarkStart w:id="54" w:name="_Toc492216496"/>
      <w:r>
        <w:t>2.</w:t>
      </w:r>
      <w:r>
        <w:tab/>
      </w:r>
      <w:r>
        <w:rPr>
          <w:noProof/>
        </w:rPr>
        <w:t>HALDUSMEETMED</w:t>
      </w:r>
      <w:bookmarkEnd w:id="54"/>
    </w:p>
    <w:p w:rsidR="00F4358D" w:rsidRDefault="00D1585A">
      <w:pPr>
        <w:pStyle w:val="ManualHeading2"/>
        <w:rPr>
          <w:bCs/>
          <w:noProof/>
          <w:szCs w:val="24"/>
        </w:rPr>
      </w:pPr>
      <w:bookmarkStart w:id="55" w:name="_Toc492216497"/>
      <w:r>
        <w:t>2.1.</w:t>
      </w:r>
      <w:r>
        <w:tab/>
      </w:r>
      <w:r>
        <w:rPr>
          <w:noProof/>
        </w:rPr>
        <w:t>Järelevalve ja aruandlu</w:t>
      </w:r>
      <w:r>
        <w:rPr>
          <w:noProof/>
        </w:rPr>
        <w:t>se eeskirjad</w:t>
      </w:r>
      <w:bookmarkEnd w:id="55"/>
    </w:p>
    <w:p w:rsidR="00F4358D" w:rsidRDefault="00D1585A">
      <w:pPr>
        <w:pStyle w:val="Text1"/>
        <w:rPr>
          <w:i/>
          <w:noProof/>
          <w:sz w:val="20"/>
        </w:rPr>
      </w:pPr>
      <w:r>
        <w:rPr>
          <w:i/>
          <w:noProof/>
          <w:sz w:val="20"/>
        </w:rPr>
        <w:t>Täpsustage tingimused ja sagedus.</w:t>
      </w:r>
    </w:p>
    <w:p w:rsidR="00F4358D" w:rsidRDefault="00F4358D">
      <w:pPr>
        <w:pStyle w:val="Text1"/>
        <w:rPr>
          <w:i/>
          <w:noProof/>
          <w:sz w:val="20"/>
        </w:rPr>
      </w:pPr>
    </w:p>
    <w:tbl>
      <w:tblPr>
        <w:tblStyle w:val="TableGrid"/>
        <w:tblW w:w="0" w:type="auto"/>
        <w:tblInd w:w="850" w:type="dxa"/>
        <w:tblLook w:val="04A0" w:firstRow="1" w:lastRow="0" w:firstColumn="1" w:lastColumn="0" w:noHBand="0" w:noVBand="1"/>
      </w:tblPr>
      <w:tblGrid>
        <w:gridCol w:w="9338"/>
      </w:tblGrid>
      <w:tr w:rsidR="00F4358D">
        <w:tc>
          <w:tcPr>
            <w:tcW w:w="10188" w:type="dxa"/>
          </w:tcPr>
          <w:p w:rsidR="00F4358D" w:rsidRDefault="00D1585A">
            <w:pPr>
              <w:pStyle w:val="Body"/>
              <w:rPr>
                <w:noProof/>
                <w:color w:val="auto"/>
              </w:rPr>
            </w:pPr>
            <w:r>
              <w:rPr>
                <w:noProof/>
                <w:color w:val="auto"/>
              </w:rPr>
              <w:t>Järelevalve algab kohe pärast õigusakti vastuvõtmist ja keskendub selle kohaldamisele. Komisjon korraldab kohtumised ENISA, liikmesriikide esindajate (näiteks ekspertide rühm) ja asjaomaste sidusrühmadega, ee</w:t>
            </w:r>
            <w:r>
              <w:rPr>
                <w:noProof/>
                <w:color w:val="auto"/>
              </w:rPr>
              <w:t xml:space="preserve">lkõige et edendada sertifitseerimist käsitlevate õigusnormide rakendamist (näiteks haldusnõukogu loomist). </w:t>
            </w:r>
          </w:p>
          <w:p w:rsidR="00F4358D" w:rsidRDefault="00D1585A">
            <w:pPr>
              <w:ind w:right="-29"/>
              <w:rPr>
                <w:noProof/>
              </w:rPr>
            </w:pPr>
            <w:r>
              <w:rPr>
                <w:noProof/>
              </w:rPr>
              <w:t>Esimene hindamine peaks toimuma õigusakti jõustumisest viie aasta möödumisel, kui saadaval on piisavalt andmeid. Õigusakt sisaldab sõnaselget hindam</w:t>
            </w:r>
            <w:r>
              <w:rPr>
                <w:noProof/>
              </w:rPr>
              <w:t xml:space="preserve">is- ja läbivaatamisklauslit [artikkel XXX], mille alusel komisjon viib ellu sõltumatu hindamise. Komisjon esitab seejärel Euroopa Parlamendile ja nõukogule hindamise kohta aruande, lisades sellele vajaduse korral läbivaatamise ettepaneku, et mõõta määruse </w:t>
            </w:r>
            <w:r>
              <w:rPr>
                <w:noProof/>
              </w:rPr>
              <w:t>mõju ja selle lisaväärtust. Uus hindamine tuleks korraldada iga viie aasta tagant. Selle suhtes kohaldatakse komisjoni parema õigusloome hindamismetoodikat. Need hindamised viiakse ellu ekspertidega peetavate sihtotstarbeliste arutelude, uuringute ja ulatu</w:t>
            </w:r>
            <w:r>
              <w:rPr>
                <w:noProof/>
              </w:rPr>
              <w:t>slike sidusrühmadega konsulteerimiste abil.</w:t>
            </w:r>
          </w:p>
          <w:p w:rsidR="00F4358D" w:rsidRDefault="00D1585A">
            <w:pPr>
              <w:ind w:right="-29"/>
              <w:rPr>
                <w:noProof/>
              </w:rPr>
            </w:pPr>
            <w:r>
              <w:rPr>
                <w:noProof/>
              </w:rPr>
              <w:t xml:space="preserve">ENISA tegevdirektor peaks esitama haldusnõukogule iga kahe aasta tagant ENISA tegevuse järelhindamise. Amet peaks ka koostama järelmeetmete tegevuskava, mis sisaldab järelhindamise järeldusi, ja esitama iga kahe </w:t>
            </w:r>
            <w:r>
              <w:rPr>
                <w:noProof/>
              </w:rPr>
              <w:t>aasta järel komisjonile aruande tehtud edusammude kohta. Haldusnõukogu peaks tagama, et nende järelduste alusel võetakse nõuetekohased järelmeetmed.</w:t>
            </w:r>
          </w:p>
          <w:p w:rsidR="00F4358D" w:rsidRDefault="00D1585A">
            <w:pPr>
              <w:ind w:right="-29"/>
              <w:rPr>
                <w:noProof/>
              </w:rPr>
            </w:pPr>
            <w:r>
              <w:rPr>
                <w:noProof/>
              </w:rPr>
              <w:t>Kui ameti tegevuses esineb väidetavat haldusomavoli, siis uurib seda Euroopa Ombudsman vastavalt alusleping</w:t>
            </w:r>
            <w:r>
              <w:rPr>
                <w:noProof/>
              </w:rPr>
              <w:t>u artiklile 228.</w:t>
            </w:r>
          </w:p>
          <w:p w:rsidR="00F4358D" w:rsidRDefault="00D1585A">
            <w:pPr>
              <w:rPr>
                <w:i/>
                <w:noProof/>
                <w:sz w:val="20"/>
              </w:rPr>
            </w:pPr>
            <w:r>
              <w:rPr>
                <w:noProof/>
              </w:rPr>
              <w:t>Kavandatud järelevalve peamised andmeallikad on ENISA, Euroopa küberturvalisuse sertifitseerimise rühm, koostöörühm, CSIRTide võrgustik ja liikmesriikide ametiasutused. Lisaks ENISA, Euroopa küberturvalisuse sertifitseerimise rühma, koostö</w:t>
            </w:r>
            <w:r>
              <w:rPr>
                <w:noProof/>
              </w:rPr>
              <w:t>örühma ja CSIRTide võrgustiku aruannetest (sealhulgas iga-aastastest tegevusaruannetest) saadud andmetele kasutatakse vajaduse korral konkreetseid andmete kogumise vahendeid (näiteks riigi ametiasutuste ja Eurobaromeetri uuringuid, küberturvalisuse kuu kam</w:t>
            </w:r>
            <w:r>
              <w:rPr>
                <w:noProof/>
              </w:rPr>
              <w:t>paania ja üleeuroopaliste õppuste käigus laekunud aruandeid).</w:t>
            </w:r>
          </w:p>
        </w:tc>
      </w:tr>
    </w:tbl>
    <w:p w:rsidR="00F4358D" w:rsidRDefault="00F4358D">
      <w:pPr>
        <w:pStyle w:val="Text1"/>
        <w:rPr>
          <w:i/>
          <w:noProof/>
          <w:sz w:val="20"/>
        </w:rPr>
      </w:pPr>
    </w:p>
    <w:p w:rsidR="00F4358D" w:rsidRDefault="00D1585A">
      <w:pPr>
        <w:pStyle w:val="ManualHeading2"/>
        <w:rPr>
          <w:bCs/>
          <w:noProof/>
          <w:szCs w:val="24"/>
        </w:rPr>
      </w:pPr>
      <w:bookmarkStart w:id="56" w:name="_Toc492216498"/>
      <w:r>
        <w:t>2.2.</w:t>
      </w:r>
      <w:r>
        <w:tab/>
      </w:r>
      <w:r>
        <w:rPr>
          <w:noProof/>
        </w:rPr>
        <w:t>Haldus- ja kontrollisüsteem</w:t>
      </w:r>
      <w:bookmarkEnd w:id="56"/>
    </w:p>
    <w:p w:rsidR="00F4358D" w:rsidRDefault="00D1585A">
      <w:pPr>
        <w:pStyle w:val="ManualHeading3"/>
        <w:rPr>
          <w:bCs/>
          <w:noProof/>
          <w:szCs w:val="24"/>
        </w:rPr>
      </w:pPr>
      <w:bookmarkStart w:id="57" w:name="_Toc492216499"/>
      <w:r>
        <w:t>2.2.1.</w:t>
      </w:r>
      <w:r>
        <w:tab/>
      </w:r>
      <w:r>
        <w:rPr>
          <w:noProof/>
        </w:rPr>
        <w:t>Tuvastatud ohud</w:t>
      </w:r>
      <w:bookmarkEnd w:id="57"/>
    </w:p>
    <w:p w:rsidR="00F4358D" w:rsidRDefault="00D1585A">
      <w:pPr>
        <w:pBdr>
          <w:top w:val="single" w:sz="4" w:space="1" w:color="auto"/>
          <w:left w:val="single" w:sz="4" w:space="4" w:color="auto"/>
          <w:bottom w:val="single" w:sz="4" w:space="1" w:color="auto"/>
          <w:right w:val="single" w:sz="4" w:space="4" w:color="auto"/>
        </w:pBdr>
        <w:ind w:left="851"/>
        <w:rPr>
          <w:noProof/>
        </w:rPr>
      </w:pPr>
      <w:r>
        <w:rPr>
          <w:noProof/>
        </w:rPr>
        <w:t xml:space="preserve">Tuvastatud ohud on väikesed: liidu amet on juba olemas ja selle mandaati piiritletakse, tugevdades neid valdkondi, kus amet on näidanud </w:t>
      </w:r>
      <w:r>
        <w:rPr>
          <w:noProof/>
        </w:rPr>
        <w:t>selget lisaväärtust, ja lisades valdkonnad, kus vajatakse tuge, võttes arvesse uusi poliitilisi prioriteete ja vahendeid, eelkõige võrgu- ja infoturbe direktiivi, Euroopa Liidu küberjulgeoleku strateegia läbivaatamist, tulevast ELi küberturvalisuse tegevus</w:t>
      </w:r>
      <w:r>
        <w:rPr>
          <w:noProof/>
        </w:rPr>
        <w:t>kava küberkriiside valdkonnas tehtava koostöö jaoks ning IKT turvalisuse sertifitseerimist.</w:t>
      </w:r>
    </w:p>
    <w:p w:rsidR="00F4358D" w:rsidRDefault="00D1585A">
      <w:pPr>
        <w:pBdr>
          <w:top w:val="single" w:sz="4" w:space="1" w:color="auto"/>
          <w:left w:val="single" w:sz="4" w:space="4" w:color="auto"/>
          <w:bottom w:val="single" w:sz="4" w:space="1" w:color="auto"/>
          <w:right w:val="single" w:sz="4" w:space="4" w:color="auto"/>
        </w:pBdr>
        <w:ind w:left="851"/>
        <w:rPr>
          <w:noProof/>
          <w:szCs w:val="24"/>
        </w:rPr>
      </w:pPr>
      <w:r>
        <w:rPr>
          <w:noProof/>
        </w:rPr>
        <w:t xml:space="preserve">Ettepanekuga kirjeldatakse seega üksikasjalikult ameti ülesandeid ja suurendatakse selle tõhusust. Suuremad operatiivsed pädevused ja ülesanded ei tekita tegelikku </w:t>
      </w:r>
      <w:r>
        <w:rPr>
          <w:noProof/>
        </w:rPr>
        <w:t>riski, kuna need täiendaksid liikmesriikide võetavaid meetmeid ja toetaksid liikmesriike piiritletud ja eelnevalt kindlaks määratud teenustega, kui nad esitavad vastava taotluse.</w:t>
      </w:r>
    </w:p>
    <w:p w:rsidR="00F4358D" w:rsidRDefault="00D1585A">
      <w:pPr>
        <w:pBdr>
          <w:top w:val="single" w:sz="4" w:space="1" w:color="auto"/>
          <w:left w:val="single" w:sz="4" w:space="4" w:color="auto"/>
          <w:bottom w:val="single" w:sz="4" w:space="1" w:color="auto"/>
          <w:right w:val="single" w:sz="4" w:space="4" w:color="auto"/>
        </w:pBdr>
        <w:ind w:left="851"/>
        <w:rPr>
          <w:noProof/>
        </w:rPr>
      </w:pPr>
      <w:r>
        <w:rPr>
          <w:noProof/>
        </w:rPr>
        <w:t>Lisaks sellele tagatakse ühise lähenemisviisi kaudu ameti välja pakutud mudel</w:t>
      </w:r>
      <w:r>
        <w:rPr>
          <w:noProof/>
        </w:rPr>
        <w:t>i abil, et piisavalt kontrollitakse seda, kas ENISA tegutseb oma eesmärkide saavutamise nimel. Kavandatavate muudatuste operatsiooni- ja finantsriskid näivad olevat väikesed.</w:t>
      </w:r>
    </w:p>
    <w:p w:rsidR="00F4358D" w:rsidRDefault="00D1585A">
      <w:pPr>
        <w:pBdr>
          <w:top w:val="single" w:sz="4" w:space="1" w:color="auto"/>
          <w:left w:val="single" w:sz="4" w:space="4" w:color="auto"/>
          <w:bottom w:val="single" w:sz="4" w:space="1" w:color="auto"/>
          <w:right w:val="single" w:sz="4" w:space="4" w:color="auto"/>
        </w:pBdr>
        <w:ind w:left="851"/>
        <w:rPr>
          <w:noProof/>
        </w:rPr>
      </w:pPr>
      <w:r>
        <w:rPr>
          <w:noProof/>
        </w:rPr>
        <w:t>Samal ajal on vaja tagada piisavad rahalised vahendid, et ENISA saaks täita talle</w:t>
      </w:r>
      <w:r>
        <w:rPr>
          <w:noProof/>
        </w:rPr>
        <w:t xml:space="preserve"> uue mandaadi alusel antud ülesandeid, muu hulgas sertifitseerimise valdkonnas.</w:t>
      </w:r>
    </w:p>
    <w:p w:rsidR="00F4358D" w:rsidRDefault="00F4358D">
      <w:pPr>
        <w:rPr>
          <w:bCs/>
          <w:noProof/>
          <w:szCs w:val="24"/>
        </w:rPr>
      </w:pPr>
    </w:p>
    <w:p w:rsidR="00F4358D" w:rsidRDefault="00D1585A">
      <w:pPr>
        <w:pStyle w:val="ManualHeading3"/>
        <w:rPr>
          <w:bCs/>
          <w:noProof/>
          <w:szCs w:val="24"/>
        </w:rPr>
      </w:pPr>
      <w:bookmarkStart w:id="58" w:name="_Toc492216500"/>
      <w:r>
        <w:t>2.2.2.</w:t>
      </w:r>
      <w:r>
        <w:tab/>
      </w:r>
      <w:r>
        <w:rPr>
          <w:noProof/>
        </w:rPr>
        <w:t>Ettenähtud kontrollimeetodid</w:t>
      </w:r>
      <w:bookmarkEnd w:id="58"/>
    </w:p>
    <w:p w:rsidR="00F4358D" w:rsidRDefault="00D1585A">
      <w:pPr>
        <w:pStyle w:val="Text1"/>
        <w:pBdr>
          <w:top w:val="single" w:sz="4" w:space="1" w:color="auto"/>
          <w:left w:val="single" w:sz="4" w:space="4" w:color="auto"/>
          <w:bottom w:val="single" w:sz="4" w:space="1" w:color="auto"/>
          <w:right w:val="single" w:sz="4" w:space="4" w:color="auto"/>
        </w:pBdr>
        <w:rPr>
          <w:noProof/>
        </w:rPr>
      </w:pPr>
      <w:r>
        <w:rPr>
          <w:noProof/>
        </w:rPr>
        <w:t>Ameti raamatupidamisaruanded esitatakse heakskiitmiseks Euroopa Kontrollikojale ning nende suhtes kohaldatakse eelarve täitmisele heakskiid</w:t>
      </w:r>
      <w:r>
        <w:rPr>
          <w:noProof/>
        </w:rPr>
        <w:t>u andmise menetlust ja auditeerimist.</w:t>
      </w:r>
    </w:p>
    <w:p w:rsidR="00F4358D" w:rsidRDefault="00D1585A">
      <w:pPr>
        <w:pStyle w:val="Text1"/>
        <w:pBdr>
          <w:top w:val="single" w:sz="4" w:space="1" w:color="auto"/>
          <w:left w:val="single" w:sz="4" w:space="4" w:color="auto"/>
          <w:bottom w:val="single" w:sz="4" w:space="1" w:color="auto"/>
          <w:right w:val="single" w:sz="4" w:space="4" w:color="auto"/>
        </w:pBdr>
        <w:rPr>
          <w:noProof/>
        </w:rPr>
      </w:pPr>
      <w:r>
        <w:rPr>
          <w:noProof/>
        </w:rPr>
        <w:t>Ameti tegevust kontrollib ombudsman kooskõlas asutamislepingu artikliga 228.</w:t>
      </w:r>
    </w:p>
    <w:p w:rsidR="00F4358D" w:rsidRDefault="00D1585A">
      <w:pPr>
        <w:pStyle w:val="Text1"/>
        <w:pBdr>
          <w:top w:val="single" w:sz="4" w:space="1" w:color="auto"/>
          <w:left w:val="single" w:sz="4" w:space="4" w:color="auto"/>
          <w:bottom w:val="single" w:sz="4" w:space="1" w:color="auto"/>
          <w:right w:val="single" w:sz="4" w:space="4" w:color="auto"/>
        </w:pBdr>
        <w:rPr>
          <w:noProof/>
        </w:rPr>
      </w:pPr>
      <w:r>
        <w:rPr>
          <w:noProof/>
        </w:rPr>
        <w:t>Vt punkt 2.1 ja punkt 2.2.1</w:t>
      </w:r>
    </w:p>
    <w:p w:rsidR="00F4358D" w:rsidRDefault="00F4358D">
      <w:pPr>
        <w:rPr>
          <w:bCs/>
          <w:noProof/>
          <w:szCs w:val="24"/>
        </w:rPr>
      </w:pPr>
    </w:p>
    <w:p w:rsidR="00F4358D" w:rsidRDefault="00D1585A">
      <w:pPr>
        <w:pStyle w:val="ManualHeading2"/>
        <w:rPr>
          <w:bCs/>
          <w:noProof/>
          <w:szCs w:val="24"/>
        </w:rPr>
      </w:pPr>
      <w:bookmarkStart w:id="59" w:name="_Toc492216501"/>
      <w:r>
        <w:t>2.3.</w:t>
      </w:r>
      <w:r>
        <w:tab/>
      </w:r>
      <w:r>
        <w:rPr>
          <w:noProof/>
        </w:rPr>
        <w:t>Pettuse ja eeskirjade eiramise ärahoidmise meetmed</w:t>
      </w:r>
      <w:bookmarkEnd w:id="59"/>
    </w:p>
    <w:p w:rsidR="00F4358D" w:rsidRDefault="00D1585A">
      <w:pPr>
        <w:pStyle w:val="Text1"/>
        <w:rPr>
          <w:i/>
          <w:noProof/>
          <w:sz w:val="20"/>
        </w:rPr>
      </w:pPr>
      <w:r>
        <w:rPr>
          <w:i/>
          <w:noProof/>
          <w:sz w:val="20"/>
        </w:rPr>
        <w:t>Täpsustage rakendatavad või kavandatud ennetus- ja kaits</w:t>
      </w:r>
      <w:r>
        <w:rPr>
          <w:i/>
          <w:noProof/>
          <w:sz w:val="20"/>
        </w:rPr>
        <w:t>emeetmed</w:t>
      </w:r>
    </w:p>
    <w:p w:rsidR="00F4358D" w:rsidRDefault="00D1585A">
      <w:pPr>
        <w:pBdr>
          <w:top w:val="single" w:sz="4" w:space="1" w:color="auto"/>
          <w:left w:val="single" w:sz="4" w:space="5" w:color="auto"/>
          <w:bottom w:val="single" w:sz="4" w:space="1" w:color="auto"/>
          <w:right w:val="single" w:sz="4" w:space="4" w:color="auto"/>
        </w:pBdr>
        <w:ind w:left="851"/>
        <w:rPr>
          <w:noProof/>
        </w:rPr>
      </w:pPr>
      <w:r>
        <w:rPr>
          <w:noProof/>
        </w:rPr>
        <w:t>Kohaldatakse ENISA ennetus- ja kaitsemeetmeid, eelkõige järgmiselt.</w:t>
      </w:r>
    </w:p>
    <w:p w:rsidR="00F4358D" w:rsidRDefault="00D1585A">
      <w:pPr>
        <w:pBdr>
          <w:top w:val="single" w:sz="4" w:space="1" w:color="auto"/>
          <w:left w:val="single" w:sz="4" w:space="5" w:color="auto"/>
          <w:bottom w:val="single" w:sz="4" w:space="1" w:color="auto"/>
          <w:right w:val="single" w:sz="4" w:space="4" w:color="auto"/>
        </w:pBdr>
        <w:ind w:left="851"/>
        <w:rPr>
          <w:noProof/>
        </w:rPr>
      </w:pPr>
      <w:r>
        <w:rPr>
          <w:noProof/>
        </w:rPr>
        <w:t xml:space="preserve">- Ameti personal kontrollib kõiki makseid mis tahes teenuse või uuringu eest enne makse sooritamist, võttes arvesse kõiki lepingulisi kohustusi, majanduslikke põhimõtteid ning </w:t>
      </w:r>
      <w:r>
        <w:rPr>
          <w:noProof/>
        </w:rPr>
        <w:t>head finantstegevus- ja juhtimistava. Pettusevastased sätted (järelevalve, aruandlusnõuded jms) lisatakse kõikidesse ameti ja mis tahes makse saajate vahelistesse kokkulepetesse ning lepingutesse.</w:t>
      </w:r>
    </w:p>
    <w:p w:rsidR="00F4358D" w:rsidRDefault="00D1585A">
      <w:pPr>
        <w:pBdr>
          <w:top w:val="single" w:sz="4" w:space="1" w:color="auto"/>
          <w:left w:val="single" w:sz="4" w:space="5" w:color="auto"/>
          <w:bottom w:val="single" w:sz="4" w:space="1" w:color="auto"/>
          <w:right w:val="single" w:sz="4" w:space="4" w:color="auto"/>
        </w:pBdr>
        <w:ind w:left="851"/>
        <w:rPr>
          <w:noProof/>
        </w:rPr>
      </w:pPr>
      <w:r>
        <w:rPr>
          <w:noProof/>
        </w:rPr>
        <w:t>- Pettuse, korruptsiooni ja muude õigusvastaste tegude vast</w:t>
      </w:r>
      <w:r>
        <w:rPr>
          <w:noProof/>
        </w:rPr>
        <w:t>u võitlemiseks kohaldatakse piiranguteta Euroopa Pettustevastase Ameti (OLAF) juurdlusi käsitleva Euroopa Parlamendi ja nõukogu 11. septembri 2013. aasta määruse (EL, Euratom) nr 883/2013 sätteid.</w:t>
      </w:r>
    </w:p>
    <w:p w:rsidR="00F4358D" w:rsidRDefault="00D1585A">
      <w:pPr>
        <w:pBdr>
          <w:top w:val="single" w:sz="4" w:space="1" w:color="auto"/>
          <w:left w:val="single" w:sz="4" w:space="5" w:color="auto"/>
          <w:bottom w:val="single" w:sz="4" w:space="1" w:color="auto"/>
          <w:right w:val="single" w:sz="4" w:space="4" w:color="auto"/>
        </w:pBdr>
        <w:ind w:left="851"/>
        <w:rPr>
          <w:noProof/>
        </w:rPr>
      </w:pPr>
      <w:r>
        <w:rPr>
          <w:noProof/>
        </w:rPr>
        <w:t>- Amet ühineb kuue kuu jooksul alates käesoleva määruse jõu</w:t>
      </w:r>
      <w:r>
        <w:rPr>
          <w:noProof/>
        </w:rPr>
        <w:t>stumisest Euroopa Parlamendi, Euroopa Liidu Nõukogu ja Euroopa Ühenduste Komisjoni 25. mai 1999. aasta institutsioonidevahelise kokkuleppega Euroopa Pettustevastase Ameti (OLAF) sisejuurdluste kohta ja võtab viivitamata vastu kõikide oma töötajate suhtes k</w:t>
      </w:r>
      <w:r>
        <w:rPr>
          <w:noProof/>
        </w:rPr>
        <w:t>ohaldatavad asjakohased sätted.</w:t>
      </w:r>
    </w:p>
    <w:p w:rsidR="00F4358D" w:rsidRDefault="00F4358D">
      <w:pPr>
        <w:rPr>
          <w:noProof/>
        </w:rPr>
        <w:sectPr w:rsidR="00F4358D" w:rsidSect="00D1585A">
          <w:pgSz w:w="12240" w:h="15840"/>
          <w:pgMar w:top="794" w:right="907" w:bottom="851" w:left="1361" w:header="510" w:footer="454" w:gutter="0"/>
          <w:cols w:space="720"/>
          <w:docGrid w:linePitch="326"/>
        </w:sectPr>
      </w:pPr>
    </w:p>
    <w:p w:rsidR="00F4358D" w:rsidRDefault="00D1585A">
      <w:pPr>
        <w:pStyle w:val="ManualHeading1"/>
        <w:rPr>
          <w:bCs/>
          <w:noProof/>
          <w:szCs w:val="24"/>
        </w:rPr>
      </w:pPr>
      <w:r>
        <w:t>3.</w:t>
      </w:r>
      <w:r>
        <w:tab/>
      </w:r>
      <w:r>
        <w:rPr>
          <w:noProof/>
        </w:rPr>
        <w:t>ETTEPANEKU/ALGATUSE HINNANGULINE FINANTSMÕJU</w:t>
      </w:r>
    </w:p>
    <w:p w:rsidR="00F4358D" w:rsidRDefault="00D1585A">
      <w:pPr>
        <w:pStyle w:val="ManualHeading2"/>
        <w:rPr>
          <w:bCs/>
          <w:noProof/>
          <w:szCs w:val="24"/>
        </w:rPr>
      </w:pPr>
      <w:r>
        <w:t>3.1.</w:t>
      </w:r>
      <w:r>
        <w:tab/>
      </w:r>
      <w:r>
        <w:rPr>
          <w:noProof/>
        </w:rPr>
        <w:t>Mitmeaastase finantsraamistiku rubriigid ja kulude eelarveread, millele mõju avaldub</w:t>
      </w:r>
    </w:p>
    <w:p w:rsidR="00F4358D" w:rsidRDefault="00D1585A">
      <w:pPr>
        <w:pStyle w:val="Bullet1"/>
        <w:rPr>
          <w:noProof/>
        </w:rPr>
      </w:pPr>
      <w:r>
        <w:rPr>
          <w:noProof/>
        </w:rPr>
        <w:t>Olemasolevad eelarveread</w:t>
      </w:r>
    </w:p>
    <w:p w:rsidR="00F4358D" w:rsidRDefault="00D1585A">
      <w:pPr>
        <w:pStyle w:val="Text1"/>
        <w:rPr>
          <w:noProof/>
        </w:rPr>
      </w:pPr>
      <w:r>
        <w:rPr>
          <w:noProof/>
          <w:u w:val="single"/>
        </w:rPr>
        <w:t>Järjestage</w:t>
      </w:r>
      <w:r>
        <w:rPr>
          <w:noProof/>
        </w:rPr>
        <w:t xml:space="preserve"> mitmeaastase finantsraamistiku rub</w:t>
      </w:r>
      <w:r>
        <w:rPr>
          <w:noProof/>
        </w:rPr>
        <w:t>riikide ja iga rubriigi sees eelarveridade kaupa.</w:t>
      </w:r>
    </w:p>
    <w:tbl>
      <w:tblPr>
        <w:tblW w:w="103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694"/>
        <w:gridCol w:w="798"/>
        <w:gridCol w:w="956"/>
        <w:gridCol w:w="1080"/>
        <w:gridCol w:w="956"/>
        <w:gridCol w:w="2021"/>
      </w:tblGrid>
      <w:tr w:rsidR="00F4358D">
        <w:tc>
          <w:tcPr>
            <w:tcW w:w="1842" w:type="dxa"/>
            <w:vMerge w:val="restart"/>
            <w:vAlign w:val="center"/>
          </w:tcPr>
          <w:p w:rsidR="00F4358D" w:rsidRDefault="00D1585A">
            <w:pPr>
              <w:spacing w:before="60" w:after="60"/>
              <w:jc w:val="center"/>
              <w:rPr>
                <w:noProof/>
                <w:sz w:val="18"/>
              </w:rPr>
            </w:pPr>
            <w:r>
              <w:rPr>
                <w:noProof/>
                <w:sz w:val="18"/>
              </w:rPr>
              <w:t>Mitmeaastase finantsraamistiku rubriik</w:t>
            </w:r>
          </w:p>
        </w:tc>
        <w:tc>
          <w:tcPr>
            <w:tcW w:w="2694" w:type="dxa"/>
            <w:vAlign w:val="center"/>
          </w:tcPr>
          <w:p w:rsidR="00F4358D" w:rsidRDefault="00D1585A">
            <w:pPr>
              <w:spacing w:before="60" w:after="60"/>
              <w:jc w:val="center"/>
              <w:rPr>
                <w:noProof/>
              </w:rPr>
            </w:pPr>
            <w:r>
              <w:rPr>
                <w:noProof/>
                <w:sz w:val="20"/>
              </w:rPr>
              <w:t>Eelarverida</w:t>
            </w:r>
          </w:p>
        </w:tc>
        <w:tc>
          <w:tcPr>
            <w:tcW w:w="798" w:type="dxa"/>
            <w:vAlign w:val="center"/>
          </w:tcPr>
          <w:p w:rsidR="00F4358D" w:rsidRDefault="00D1585A">
            <w:pPr>
              <w:spacing w:before="60" w:after="60"/>
              <w:jc w:val="center"/>
              <w:rPr>
                <w:noProof/>
              </w:rPr>
            </w:pPr>
            <w:r>
              <w:rPr>
                <w:noProof/>
                <w:sz w:val="18"/>
              </w:rPr>
              <w:t>Assigneeringute</w:t>
            </w:r>
            <w:r>
              <w:rPr>
                <w:noProof/>
                <w:sz w:val="22"/>
              </w:rPr>
              <w:br/>
            </w:r>
            <w:r>
              <w:rPr>
                <w:noProof/>
                <w:sz w:val="18"/>
              </w:rPr>
              <w:t>liik</w:t>
            </w:r>
          </w:p>
        </w:tc>
        <w:tc>
          <w:tcPr>
            <w:tcW w:w="5013" w:type="dxa"/>
            <w:gridSpan w:val="4"/>
            <w:vAlign w:val="center"/>
          </w:tcPr>
          <w:p w:rsidR="00F4358D" w:rsidRDefault="00D1585A">
            <w:pPr>
              <w:spacing w:before="60" w:after="60"/>
              <w:jc w:val="center"/>
              <w:rPr>
                <w:noProof/>
              </w:rPr>
            </w:pPr>
            <w:r>
              <w:rPr>
                <w:noProof/>
                <w:sz w:val="20"/>
              </w:rPr>
              <w:t xml:space="preserve">Rahaline osalus </w:t>
            </w:r>
          </w:p>
        </w:tc>
      </w:tr>
      <w:tr w:rsidR="00F4358D">
        <w:tc>
          <w:tcPr>
            <w:tcW w:w="1842" w:type="dxa"/>
            <w:vMerge/>
            <w:vAlign w:val="center"/>
          </w:tcPr>
          <w:p w:rsidR="00F4358D" w:rsidRDefault="00F4358D">
            <w:pPr>
              <w:rPr>
                <w:noProof/>
                <w:sz w:val="18"/>
              </w:rPr>
            </w:pPr>
          </w:p>
        </w:tc>
        <w:tc>
          <w:tcPr>
            <w:tcW w:w="2694" w:type="dxa"/>
            <w:vAlign w:val="center"/>
          </w:tcPr>
          <w:p w:rsidR="00F4358D" w:rsidRDefault="00F4358D">
            <w:pPr>
              <w:rPr>
                <w:noProof/>
              </w:rPr>
            </w:pPr>
          </w:p>
        </w:tc>
        <w:tc>
          <w:tcPr>
            <w:tcW w:w="798" w:type="dxa"/>
            <w:vAlign w:val="center"/>
          </w:tcPr>
          <w:p w:rsidR="00F4358D" w:rsidRDefault="00D1585A">
            <w:pPr>
              <w:jc w:val="center"/>
              <w:rPr>
                <w:noProof/>
              </w:rPr>
            </w:pPr>
            <w:r>
              <w:rPr>
                <w:noProof/>
                <w:sz w:val="18"/>
              </w:rPr>
              <w:t>Liigendatud/liigendamata</w:t>
            </w:r>
            <w:r>
              <w:rPr>
                <w:rStyle w:val="FootnoteReference"/>
                <w:noProof/>
              </w:rPr>
              <w:footnoteReference w:id="53"/>
            </w:r>
          </w:p>
        </w:tc>
        <w:tc>
          <w:tcPr>
            <w:tcW w:w="956" w:type="dxa"/>
            <w:vAlign w:val="center"/>
          </w:tcPr>
          <w:p w:rsidR="00F4358D" w:rsidRDefault="00D1585A">
            <w:pPr>
              <w:jc w:val="center"/>
              <w:rPr>
                <w:noProof/>
              </w:rPr>
            </w:pPr>
            <w:r>
              <w:rPr>
                <w:noProof/>
                <w:sz w:val="18"/>
              </w:rPr>
              <w:t>EFTA riigid</w:t>
            </w:r>
            <w:r>
              <w:rPr>
                <w:rStyle w:val="FootnoteReference"/>
                <w:noProof/>
              </w:rPr>
              <w:footnoteReference w:id="54"/>
            </w:r>
          </w:p>
        </w:tc>
        <w:tc>
          <w:tcPr>
            <w:tcW w:w="1080" w:type="dxa"/>
            <w:vAlign w:val="center"/>
          </w:tcPr>
          <w:p w:rsidR="00F4358D" w:rsidRDefault="00D1585A">
            <w:pPr>
              <w:jc w:val="center"/>
              <w:rPr>
                <w:noProof/>
                <w:sz w:val="18"/>
              </w:rPr>
            </w:pPr>
            <w:r>
              <w:rPr>
                <w:noProof/>
                <w:sz w:val="18"/>
              </w:rPr>
              <w:t>Kandidaatriigid</w:t>
            </w:r>
            <w:r>
              <w:rPr>
                <w:rStyle w:val="FootnoteReference"/>
                <w:noProof/>
              </w:rPr>
              <w:footnoteReference w:id="55"/>
            </w:r>
          </w:p>
        </w:tc>
        <w:tc>
          <w:tcPr>
            <w:tcW w:w="956" w:type="dxa"/>
            <w:vAlign w:val="center"/>
          </w:tcPr>
          <w:p w:rsidR="00F4358D" w:rsidRDefault="00D1585A">
            <w:pPr>
              <w:jc w:val="center"/>
              <w:rPr>
                <w:noProof/>
                <w:sz w:val="18"/>
              </w:rPr>
            </w:pPr>
            <w:r>
              <w:rPr>
                <w:noProof/>
                <w:sz w:val="18"/>
              </w:rPr>
              <w:t>Kolmandad riigid</w:t>
            </w:r>
          </w:p>
        </w:tc>
        <w:tc>
          <w:tcPr>
            <w:tcW w:w="2021" w:type="dxa"/>
            <w:vAlign w:val="center"/>
          </w:tcPr>
          <w:p w:rsidR="00F4358D" w:rsidRDefault="00D1585A">
            <w:pPr>
              <w:jc w:val="center"/>
              <w:rPr>
                <w:noProof/>
                <w:sz w:val="16"/>
                <w:szCs w:val="16"/>
              </w:rPr>
            </w:pPr>
            <w:r>
              <w:rPr>
                <w:noProof/>
                <w:sz w:val="16"/>
              </w:rPr>
              <w:t xml:space="preserve">finantsmääruse artikli 21 lõike 2 punkti b tähenduses </w:t>
            </w:r>
          </w:p>
        </w:tc>
      </w:tr>
      <w:tr w:rsidR="00F4358D">
        <w:tc>
          <w:tcPr>
            <w:tcW w:w="1842" w:type="dxa"/>
            <w:vAlign w:val="center"/>
          </w:tcPr>
          <w:p w:rsidR="00F4358D" w:rsidRDefault="00D1585A">
            <w:pPr>
              <w:jc w:val="center"/>
              <w:rPr>
                <w:noProof/>
              </w:rPr>
            </w:pPr>
            <w:r>
              <w:rPr>
                <w:noProof/>
              </w:rPr>
              <w:t xml:space="preserve">1a. Konkurentsivõime majanduskasvu ja tööhõive tagamiseks </w:t>
            </w:r>
          </w:p>
        </w:tc>
        <w:tc>
          <w:tcPr>
            <w:tcW w:w="2694" w:type="dxa"/>
            <w:vAlign w:val="center"/>
          </w:tcPr>
          <w:p w:rsidR="00F4358D" w:rsidRDefault="00D1585A">
            <w:pPr>
              <w:spacing w:after="60"/>
              <w:rPr>
                <w:noProof/>
              </w:rPr>
            </w:pPr>
            <w:r>
              <w:rPr>
                <w:noProof/>
              </w:rPr>
              <w:t>09.0203</w:t>
            </w:r>
            <w:r>
              <w:rPr>
                <w:noProof/>
                <w:sz w:val="20"/>
              </w:rPr>
              <w:t xml:space="preserve"> ENISA ning info- ja kommunikatsioonitehnoloogia turvalisuse sertifitseerimine </w:t>
            </w:r>
          </w:p>
        </w:tc>
        <w:tc>
          <w:tcPr>
            <w:tcW w:w="798" w:type="dxa"/>
            <w:vAlign w:val="center"/>
          </w:tcPr>
          <w:p w:rsidR="00F4358D" w:rsidRDefault="00D1585A">
            <w:pPr>
              <w:jc w:val="center"/>
              <w:rPr>
                <w:noProof/>
              </w:rPr>
            </w:pPr>
            <w:r>
              <w:rPr>
                <w:noProof/>
                <w:sz w:val="18"/>
              </w:rPr>
              <w:t>Liigendatud</w:t>
            </w:r>
          </w:p>
        </w:tc>
        <w:tc>
          <w:tcPr>
            <w:tcW w:w="956" w:type="dxa"/>
            <w:vAlign w:val="center"/>
          </w:tcPr>
          <w:p w:rsidR="00F4358D" w:rsidRDefault="00D1585A">
            <w:pPr>
              <w:jc w:val="center"/>
              <w:rPr>
                <w:noProof/>
              </w:rPr>
            </w:pPr>
            <w:r>
              <w:rPr>
                <w:noProof/>
              </w:rPr>
              <w:t>JAH</w:t>
            </w:r>
          </w:p>
        </w:tc>
        <w:tc>
          <w:tcPr>
            <w:tcW w:w="1080" w:type="dxa"/>
            <w:vAlign w:val="center"/>
          </w:tcPr>
          <w:p w:rsidR="00F4358D" w:rsidRDefault="00D1585A">
            <w:pPr>
              <w:jc w:val="center"/>
              <w:rPr>
                <w:noProof/>
              </w:rPr>
            </w:pPr>
            <w:r>
              <w:rPr>
                <w:noProof/>
              </w:rPr>
              <w:t>EI</w:t>
            </w:r>
          </w:p>
        </w:tc>
        <w:tc>
          <w:tcPr>
            <w:tcW w:w="956" w:type="dxa"/>
            <w:vAlign w:val="center"/>
          </w:tcPr>
          <w:p w:rsidR="00F4358D" w:rsidRDefault="00D1585A">
            <w:pPr>
              <w:jc w:val="center"/>
              <w:rPr>
                <w:noProof/>
              </w:rPr>
            </w:pPr>
            <w:r>
              <w:rPr>
                <w:noProof/>
              </w:rPr>
              <w:t>EI</w:t>
            </w:r>
          </w:p>
        </w:tc>
        <w:tc>
          <w:tcPr>
            <w:tcW w:w="2021" w:type="dxa"/>
            <w:vAlign w:val="center"/>
          </w:tcPr>
          <w:p w:rsidR="00F4358D" w:rsidRDefault="00D1585A">
            <w:pPr>
              <w:jc w:val="center"/>
              <w:rPr>
                <w:noProof/>
              </w:rPr>
            </w:pPr>
            <w:r>
              <w:rPr>
                <w:noProof/>
              </w:rPr>
              <w:t>EI</w:t>
            </w:r>
          </w:p>
        </w:tc>
      </w:tr>
      <w:tr w:rsidR="00F4358D">
        <w:tc>
          <w:tcPr>
            <w:tcW w:w="1842" w:type="dxa"/>
            <w:vAlign w:val="center"/>
          </w:tcPr>
          <w:p w:rsidR="00F4358D" w:rsidRDefault="00D1585A">
            <w:pPr>
              <w:jc w:val="center"/>
              <w:rPr>
                <w:noProof/>
              </w:rPr>
            </w:pPr>
            <w:r>
              <w:rPr>
                <w:noProof/>
              </w:rPr>
              <w:t>5</w:t>
            </w:r>
          </w:p>
          <w:p w:rsidR="00F4358D" w:rsidRDefault="00D1585A">
            <w:pPr>
              <w:jc w:val="center"/>
              <w:rPr>
                <w:noProof/>
              </w:rPr>
            </w:pPr>
            <w:r>
              <w:rPr>
                <w:noProof/>
              </w:rPr>
              <w:t>Halduskulud]</w:t>
            </w:r>
          </w:p>
        </w:tc>
        <w:tc>
          <w:tcPr>
            <w:tcW w:w="2694" w:type="dxa"/>
            <w:vAlign w:val="center"/>
          </w:tcPr>
          <w:p w:rsidR="00F4358D" w:rsidRDefault="00D1585A">
            <w:pPr>
              <w:spacing w:after="60"/>
              <w:rPr>
                <w:noProof/>
              </w:rPr>
            </w:pPr>
            <w:r>
              <w:rPr>
                <w:noProof/>
              </w:rPr>
              <w:t xml:space="preserve"> 09.0101 Sidevõrkude, sisu ja tehnoloogia valdkonnas tegutseva personaliga seotud kulud</w:t>
            </w:r>
          </w:p>
          <w:p w:rsidR="00F4358D" w:rsidRDefault="00D1585A">
            <w:pPr>
              <w:spacing w:after="60"/>
              <w:rPr>
                <w:noProof/>
              </w:rPr>
            </w:pPr>
            <w:r>
              <w:rPr>
                <w:noProof/>
              </w:rPr>
              <w:t>09.0102 Sidevõrkude, sisu ja tehnoloogia valdkonnas tegutsevate koosseisuväliste töötajatega seotud kulud</w:t>
            </w:r>
          </w:p>
          <w:p w:rsidR="00F4358D" w:rsidRDefault="00D1585A">
            <w:pPr>
              <w:spacing w:after="60"/>
              <w:rPr>
                <w:noProof/>
              </w:rPr>
            </w:pPr>
            <w:r>
              <w:rPr>
                <w:noProof/>
              </w:rPr>
              <w:t xml:space="preserve">09.010211 Muud juhtimiskulud </w:t>
            </w:r>
          </w:p>
        </w:tc>
        <w:tc>
          <w:tcPr>
            <w:tcW w:w="798" w:type="dxa"/>
            <w:vAlign w:val="center"/>
          </w:tcPr>
          <w:p w:rsidR="00F4358D" w:rsidRDefault="00D1585A">
            <w:pPr>
              <w:jc w:val="center"/>
              <w:rPr>
                <w:noProof/>
                <w:sz w:val="18"/>
              </w:rPr>
            </w:pPr>
            <w:r>
              <w:rPr>
                <w:noProof/>
                <w:sz w:val="18"/>
              </w:rPr>
              <w:t>Liigendamata</w:t>
            </w:r>
          </w:p>
        </w:tc>
        <w:tc>
          <w:tcPr>
            <w:tcW w:w="956" w:type="dxa"/>
            <w:vAlign w:val="center"/>
          </w:tcPr>
          <w:p w:rsidR="00F4358D" w:rsidRDefault="00D1585A">
            <w:pPr>
              <w:jc w:val="center"/>
              <w:rPr>
                <w:noProof/>
              </w:rPr>
            </w:pPr>
            <w:r>
              <w:rPr>
                <w:noProof/>
              </w:rPr>
              <w:t>EI</w:t>
            </w:r>
          </w:p>
        </w:tc>
        <w:tc>
          <w:tcPr>
            <w:tcW w:w="1080" w:type="dxa"/>
            <w:vAlign w:val="center"/>
          </w:tcPr>
          <w:p w:rsidR="00F4358D" w:rsidRDefault="00D1585A">
            <w:pPr>
              <w:jc w:val="center"/>
              <w:rPr>
                <w:noProof/>
              </w:rPr>
            </w:pPr>
            <w:r>
              <w:rPr>
                <w:noProof/>
              </w:rPr>
              <w:t>EI</w:t>
            </w:r>
          </w:p>
        </w:tc>
        <w:tc>
          <w:tcPr>
            <w:tcW w:w="956" w:type="dxa"/>
            <w:vAlign w:val="center"/>
          </w:tcPr>
          <w:p w:rsidR="00F4358D" w:rsidRDefault="00D1585A">
            <w:pPr>
              <w:jc w:val="center"/>
              <w:rPr>
                <w:noProof/>
              </w:rPr>
            </w:pPr>
            <w:r>
              <w:rPr>
                <w:noProof/>
              </w:rPr>
              <w:t>EI</w:t>
            </w:r>
          </w:p>
        </w:tc>
        <w:tc>
          <w:tcPr>
            <w:tcW w:w="2021" w:type="dxa"/>
            <w:vAlign w:val="center"/>
          </w:tcPr>
          <w:p w:rsidR="00F4358D" w:rsidRDefault="00D1585A">
            <w:pPr>
              <w:jc w:val="center"/>
              <w:rPr>
                <w:noProof/>
              </w:rPr>
            </w:pPr>
            <w:r>
              <w:rPr>
                <w:noProof/>
              </w:rPr>
              <w:t>EI</w:t>
            </w:r>
          </w:p>
        </w:tc>
      </w:tr>
    </w:tbl>
    <w:p w:rsidR="00F4358D" w:rsidRDefault="00F4358D">
      <w:pPr>
        <w:rPr>
          <w:bCs/>
          <w:noProof/>
          <w:szCs w:val="24"/>
        </w:rPr>
      </w:pPr>
    </w:p>
    <w:p w:rsidR="00F4358D" w:rsidRDefault="00F4358D">
      <w:pPr>
        <w:rPr>
          <w:noProof/>
        </w:rPr>
      </w:pPr>
    </w:p>
    <w:p w:rsidR="00F4358D" w:rsidRDefault="00D1585A">
      <w:pPr>
        <w:pStyle w:val="ManualHeading2"/>
        <w:rPr>
          <w:bCs/>
          <w:noProof/>
          <w:szCs w:val="24"/>
        </w:rPr>
      </w:pPr>
      <w:r>
        <w:t>3.2.</w:t>
      </w:r>
      <w:r>
        <w:tab/>
      </w:r>
      <w:r>
        <w:rPr>
          <w:noProof/>
        </w:rPr>
        <w:t xml:space="preserve">Hinnanguline mõju kuludele </w:t>
      </w:r>
    </w:p>
    <w:p w:rsidR="00F4358D" w:rsidRDefault="00D1585A">
      <w:pPr>
        <w:pStyle w:val="ManualHeading3"/>
        <w:rPr>
          <w:bCs/>
          <w:noProof/>
          <w:szCs w:val="24"/>
        </w:rPr>
      </w:pPr>
      <w:r>
        <w:t>3.2.1.</w:t>
      </w:r>
      <w:r>
        <w:tab/>
      </w:r>
      <w:r>
        <w:rPr>
          <w:noProof/>
        </w:rPr>
        <w:t xml:space="preserve">Üldine hinnanguline mõju kuludele </w:t>
      </w:r>
    </w:p>
    <w:p w:rsidR="00F4358D" w:rsidRDefault="00D1585A">
      <w:pPr>
        <w:jc w:val="right"/>
        <w:rPr>
          <w:noProof/>
          <w:sz w:val="20"/>
        </w:rPr>
      </w:pPr>
      <w:r>
        <w:rPr>
          <w:noProof/>
          <w:sz w:val="20"/>
        </w:rPr>
        <w:t>miljonites eurodes (kolm kohta pärast koma)</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F4358D">
        <w:trPr>
          <w:jc w:val="center"/>
        </w:trPr>
        <w:tc>
          <w:tcPr>
            <w:tcW w:w="4744" w:type="dxa"/>
            <w:shd w:val="thinDiagStripe" w:color="C0C0C0" w:fill="auto"/>
            <w:vAlign w:val="center"/>
          </w:tcPr>
          <w:p w:rsidR="00F4358D" w:rsidRDefault="00D1585A">
            <w:pPr>
              <w:spacing w:before="60" w:after="60"/>
              <w:jc w:val="center"/>
              <w:rPr>
                <w:b/>
                <w:noProof/>
              </w:rPr>
            </w:pPr>
            <w:r>
              <w:rPr>
                <w:b/>
                <w:noProof/>
                <w:sz w:val="22"/>
              </w:rPr>
              <w:t>Mitmeaastase finantsraamistiku</w:t>
            </w:r>
            <w:r>
              <w:rPr>
                <w:noProof/>
                <w:sz w:val="22"/>
              </w:rPr>
              <w:br/>
            </w:r>
            <w:r>
              <w:rPr>
                <w:b/>
                <w:noProof/>
                <w:sz w:val="22"/>
              </w:rPr>
              <w:t xml:space="preserve">rubriik </w:t>
            </w:r>
          </w:p>
        </w:tc>
        <w:tc>
          <w:tcPr>
            <w:tcW w:w="1080" w:type="dxa"/>
            <w:vAlign w:val="center"/>
          </w:tcPr>
          <w:p w:rsidR="00F4358D" w:rsidRDefault="00D1585A">
            <w:pPr>
              <w:spacing w:before="60" w:after="60"/>
              <w:jc w:val="center"/>
              <w:rPr>
                <w:noProof/>
              </w:rPr>
            </w:pPr>
            <w:r>
              <w:rPr>
                <w:noProof/>
                <w:sz w:val="22"/>
              </w:rPr>
              <w:t>1a</w:t>
            </w:r>
          </w:p>
        </w:tc>
        <w:tc>
          <w:tcPr>
            <w:tcW w:w="7817" w:type="dxa"/>
            <w:vAlign w:val="center"/>
          </w:tcPr>
          <w:p w:rsidR="00F4358D" w:rsidRDefault="00D1585A">
            <w:pPr>
              <w:spacing w:before="60" w:after="60"/>
              <w:rPr>
                <w:noProof/>
              </w:rPr>
            </w:pPr>
            <w:r>
              <w:rPr>
                <w:noProof/>
              </w:rPr>
              <w:t xml:space="preserve">Konkurentsivõime majanduskasvu ja tööhõive tagamiseks </w:t>
            </w:r>
          </w:p>
        </w:tc>
      </w:tr>
    </w:tbl>
    <w:p w:rsidR="00F4358D" w:rsidRDefault="00F4358D">
      <w:pPr>
        <w:spacing w:before="0" w:after="0"/>
        <w:rPr>
          <w:noProof/>
          <w:sz w:val="16"/>
        </w:rPr>
      </w:pP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645"/>
        <w:gridCol w:w="567"/>
        <w:gridCol w:w="1039"/>
        <w:gridCol w:w="237"/>
        <w:gridCol w:w="1275"/>
        <w:gridCol w:w="1276"/>
        <w:gridCol w:w="1276"/>
        <w:gridCol w:w="1276"/>
        <w:gridCol w:w="1276"/>
      </w:tblGrid>
      <w:tr w:rsidR="00F4358D">
        <w:tc>
          <w:tcPr>
            <w:tcW w:w="3600" w:type="dxa"/>
            <w:vAlign w:val="center"/>
          </w:tcPr>
          <w:p w:rsidR="00F4358D" w:rsidRDefault="00D1585A">
            <w:pPr>
              <w:jc w:val="center"/>
              <w:rPr>
                <w:b/>
                <w:noProof/>
              </w:rPr>
            </w:pPr>
            <w:r>
              <w:rPr>
                <w:b/>
                <w:noProof/>
                <w:sz w:val="22"/>
              </w:rPr>
              <w:t>ENISA</w:t>
            </w:r>
          </w:p>
        </w:tc>
        <w:tc>
          <w:tcPr>
            <w:tcW w:w="1645" w:type="dxa"/>
            <w:vAlign w:val="center"/>
          </w:tcPr>
          <w:p w:rsidR="00F4358D" w:rsidRDefault="00F4358D">
            <w:pPr>
              <w:jc w:val="center"/>
              <w:rPr>
                <w:noProof/>
                <w:sz w:val="20"/>
              </w:rPr>
            </w:pPr>
          </w:p>
        </w:tc>
        <w:tc>
          <w:tcPr>
            <w:tcW w:w="567" w:type="dxa"/>
            <w:vAlign w:val="center"/>
          </w:tcPr>
          <w:p w:rsidR="00F4358D" w:rsidRDefault="00F4358D">
            <w:pPr>
              <w:jc w:val="center"/>
              <w:rPr>
                <w:noProof/>
                <w:sz w:val="20"/>
              </w:rPr>
            </w:pPr>
          </w:p>
        </w:tc>
        <w:tc>
          <w:tcPr>
            <w:tcW w:w="1039" w:type="dxa"/>
            <w:shd w:val="clear" w:color="auto" w:fill="D9D9D9" w:themeFill="background1" w:themeFillShade="D9"/>
            <w:vAlign w:val="center"/>
          </w:tcPr>
          <w:p w:rsidR="00F4358D" w:rsidRDefault="00D1585A">
            <w:pPr>
              <w:jc w:val="center"/>
              <w:rPr>
                <w:b/>
                <w:noProof/>
                <w:sz w:val="20"/>
              </w:rPr>
            </w:pPr>
            <w:r>
              <w:rPr>
                <w:b/>
                <w:noProof/>
                <w:sz w:val="20"/>
              </w:rPr>
              <w:t>Lähteolukord</w:t>
            </w:r>
          </w:p>
          <w:p w:rsidR="00F4358D" w:rsidRDefault="00D1585A">
            <w:pPr>
              <w:jc w:val="center"/>
              <w:rPr>
                <w:b/>
                <w:noProof/>
                <w:sz w:val="20"/>
              </w:rPr>
            </w:pPr>
            <w:r>
              <w:rPr>
                <w:b/>
                <w:noProof/>
                <w:sz w:val="14"/>
              </w:rPr>
              <w:t>2017 (31.12.2016)</w:t>
            </w:r>
          </w:p>
        </w:tc>
        <w:tc>
          <w:tcPr>
            <w:tcW w:w="237" w:type="dxa"/>
            <w:vMerge w:val="restart"/>
          </w:tcPr>
          <w:p w:rsidR="00F4358D" w:rsidRDefault="00F4358D">
            <w:pPr>
              <w:jc w:val="center"/>
              <w:rPr>
                <w:b/>
                <w:noProof/>
                <w:sz w:val="20"/>
              </w:rPr>
            </w:pPr>
          </w:p>
        </w:tc>
        <w:tc>
          <w:tcPr>
            <w:tcW w:w="1275" w:type="dxa"/>
          </w:tcPr>
          <w:p w:rsidR="00F4358D" w:rsidRDefault="00D1585A">
            <w:pPr>
              <w:jc w:val="center"/>
              <w:rPr>
                <w:b/>
                <w:noProof/>
                <w:sz w:val="20"/>
              </w:rPr>
            </w:pPr>
            <w:r>
              <w:rPr>
                <w:b/>
                <w:noProof/>
                <w:sz w:val="20"/>
              </w:rPr>
              <w:t>2019</w:t>
            </w:r>
          </w:p>
          <w:p w:rsidR="00F4358D" w:rsidRDefault="00D1585A">
            <w:pPr>
              <w:jc w:val="center"/>
              <w:rPr>
                <w:i/>
                <w:noProof/>
                <w:sz w:val="20"/>
              </w:rPr>
            </w:pPr>
            <w:r>
              <w:rPr>
                <w:b/>
                <w:i/>
                <w:noProof/>
                <w:sz w:val="18"/>
              </w:rPr>
              <w:t>(alates 1.7.2019)</w:t>
            </w:r>
          </w:p>
        </w:tc>
        <w:tc>
          <w:tcPr>
            <w:tcW w:w="1276" w:type="dxa"/>
          </w:tcPr>
          <w:p w:rsidR="00F4358D" w:rsidRDefault="00D1585A">
            <w:pPr>
              <w:jc w:val="center"/>
              <w:rPr>
                <w:noProof/>
                <w:sz w:val="20"/>
              </w:rPr>
            </w:pPr>
            <w:r>
              <w:rPr>
                <w:b/>
                <w:noProof/>
                <w:sz w:val="20"/>
              </w:rPr>
              <w:t>2020</w:t>
            </w:r>
          </w:p>
        </w:tc>
        <w:tc>
          <w:tcPr>
            <w:tcW w:w="1276" w:type="dxa"/>
          </w:tcPr>
          <w:p w:rsidR="00F4358D" w:rsidRDefault="00D1585A">
            <w:pPr>
              <w:jc w:val="center"/>
              <w:rPr>
                <w:b/>
                <w:noProof/>
                <w:sz w:val="20"/>
              </w:rPr>
            </w:pPr>
            <w:r>
              <w:rPr>
                <w:b/>
                <w:noProof/>
                <w:sz w:val="20"/>
              </w:rPr>
              <w:t>2021</w:t>
            </w:r>
          </w:p>
        </w:tc>
        <w:tc>
          <w:tcPr>
            <w:tcW w:w="1276" w:type="dxa"/>
          </w:tcPr>
          <w:p w:rsidR="00F4358D" w:rsidRDefault="00D1585A">
            <w:pPr>
              <w:jc w:val="center"/>
              <w:rPr>
                <w:b/>
                <w:noProof/>
                <w:sz w:val="20"/>
              </w:rPr>
            </w:pPr>
            <w:r>
              <w:rPr>
                <w:b/>
                <w:noProof/>
                <w:sz w:val="20"/>
              </w:rPr>
              <w:t>2022</w:t>
            </w:r>
          </w:p>
        </w:tc>
        <w:tc>
          <w:tcPr>
            <w:tcW w:w="1276" w:type="dxa"/>
          </w:tcPr>
          <w:p w:rsidR="00F4358D" w:rsidRDefault="00D1585A">
            <w:pPr>
              <w:jc w:val="center"/>
              <w:rPr>
                <w:b/>
                <w:noProof/>
                <w:sz w:val="20"/>
              </w:rPr>
            </w:pPr>
            <w:r>
              <w:rPr>
                <w:b/>
                <w:noProof/>
                <w:sz w:val="20"/>
              </w:rPr>
              <w:t>KOKKU</w:t>
            </w:r>
          </w:p>
        </w:tc>
      </w:tr>
      <w:tr w:rsidR="00F4358D">
        <w:trPr>
          <w:trHeight w:val="277"/>
        </w:trPr>
        <w:tc>
          <w:tcPr>
            <w:tcW w:w="3600" w:type="dxa"/>
            <w:vMerge w:val="restart"/>
            <w:vAlign w:val="center"/>
          </w:tcPr>
          <w:p w:rsidR="00F4358D" w:rsidRDefault="00D1585A">
            <w:pPr>
              <w:rPr>
                <w:noProof/>
                <w:sz w:val="20"/>
              </w:rPr>
            </w:pPr>
            <w:r>
              <w:rPr>
                <w:noProof/>
                <w:sz w:val="20"/>
              </w:rPr>
              <w:t xml:space="preserve">Jaotis 1: personalikulud </w:t>
            </w:r>
          </w:p>
          <w:p w:rsidR="00F4358D" w:rsidRDefault="00D1585A">
            <w:pPr>
              <w:rPr>
                <w:noProof/>
              </w:rPr>
            </w:pPr>
            <w:r>
              <w:rPr>
                <w:i/>
                <w:noProof/>
                <w:sz w:val="20"/>
              </w:rPr>
              <w:t>(sealhulgas töötajate värbamise, väljaõppe, sotsiaal-meditsiinilise taristu ja välisteenustega seotud kulud)</w:t>
            </w:r>
          </w:p>
        </w:tc>
        <w:tc>
          <w:tcPr>
            <w:tcW w:w="1645" w:type="dxa"/>
            <w:vAlign w:val="center"/>
          </w:tcPr>
          <w:p w:rsidR="00F4358D" w:rsidRDefault="00D1585A">
            <w:pPr>
              <w:spacing w:before="20" w:after="20"/>
              <w:rPr>
                <w:noProof/>
              </w:rPr>
            </w:pPr>
            <w:r>
              <w:rPr>
                <w:noProof/>
                <w:sz w:val="18"/>
              </w:rPr>
              <w:t>Kulukohustused</w:t>
            </w:r>
          </w:p>
        </w:tc>
        <w:tc>
          <w:tcPr>
            <w:tcW w:w="567" w:type="dxa"/>
            <w:vAlign w:val="center"/>
          </w:tcPr>
          <w:p w:rsidR="00F4358D" w:rsidRDefault="00D1585A">
            <w:pPr>
              <w:spacing w:before="20" w:after="20"/>
              <w:jc w:val="center"/>
              <w:rPr>
                <w:noProof/>
                <w:sz w:val="14"/>
              </w:rPr>
            </w:pPr>
            <w:r>
              <w:rPr>
                <w:noProof/>
                <w:sz w:val="14"/>
              </w:rPr>
              <w:t>(1)</w:t>
            </w:r>
          </w:p>
        </w:tc>
        <w:tc>
          <w:tcPr>
            <w:tcW w:w="1039" w:type="dxa"/>
            <w:shd w:val="clear" w:color="auto" w:fill="D9D9D9" w:themeFill="background1" w:themeFillShade="D9"/>
            <w:vAlign w:val="center"/>
          </w:tcPr>
          <w:p w:rsidR="00F4358D" w:rsidRDefault="00D1585A">
            <w:pPr>
              <w:spacing w:before="20" w:after="20"/>
              <w:jc w:val="center"/>
              <w:rPr>
                <w:noProof/>
                <w:sz w:val="20"/>
              </w:rPr>
            </w:pPr>
            <w:r>
              <w:rPr>
                <w:noProof/>
                <w:sz w:val="20"/>
              </w:rPr>
              <w:t>6,387</w:t>
            </w:r>
          </w:p>
        </w:tc>
        <w:tc>
          <w:tcPr>
            <w:tcW w:w="237" w:type="dxa"/>
            <w:vMerge/>
          </w:tcPr>
          <w:p w:rsidR="00F4358D" w:rsidRDefault="00F4358D">
            <w:pPr>
              <w:spacing w:before="20" w:after="20"/>
              <w:jc w:val="center"/>
              <w:rPr>
                <w:noProof/>
                <w:sz w:val="20"/>
              </w:rPr>
            </w:pPr>
          </w:p>
        </w:tc>
        <w:tc>
          <w:tcPr>
            <w:tcW w:w="1275" w:type="dxa"/>
            <w:vAlign w:val="center"/>
          </w:tcPr>
          <w:p w:rsidR="00F4358D" w:rsidRDefault="00D1585A">
            <w:pPr>
              <w:spacing w:before="0" w:after="0"/>
              <w:jc w:val="center"/>
              <w:rPr>
                <w:noProof/>
                <w:sz w:val="20"/>
              </w:rPr>
            </w:pPr>
            <w:r>
              <w:rPr>
                <w:rFonts w:ascii="Calibri" w:hAnsi="Calibri"/>
                <w:noProof/>
                <w:sz w:val="22"/>
              </w:rPr>
              <w:t>9,899</w:t>
            </w:r>
          </w:p>
        </w:tc>
        <w:tc>
          <w:tcPr>
            <w:tcW w:w="1276" w:type="dxa"/>
            <w:vAlign w:val="center"/>
          </w:tcPr>
          <w:p w:rsidR="00F4358D" w:rsidRDefault="00D1585A">
            <w:pPr>
              <w:spacing w:before="0" w:after="0"/>
              <w:jc w:val="center"/>
              <w:rPr>
                <w:noProof/>
                <w:sz w:val="20"/>
              </w:rPr>
            </w:pPr>
            <w:r>
              <w:rPr>
                <w:rFonts w:ascii="Calibri" w:hAnsi="Calibri"/>
                <w:noProof/>
                <w:sz w:val="22"/>
              </w:rPr>
              <w:t>12,082</w:t>
            </w:r>
          </w:p>
        </w:tc>
        <w:tc>
          <w:tcPr>
            <w:tcW w:w="1276" w:type="dxa"/>
            <w:vAlign w:val="center"/>
          </w:tcPr>
          <w:p w:rsidR="00F4358D" w:rsidRDefault="00D1585A">
            <w:pPr>
              <w:spacing w:before="0" w:after="0"/>
              <w:jc w:val="center"/>
              <w:rPr>
                <w:rFonts w:ascii="Calibri" w:hAnsi="Calibri"/>
                <w:bCs/>
                <w:noProof/>
                <w:sz w:val="22"/>
              </w:rPr>
            </w:pPr>
            <w:r>
              <w:rPr>
                <w:rFonts w:ascii="Calibri" w:hAnsi="Calibri"/>
                <w:noProof/>
                <w:sz w:val="22"/>
              </w:rPr>
              <w:t>13,349</w:t>
            </w:r>
          </w:p>
        </w:tc>
        <w:tc>
          <w:tcPr>
            <w:tcW w:w="1276" w:type="dxa"/>
            <w:vAlign w:val="center"/>
          </w:tcPr>
          <w:p w:rsidR="00F4358D" w:rsidRDefault="00D1585A">
            <w:pPr>
              <w:spacing w:before="0" w:after="0"/>
              <w:jc w:val="center"/>
              <w:rPr>
                <w:rFonts w:ascii="Calibri" w:hAnsi="Calibri"/>
                <w:bCs/>
                <w:noProof/>
                <w:sz w:val="22"/>
              </w:rPr>
            </w:pPr>
            <w:r>
              <w:rPr>
                <w:rFonts w:ascii="Calibri" w:hAnsi="Calibri"/>
                <w:noProof/>
                <w:sz w:val="22"/>
              </w:rPr>
              <w:t>13,894</w:t>
            </w:r>
          </w:p>
        </w:tc>
        <w:tc>
          <w:tcPr>
            <w:tcW w:w="1276" w:type="dxa"/>
            <w:vAlign w:val="center"/>
          </w:tcPr>
          <w:p w:rsidR="00F4358D" w:rsidRDefault="00D1585A">
            <w:pPr>
              <w:spacing w:before="0" w:after="0"/>
              <w:jc w:val="center"/>
              <w:rPr>
                <w:b/>
                <w:noProof/>
                <w:sz w:val="20"/>
              </w:rPr>
            </w:pPr>
            <w:r>
              <w:rPr>
                <w:rFonts w:ascii="Calibri" w:hAnsi="Calibri"/>
                <w:b/>
                <w:noProof/>
                <w:sz w:val="22"/>
              </w:rPr>
              <w:t>49,224</w:t>
            </w:r>
          </w:p>
        </w:tc>
      </w:tr>
      <w:tr w:rsidR="00F4358D">
        <w:tc>
          <w:tcPr>
            <w:tcW w:w="3600" w:type="dxa"/>
            <w:vMerge/>
            <w:vAlign w:val="center"/>
          </w:tcPr>
          <w:p w:rsidR="00F4358D" w:rsidRDefault="00F4358D">
            <w:pPr>
              <w:rPr>
                <w:noProof/>
              </w:rPr>
            </w:pPr>
          </w:p>
        </w:tc>
        <w:tc>
          <w:tcPr>
            <w:tcW w:w="1645" w:type="dxa"/>
            <w:vAlign w:val="center"/>
          </w:tcPr>
          <w:p w:rsidR="00F4358D" w:rsidRDefault="00D1585A">
            <w:pPr>
              <w:spacing w:before="20" w:after="20"/>
              <w:rPr>
                <w:noProof/>
                <w:sz w:val="18"/>
              </w:rPr>
            </w:pPr>
            <w:r>
              <w:rPr>
                <w:noProof/>
                <w:sz w:val="18"/>
              </w:rPr>
              <w:t>Maksed</w:t>
            </w:r>
          </w:p>
        </w:tc>
        <w:tc>
          <w:tcPr>
            <w:tcW w:w="567" w:type="dxa"/>
            <w:vAlign w:val="center"/>
          </w:tcPr>
          <w:p w:rsidR="00F4358D" w:rsidRDefault="00D1585A">
            <w:pPr>
              <w:spacing w:before="20" w:after="20"/>
              <w:jc w:val="center"/>
              <w:rPr>
                <w:noProof/>
                <w:sz w:val="14"/>
              </w:rPr>
            </w:pPr>
            <w:r>
              <w:rPr>
                <w:noProof/>
                <w:sz w:val="14"/>
              </w:rPr>
              <w:t>(2)</w:t>
            </w:r>
          </w:p>
        </w:tc>
        <w:tc>
          <w:tcPr>
            <w:tcW w:w="1039" w:type="dxa"/>
            <w:shd w:val="clear" w:color="auto" w:fill="D9D9D9" w:themeFill="background1" w:themeFillShade="D9"/>
            <w:vAlign w:val="center"/>
          </w:tcPr>
          <w:p w:rsidR="00F4358D" w:rsidRDefault="00D1585A">
            <w:pPr>
              <w:spacing w:before="20" w:after="20"/>
              <w:jc w:val="center"/>
              <w:rPr>
                <w:noProof/>
                <w:sz w:val="20"/>
              </w:rPr>
            </w:pPr>
            <w:r>
              <w:rPr>
                <w:noProof/>
                <w:sz w:val="20"/>
              </w:rPr>
              <w:t>6,387</w:t>
            </w:r>
          </w:p>
        </w:tc>
        <w:tc>
          <w:tcPr>
            <w:tcW w:w="237" w:type="dxa"/>
            <w:vMerge/>
          </w:tcPr>
          <w:p w:rsidR="00F4358D" w:rsidRDefault="00F4358D">
            <w:pPr>
              <w:spacing w:before="20" w:after="20"/>
              <w:jc w:val="center"/>
              <w:rPr>
                <w:noProof/>
                <w:sz w:val="20"/>
              </w:rPr>
            </w:pPr>
          </w:p>
        </w:tc>
        <w:tc>
          <w:tcPr>
            <w:tcW w:w="1275" w:type="dxa"/>
            <w:vAlign w:val="center"/>
          </w:tcPr>
          <w:p w:rsidR="00F4358D" w:rsidRDefault="00D1585A">
            <w:pPr>
              <w:spacing w:before="0" w:after="0"/>
              <w:jc w:val="center"/>
              <w:rPr>
                <w:noProof/>
                <w:sz w:val="20"/>
              </w:rPr>
            </w:pPr>
            <w:r>
              <w:rPr>
                <w:rFonts w:ascii="Calibri" w:hAnsi="Calibri"/>
                <w:noProof/>
                <w:sz w:val="22"/>
              </w:rPr>
              <w:t>9,899</w:t>
            </w:r>
          </w:p>
        </w:tc>
        <w:tc>
          <w:tcPr>
            <w:tcW w:w="1276" w:type="dxa"/>
            <w:vAlign w:val="center"/>
          </w:tcPr>
          <w:p w:rsidR="00F4358D" w:rsidRDefault="00D1585A">
            <w:pPr>
              <w:spacing w:before="0" w:after="0"/>
              <w:jc w:val="center"/>
              <w:rPr>
                <w:noProof/>
                <w:sz w:val="20"/>
              </w:rPr>
            </w:pPr>
            <w:r>
              <w:rPr>
                <w:rFonts w:ascii="Calibri" w:hAnsi="Calibri"/>
                <w:noProof/>
                <w:sz w:val="22"/>
              </w:rPr>
              <w:t>12,082</w:t>
            </w:r>
          </w:p>
        </w:tc>
        <w:tc>
          <w:tcPr>
            <w:tcW w:w="1276" w:type="dxa"/>
            <w:vAlign w:val="center"/>
          </w:tcPr>
          <w:p w:rsidR="00F4358D" w:rsidRDefault="00D1585A">
            <w:pPr>
              <w:spacing w:before="0" w:after="0"/>
              <w:jc w:val="center"/>
              <w:rPr>
                <w:noProof/>
                <w:sz w:val="20"/>
              </w:rPr>
            </w:pPr>
            <w:r>
              <w:rPr>
                <w:rFonts w:ascii="Calibri" w:hAnsi="Calibri"/>
                <w:noProof/>
                <w:sz w:val="22"/>
              </w:rPr>
              <w:t>13,349</w:t>
            </w:r>
          </w:p>
        </w:tc>
        <w:tc>
          <w:tcPr>
            <w:tcW w:w="1276" w:type="dxa"/>
            <w:vAlign w:val="center"/>
          </w:tcPr>
          <w:p w:rsidR="00F4358D" w:rsidRDefault="00D1585A">
            <w:pPr>
              <w:spacing w:before="0" w:after="0"/>
              <w:jc w:val="center"/>
              <w:rPr>
                <w:noProof/>
                <w:sz w:val="20"/>
              </w:rPr>
            </w:pPr>
            <w:r>
              <w:rPr>
                <w:rFonts w:ascii="Calibri" w:hAnsi="Calibri"/>
                <w:noProof/>
                <w:sz w:val="22"/>
              </w:rPr>
              <w:t>13,894</w:t>
            </w:r>
          </w:p>
        </w:tc>
        <w:tc>
          <w:tcPr>
            <w:tcW w:w="1276" w:type="dxa"/>
            <w:vAlign w:val="center"/>
          </w:tcPr>
          <w:p w:rsidR="00F4358D" w:rsidRDefault="00D1585A">
            <w:pPr>
              <w:spacing w:before="0" w:after="0"/>
              <w:jc w:val="center"/>
              <w:rPr>
                <w:b/>
                <w:noProof/>
                <w:sz w:val="20"/>
              </w:rPr>
            </w:pPr>
            <w:r>
              <w:rPr>
                <w:rFonts w:ascii="Calibri" w:hAnsi="Calibri"/>
                <w:b/>
                <w:noProof/>
                <w:sz w:val="22"/>
              </w:rPr>
              <w:t>49,224</w:t>
            </w:r>
          </w:p>
        </w:tc>
      </w:tr>
      <w:tr w:rsidR="00F4358D">
        <w:tc>
          <w:tcPr>
            <w:tcW w:w="3600" w:type="dxa"/>
            <w:vMerge w:val="restart"/>
            <w:vAlign w:val="center"/>
          </w:tcPr>
          <w:p w:rsidR="00F4358D" w:rsidRDefault="00D1585A">
            <w:pPr>
              <w:rPr>
                <w:noProof/>
              </w:rPr>
            </w:pPr>
            <w:r>
              <w:rPr>
                <w:noProof/>
                <w:sz w:val="20"/>
              </w:rPr>
              <w:t xml:space="preserve">Jaotis 2: infrastruktuuri- ja tegevuskulud </w:t>
            </w:r>
          </w:p>
        </w:tc>
        <w:tc>
          <w:tcPr>
            <w:tcW w:w="1645" w:type="dxa"/>
            <w:vAlign w:val="center"/>
          </w:tcPr>
          <w:p w:rsidR="00F4358D" w:rsidRDefault="00D1585A">
            <w:pPr>
              <w:spacing w:before="20" w:after="20"/>
              <w:rPr>
                <w:noProof/>
                <w:sz w:val="18"/>
              </w:rPr>
            </w:pPr>
            <w:r>
              <w:rPr>
                <w:noProof/>
                <w:sz w:val="18"/>
              </w:rPr>
              <w:t>Kulukohustused</w:t>
            </w:r>
          </w:p>
        </w:tc>
        <w:tc>
          <w:tcPr>
            <w:tcW w:w="567" w:type="dxa"/>
            <w:vAlign w:val="center"/>
          </w:tcPr>
          <w:p w:rsidR="00F4358D" w:rsidRDefault="00D1585A">
            <w:pPr>
              <w:spacing w:before="20" w:after="20"/>
              <w:jc w:val="center"/>
              <w:rPr>
                <w:noProof/>
                <w:sz w:val="14"/>
              </w:rPr>
            </w:pPr>
            <w:r>
              <w:rPr>
                <w:noProof/>
                <w:sz w:val="14"/>
              </w:rPr>
              <w:t>(1a)</w:t>
            </w:r>
          </w:p>
        </w:tc>
        <w:tc>
          <w:tcPr>
            <w:tcW w:w="1039" w:type="dxa"/>
            <w:shd w:val="clear" w:color="auto" w:fill="D9D9D9" w:themeFill="background1" w:themeFillShade="D9"/>
            <w:vAlign w:val="center"/>
          </w:tcPr>
          <w:p w:rsidR="00F4358D" w:rsidRDefault="00D1585A">
            <w:pPr>
              <w:spacing w:before="20" w:after="20"/>
              <w:jc w:val="center"/>
              <w:rPr>
                <w:noProof/>
                <w:sz w:val="20"/>
              </w:rPr>
            </w:pPr>
            <w:r>
              <w:rPr>
                <w:noProof/>
                <w:sz w:val="20"/>
              </w:rPr>
              <w:t>1,770</w:t>
            </w:r>
          </w:p>
        </w:tc>
        <w:tc>
          <w:tcPr>
            <w:tcW w:w="237" w:type="dxa"/>
            <w:vMerge/>
          </w:tcPr>
          <w:p w:rsidR="00F4358D" w:rsidRDefault="00F4358D">
            <w:pPr>
              <w:spacing w:before="20" w:after="20"/>
              <w:jc w:val="center"/>
              <w:rPr>
                <w:noProof/>
                <w:sz w:val="20"/>
              </w:rPr>
            </w:pPr>
          </w:p>
        </w:tc>
        <w:tc>
          <w:tcPr>
            <w:tcW w:w="1275" w:type="dxa"/>
            <w:vAlign w:val="center"/>
          </w:tcPr>
          <w:p w:rsidR="00F4358D" w:rsidRDefault="00D1585A">
            <w:pPr>
              <w:spacing w:before="0" w:after="0"/>
              <w:jc w:val="center"/>
              <w:rPr>
                <w:noProof/>
                <w:sz w:val="20"/>
              </w:rPr>
            </w:pPr>
            <w:r>
              <w:rPr>
                <w:noProof/>
                <w:sz w:val="22"/>
              </w:rPr>
              <w:t>1,957</w:t>
            </w:r>
          </w:p>
        </w:tc>
        <w:tc>
          <w:tcPr>
            <w:tcW w:w="1276" w:type="dxa"/>
            <w:vAlign w:val="center"/>
          </w:tcPr>
          <w:p w:rsidR="00F4358D" w:rsidRDefault="00D1585A">
            <w:pPr>
              <w:spacing w:before="0" w:after="0"/>
              <w:jc w:val="center"/>
              <w:rPr>
                <w:noProof/>
                <w:sz w:val="20"/>
              </w:rPr>
            </w:pPr>
            <w:r>
              <w:rPr>
                <w:noProof/>
                <w:sz w:val="22"/>
              </w:rPr>
              <w:t>2,232</w:t>
            </w:r>
          </w:p>
        </w:tc>
        <w:tc>
          <w:tcPr>
            <w:tcW w:w="1276" w:type="dxa"/>
            <w:vAlign w:val="center"/>
          </w:tcPr>
          <w:p w:rsidR="00F4358D" w:rsidRDefault="00D1585A">
            <w:pPr>
              <w:spacing w:before="0" w:after="0"/>
              <w:jc w:val="center"/>
              <w:rPr>
                <w:noProof/>
                <w:sz w:val="20"/>
              </w:rPr>
            </w:pPr>
            <w:r>
              <w:rPr>
                <w:noProof/>
                <w:sz w:val="22"/>
              </w:rPr>
              <w:t>2,461</w:t>
            </w:r>
          </w:p>
        </w:tc>
        <w:tc>
          <w:tcPr>
            <w:tcW w:w="1276" w:type="dxa"/>
            <w:vAlign w:val="center"/>
          </w:tcPr>
          <w:p w:rsidR="00F4358D" w:rsidRDefault="00D1585A">
            <w:pPr>
              <w:spacing w:before="0" w:after="0"/>
              <w:jc w:val="center"/>
              <w:rPr>
                <w:noProof/>
                <w:sz w:val="20"/>
              </w:rPr>
            </w:pPr>
            <w:r>
              <w:rPr>
                <w:noProof/>
                <w:sz w:val="22"/>
              </w:rPr>
              <w:t>2,565</w:t>
            </w:r>
          </w:p>
        </w:tc>
        <w:tc>
          <w:tcPr>
            <w:tcW w:w="1276" w:type="dxa"/>
            <w:vAlign w:val="center"/>
          </w:tcPr>
          <w:p w:rsidR="00F4358D" w:rsidRDefault="00D1585A">
            <w:pPr>
              <w:spacing w:before="0" w:after="0"/>
              <w:jc w:val="center"/>
              <w:rPr>
                <w:b/>
                <w:noProof/>
                <w:sz w:val="20"/>
              </w:rPr>
            </w:pPr>
            <w:r>
              <w:rPr>
                <w:b/>
                <w:noProof/>
                <w:sz w:val="22"/>
              </w:rPr>
              <w:t>9,215</w:t>
            </w:r>
          </w:p>
        </w:tc>
      </w:tr>
      <w:tr w:rsidR="00F4358D">
        <w:tc>
          <w:tcPr>
            <w:tcW w:w="3600" w:type="dxa"/>
            <w:vMerge/>
            <w:vAlign w:val="center"/>
          </w:tcPr>
          <w:p w:rsidR="00F4358D" w:rsidRDefault="00F4358D">
            <w:pPr>
              <w:rPr>
                <w:noProof/>
              </w:rPr>
            </w:pPr>
          </w:p>
        </w:tc>
        <w:tc>
          <w:tcPr>
            <w:tcW w:w="1645" w:type="dxa"/>
            <w:vAlign w:val="center"/>
          </w:tcPr>
          <w:p w:rsidR="00F4358D" w:rsidRDefault="00D1585A">
            <w:pPr>
              <w:spacing w:before="20" w:after="20"/>
              <w:rPr>
                <w:noProof/>
                <w:sz w:val="18"/>
              </w:rPr>
            </w:pPr>
            <w:r>
              <w:rPr>
                <w:noProof/>
                <w:sz w:val="18"/>
              </w:rPr>
              <w:t>Maksed</w:t>
            </w:r>
          </w:p>
        </w:tc>
        <w:tc>
          <w:tcPr>
            <w:tcW w:w="567" w:type="dxa"/>
            <w:vAlign w:val="center"/>
          </w:tcPr>
          <w:p w:rsidR="00F4358D" w:rsidRDefault="00D1585A">
            <w:pPr>
              <w:spacing w:before="20" w:after="20"/>
              <w:jc w:val="center"/>
              <w:rPr>
                <w:noProof/>
                <w:sz w:val="14"/>
              </w:rPr>
            </w:pPr>
            <w:r>
              <w:rPr>
                <w:noProof/>
                <w:sz w:val="14"/>
              </w:rPr>
              <w:t>(2 a)</w:t>
            </w:r>
          </w:p>
        </w:tc>
        <w:tc>
          <w:tcPr>
            <w:tcW w:w="1039" w:type="dxa"/>
            <w:shd w:val="clear" w:color="auto" w:fill="D9D9D9" w:themeFill="background1" w:themeFillShade="D9"/>
            <w:vAlign w:val="center"/>
          </w:tcPr>
          <w:p w:rsidR="00F4358D" w:rsidRDefault="00D1585A">
            <w:pPr>
              <w:spacing w:before="20" w:after="20"/>
              <w:jc w:val="center"/>
              <w:rPr>
                <w:noProof/>
                <w:sz w:val="20"/>
              </w:rPr>
            </w:pPr>
            <w:r>
              <w:rPr>
                <w:noProof/>
                <w:sz w:val="20"/>
              </w:rPr>
              <w:t>1,770</w:t>
            </w:r>
          </w:p>
        </w:tc>
        <w:tc>
          <w:tcPr>
            <w:tcW w:w="237" w:type="dxa"/>
            <w:vMerge/>
          </w:tcPr>
          <w:p w:rsidR="00F4358D" w:rsidRDefault="00F4358D">
            <w:pPr>
              <w:spacing w:before="20" w:after="20"/>
              <w:jc w:val="center"/>
              <w:rPr>
                <w:noProof/>
                <w:sz w:val="20"/>
              </w:rPr>
            </w:pPr>
          </w:p>
        </w:tc>
        <w:tc>
          <w:tcPr>
            <w:tcW w:w="1275" w:type="dxa"/>
            <w:vAlign w:val="center"/>
          </w:tcPr>
          <w:p w:rsidR="00F4358D" w:rsidRDefault="00D1585A">
            <w:pPr>
              <w:spacing w:before="0" w:after="0"/>
              <w:jc w:val="center"/>
              <w:rPr>
                <w:noProof/>
                <w:sz w:val="20"/>
              </w:rPr>
            </w:pPr>
            <w:r>
              <w:rPr>
                <w:noProof/>
                <w:sz w:val="22"/>
              </w:rPr>
              <w:t>1,957</w:t>
            </w:r>
          </w:p>
        </w:tc>
        <w:tc>
          <w:tcPr>
            <w:tcW w:w="1276" w:type="dxa"/>
            <w:vAlign w:val="center"/>
          </w:tcPr>
          <w:p w:rsidR="00F4358D" w:rsidRDefault="00D1585A">
            <w:pPr>
              <w:spacing w:before="0" w:after="0"/>
              <w:jc w:val="center"/>
              <w:rPr>
                <w:noProof/>
                <w:sz w:val="20"/>
              </w:rPr>
            </w:pPr>
            <w:r>
              <w:rPr>
                <w:noProof/>
                <w:sz w:val="22"/>
              </w:rPr>
              <w:t>2,232</w:t>
            </w:r>
          </w:p>
        </w:tc>
        <w:tc>
          <w:tcPr>
            <w:tcW w:w="1276" w:type="dxa"/>
            <w:vAlign w:val="center"/>
          </w:tcPr>
          <w:p w:rsidR="00F4358D" w:rsidRDefault="00D1585A">
            <w:pPr>
              <w:spacing w:before="0" w:after="0"/>
              <w:jc w:val="center"/>
              <w:rPr>
                <w:bCs/>
                <w:noProof/>
                <w:sz w:val="22"/>
              </w:rPr>
            </w:pPr>
            <w:r>
              <w:rPr>
                <w:noProof/>
                <w:sz w:val="22"/>
              </w:rPr>
              <w:t>2,461</w:t>
            </w:r>
          </w:p>
        </w:tc>
        <w:tc>
          <w:tcPr>
            <w:tcW w:w="1276" w:type="dxa"/>
            <w:vAlign w:val="center"/>
          </w:tcPr>
          <w:p w:rsidR="00F4358D" w:rsidRDefault="00D1585A">
            <w:pPr>
              <w:spacing w:before="0" w:after="0"/>
              <w:jc w:val="center"/>
              <w:rPr>
                <w:bCs/>
                <w:noProof/>
                <w:sz w:val="22"/>
              </w:rPr>
            </w:pPr>
            <w:r>
              <w:rPr>
                <w:noProof/>
                <w:sz w:val="22"/>
              </w:rPr>
              <w:t>2,565</w:t>
            </w:r>
          </w:p>
        </w:tc>
        <w:tc>
          <w:tcPr>
            <w:tcW w:w="1276" w:type="dxa"/>
            <w:vAlign w:val="center"/>
          </w:tcPr>
          <w:p w:rsidR="00F4358D" w:rsidRDefault="00D1585A">
            <w:pPr>
              <w:spacing w:before="0" w:after="0"/>
              <w:jc w:val="center"/>
              <w:rPr>
                <w:b/>
                <w:noProof/>
                <w:sz w:val="20"/>
              </w:rPr>
            </w:pPr>
            <w:r>
              <w:rPr>
                <w:b/>
                <w:noProof/>
                <w:sz w:val="22"/>
              </w:rPr>
              <w:t>9,215</w:t>
            </w:r>
          </w:p>
        </w:tc>
      </w:tr>
      <w:tr w:rsidR="00F4358D">
        <w:trPr>
          <w:trHeight w:val="319"/>
        </w:trPr>
        <w:tc>
          <w:tcPr>
            <w:tcW w:w="3600" w:type="dxa"/>
            <w:vMerge w:val="restart"/>
            <w:vAlign w:val="center"/>
          </w:tcPr>
          <w:p w:rsidR="00F4358D" w:rsidRDefault="00D1585A">
            <w:pPr>
              <w:spacing w:before="60" w:after="60"/>
              <w:rPr>
                <w:noProof/>
              </w:rPr>
            </w:pPr>
            <w:r>
              <w:rPr>
                <w:noProof/>
                <w:sz w:val="20"/>
              </w:rPr>
              <w:t xml:space="preserve">Jaotis 3: tegevuskulud </w:t>
            </w:r>
          </w:p>
        </w:tc>
        <w:tc>
          <w:tcPr>
            <w:tcW w:w="1645" w:type="dxa"/>
            <w:vAlign w:val="center"/>
          </w:tcPr>
          <w:p w:rsidR="00F4358D" w:rsidRDefault="00D1585A">
            <w:pPr>
              <w:spacing w:before="40" w:after="40"/>
              <w:rPr>
                <w:noProof/>
                <w:sz w:val="18"/>
              </w:rPr>
            </w:pPr>
            <w:r>
              <w:rPr>
                <w:noProof/>
                <w:sz w:val="18"/>
              </w:rPr>
              <w:t>Kulukohustused</w:t>
            </w:r>
          </w:p>
        </w:tc>
        <w:tc>
          <w:tcPr>
            <w:tcW w:w="567" w:type="dxa"/>
            <w:vAlign w:val="center"/>
          </w:tcPr>
          <w:p w:rsidR="00F4358D" w:rsidRDefault="00D1585A">
            <w:pPr>
              <w:spacing w:before="40" w:after="40"/>
              <w:jc w:val="center"/>
              <w:rPr>
                <w:noProof/>
                <w:sz w:val="14"/>
              </w:rPr>
            </w:pPr>
            <w:r>
              <w:rPr>
                <w:noProof/>
                <w:sz w:val="14"/>
              </w:rPr>
              <w:t>(3a)</w:t>
            </w:r>
          </w:p>
        </w:tc>
        <w:tc>
          <w:tcPr>
            <w:tcW w:w="1039" w:type="dxa"/>
            <w:shd w:val="clear" w:color="auto" w:fill="D9D9D9" w:themeFill="background1" w:themeFillShade="D9"/>
            <w:vAlign w:val="center"/>
          </w:tcPr>
          <w:p w:rsidR="00F4358D" w:rsidRDefault="00D1585A">
            <w:pPr>
              <w:spacing w:before="40" w:after="40"/>
              <w:jc w:val="center"/>
              <w:rPr>
                <w:noProof/>
                <w:sz w:val="20"/>
              </w:rPr>
            </w:pPr>
            <w:r>
              <w:rPr>
                <w:noProof/>
                <w:sz w:val="20"/>
              </w:rPr>
              <w:t>3,086</w:t>
            </w:r>
          </w:p>
        </w:tc>
        <w:tc>
          <w:tcPr>
            <w:tcW w:w="237" w:type="dxa"/>
            <w:vMerge/>
          </w:tcPr>
          <w:p w:rsidR="00F4358D" w:rsidRDefault="00F4358D">
            <w:pPr>
              <w:spacing w:before="40" w:after="40"/>
              <w:jc w:val="center"/>
              <w:rPr>
                <w:noProof/>
                <w:sz w:val="20"/>
              </w:rPr>
            </w:pPr>
          </w:p>
        </w:tc>
        <w:tc>
          <w:tcPr>
            <w:tcW w:w="1275" w:type="dxa"/>
            <w:vAlign w:val="center"/>
          </w:tcPr>
          <w:p w:rsidR="00F4358D" w:rsidRDefault="00D1585A">
            <w:pPr>
              <w:spacing w:before="0" w:after="0"/>
              <w:jc w:val="center"/>
              <w:rPr>
                <w:noProof/>
                <w:sz w:val="20"/>
              </w:rPr>
            </w:pPr>
            <w:r>
              <w:rPr>
                <w:noProof/>
                <w:sz w:val="22"/>
              </w:rPr>
              <w:t>4,694</w:t>
            </w:r>
          </w:p>
        </w:tc>
        <w:tc>
          <w:tcPr>
            <w:tcW w:w="1276" w:type="dxa"/>
            <w:vAlign w:val="center"/>
          </w:tcPr>
          <w:p w:rsidR="00F4358D" w:rsidRDefault="00D1585A">
            <w:pPr>
              <w:spacing w:before="0" w:after="0"/>
              <w:jc w:val="center"/>
              <w:rPr>
                <w:noProof/>
                <w:sz w:val="20"/>
              </w:rPr>
            </w:pPr>
            <w:r>
              <w:rPr>
                <w:noProof/>
                <w:sz w:val="22"/>
              </w:rPr>
              <w:t>6,332</w:t>
            </w:r>
          </w:p>
        </w:tc>
        <w:tc>
          <w:tcPr>
            <w:tcW w:w="1276" w:type="dxa"/>
            <w:vAlign w:val="center"/>
          </w:tcPr>
          <w:p w:rsidR="00F4358D" w:rsidRDefault="00D1585A">
            <w:pPr>
              <w:spacing w:before="0" w:after="0"/>
              <w:jc w:val="center"/>
              <w:rPr>
                <w:noProof/>
                <w:sz w:val="20"/>
              </w:rPr>
            </w:pPr>
            <w:r>
              <w:rPr>
                <w:noProof/>
                <w:sz w:val="22"/>
              </w:rPr>
              <w:t>6,438</w:t>
            </w:r>
          </w:p>
        </w:tc>
        <w:tc>
          <w:tcPr>
            <w:tcW w:w="1276" w:type="dxa"/>
            <w:vAlign w:val="center"/>
          </w:tcPr>
          <w:p w:rsidR="00F4358D" w:rsidRDefault="00D1585A">
            <w:pPr>
              <w:spacing w:before="0" w:after="0"/>
              <w:jc w:val="center"/>
              <w:rPr>
                <w:noProof/>
                <w:sz w:val="20"/>
              </w:rPr>
            </w:pPr>
            <w:r>
              <w:rPr>
                <w:noProof/>
                <w:sz w:val="22"/>
              </w:rPr>
              <w:t>6,564</w:t>
            </w:r>
          </w:p>
        </w:tc>
        <w:tc>
          <w:tcPr>
            <w:tcW w:w="1276" w:type="dxa"/>
            <w:vAlign w:val="center"/>
          </w:tcPr>
          <w:p w:rsidR="00F4358D" w:rsidRDefault="00D1585A">
            <w:pPr>
              <w:spacing w:before="0" w:after="0"/>
              <w:jc w:val="center"/>
              <w:rPr>
                <w:b/>
                <w:noProof/>
                <w:sz w:val="20"/>
              </w:rPr>
            </w:pPr>
            <w:r>
              <w:rPr>
                <w:b/>
                <w:noProof/>
                <w:sz w:val="22"/>
              </w:rPr>
              <w:t>24,028</w:t>
            </w:r>
          </w:p>
        </w:tc>
      </w:tr>
      <w:tr w:rsidR="00F4358D">
        <w:trPr>
          <w:trHeight w:val="319"/>
        </w:trPr>
        <w:tc>
          <w:tcPr>
            <w:tcW w:w="3600" w:type="dxa"/>
            <w:vMerge/>
            <w:vAlign w:val="center"/>
          </w:tcPr>
          <w:p w:rsidR="00F4358D" w:rsidRDefault="00F4358D">
            <w:pPr>
              <w:spacing w:before="60" w:after="60"/>
              <w:rPr>
                <w:b/>
                <w:noProof/>
                <w:sz w:val="20"/>
              </w:rPr>
            </w:pPr>
          </w:p>
        </w:tc>
        <w:tc>
          <w:tcPr>
            <w:tcW w:w="1645" w:type="dxa"/>
            <w:vAlign w:val="center"/>
          </w:tcPr>
          <w:p w:rsidR="00F4358D" w:rsidRDefault="00D1585A">
            <w:pPr>
              <w:spacing w:before="40" w:after="40"/>
              <w:rPr>
                <w:noProof/>
                <w:sz w:val="18"/>
              </w:rPr>
            </w:pPr>
            <w:r>
              <w:rPr>
                <w:noProof/>
                <w:sz w:val="18"/>
              </w:rPr>
              <w:t>Maksed</w:t>
            </w:r>
          </w:p>
        </w:tc>
        <w:tc>
          <w:tcPr>
            <w:tcW w:w="567" w:type="dxa"/>
            <w:vAlign w:val="center"/>
          </w:tcPr>
          <w:p w:rsidR="00F4358D" w:rsidRDefault="00D1585A">
            <w:pPr>
              <w:spacing w:before="40" w:after="40"/>
              <w:jc w:val="center"/>
              <w:rPr>
                <w:noProof/>
                <w:sz w:val="14"/>
              </w:rPr>
            </w:pPr>
            <w:r>
              <w:rPr>
                <w:noProof/>
                <w:sz w:val="14"/>
              </w:rPr>
              <w:t>(3b)</w:t>
            </w:r>
          </w:p>
        </w:tc>
        <w:tc>
          <w:tcPr>
            <w:tcW w:w="1039" w:type="dxa"/>
            <w:shd w:val="clear" w:color="auto" w:fill="D9D9D9" w:themeFill="background1" w:themeFillShade="D9"/>
            <w:vAlign w:val="center"/>
          </w:tcPr>
          <w:p w:rsidR="00F4358D" w:rsidRDefault="00D1585A">
            <w:pPr>
              <w:spacing w:before="40" w:after="40"/>
              <w:jc w:val="center"/>
              <w:rPr>
                <w:noProof/>
                <w:sz w:val="20"/>
              </w:rPr>
            </w:pPr>
            <w:r>
              <w:rPr>
                <w:noProof/>
                <w:sz w:val="20"/>
              </w:rPr>
              <w:t>3,086</w:t>
            </w:r>
          </w:p>
        </w:tc>
        <w:tc>
          <w:tcPr>
            <w:tcW w:w="237" w:type="dxa"/>
            <w:vMerge/>
          </w:tcPr>
          <w:p w:rsidR="00F4358D" w:rsidRDefault="00F4358D">
            <w:pPr>
              <w:spacing w:before="40" w:after="40"/>
              <w:jc w:val="center"/>
              <w:rPr>
                <w:noProof/>
                <w:sz w:val="20"/>
              </w:rPr>
            </w:pPr>
          </w:p>
        </w:tc>
        <w:tc>
          <w:tcPr>
            <w:tcW w:w="1275" w:type="dxa"/>
            <w:vAlign w:val="center"/>
          </w:tcPr>
          <w:p w:rsidR="00F4358D" w:rsidRDefault="00D1585A">
            <w:pPr>
              <w:spacing w:before="0" w:after="0"/>
              <w:jc w:val="center"/>
              <w:rPr>
                <w:noProof/>
                <w:sz w:val="20"/>
              </w:rPr>
            </w:pPr>
            <w:r>
              <w:rPr>
                <w:noProof/>
                <w:sz w:val="22"/>
              </w:rPr>
              <w:t>4,694</w:t>
            </w:r>
          </w:p>
        </w:tc>
        <w:tc>
          <w:tcPr>
            <w:tcW w:w="1276" w:type="dxa"/>
            <w:vAlign w:val="center"/>
          </w:tcPr>
          <w:p w:rsidR="00F4358D" w:rsidRDefault="00D1585A">
            <w:pPr>
              <w:spacing w:before="0" w:after="0"/>
              <w:jc w:val="center"/>
              <w:rPr>
                <w:noProof/>
                <w:sz w:val="20"/>
              </w:rPr>
            </w:pPr>
            <w:r>
              <w:rPr>
                <w:noProof/>
                <w:sz w:val="22"/>
              </w:rPr>
              <w:t>6,332</w:t>
            </w:r>
          </w:p>
        </w:tc>
        <w:tc>
          <w:tcPr>
            <w:tcW w:w="1276" w:type="dxa"/>
            <w:vAlign w:val="center"/>
          </w:tcPr>
          <w:p w:rsidR="00F4358D" w:rsidRDefault="00D1585A">
            <w:pPr>
              <w:spacing w:before="0" w:after="0"/>
              <w:jc w:val="center"/>
              <w:rPr>
                <w:noProof/>
                <w:sz w:val="20"/>
              </w:rPr>
            </w:pPr>
            <w:r>
              <w:rPr>
                <w:noProof/>
                <w:sz w:val="22"/>
              </w:rPr>
              <w:t>6,438</w:t>
            </w:r>
          </w:p>
        </w:tc>
        <w:tc>
          <w:tcPr>
            <w:tcW w:w="1276" w:type="dxa"/>
            <w:vAlign w:val="center"/>
          </w:tcPr>
          <w:p w:rsidR="00F4358D" w:rsidRDefault="00D1585A">
            <w:pPr>
              <w:spacing w:before="0" w:after="0"/>
              <w:jc w:val="center"/>
              <w:rPr>
                <w:noProof/>
                <w:sz w:val="20"/>
              </w:rPr>
            </w:pPr>
            <w:r>
              <w:rPr>
                <w:noProof/>
                <w:sz w:val="22"/>
              </w:rPr>
              <w:t>6,564</w:t>
            </w:r>
          </w:p>
        </w:tc>
        <w:tc>
          <w:tcPr>
            <w:tcW w:w="1276" w:type="dxa"/>
            <w:vAlign w:val="center"/>
          </w:tcPr>
          <w:p w:rsidR="00F4358D" w:rsidRDefault="00D1585A">
            <w:pPr>
              <w:spacing w:before="0" w:after="0"/>
              <w:jc w:val="center"/>
              <w:rPr>
                <w:b/>
                <w:noProof/>
                <w:sz w:val="20"/>
              </w:rPr>
            </w:pPr>
            <w:r>
              <w:rPr>
                <w:b/>
                <w:noProof/>
                <w:sz w:val="22"/>
              </w:rPr>
              <w:t>24,028</w:t>
            </w:r>
          </w:p>
        </w:tc>
      </w:tr>
      <w:tr w:rsidR="00F4358D">
        <w:tc>
          <w:tcPr>
            <w:tcW w:w="3600" w:type="dxa"/>
            <w:vMerge w:val="restart"/>
            <w:vAlign w:val="center"/>
          </w:tcPr>
          <w:p w:rsidR="00F4358D" w:rsidRDefault="00D1585A">
            <w:pPr>
              <w:jc w:val="center"/>
              <w:rPr>
                <w:noProof/>
              </w:rPr>
            </w:pPr>
            <w:r>
              <w:rPr>
                <w:b/>
                <w:noProof/>
                <w:sz w:val="22"/>
              </w:rPr>
              <w:t>ENISA assigneeringud</w:t>
            </w:r>
            <w:r>
              <w:rPr>
                <w:noProof/>
                <w:sz w:val="22"/>
              </w:rPr>
              <w:br/>
            </w:r>
            <w:r>
              <w:rPr>
                <w:b/>
                <w:noProof/>
                <w:sz w:val="22"/>
              </w:rPr>
              <w:t>KOKKU</w:t>
            </w:r>
          </w:p>
        </w:tc>
        <w:tc>
          <w:tcPr>
            <w:tcW w:w="1645" w:type="dxa"/>
            <w:vAlign w:val="center"/>
          </w:tcPr>
          <w:p w:rsidR="00F4358D" w:rsidRDefault="00D1585A">
            <w:pPr>
              <w:rPr>
                <w:noProof/>
                <w:sz w:val="18"/>
              </w:rPr>
            </w:pPr>
            <w:r>
              <w:rPr>
                <w:noProof/>
                <w:sz w:val="18"/>
              </w:rPr>
              <w:t>Kulukohustused</w:t>
            </w:r>
          </w:p>
        </w:tc>
        <w:tc>
          <w:tcPr>
            <w:tcW w:w="567" w:type="dxa"/>
            <w:vAlign w:val="center"/>
          </w:tcPr>
          <w:p w:rsidR="00F4358D" w:rsidRDefault="00D1585A">
            <w:pPr>
              <w:jc w:val="center"/>
              <w:rPr>
                <w:noProof/>
                <w:sz w:val="14"/>
              </w:rPr>
            </w:pPr>
            <w:r>
              <w:rPr>
                <w:noProof/>
                <w:sz w:val="14"/>
              </w:rPr>
              <w:t>=1+1a +3a</w:t>
            </w:r>
          </w:p>
        </w:tc>
        <w:tc>
          <w:tcPr>
            <w:tcW w:w="1039" w:type="dxa"/>
            <w:shd w:val="clear" w:color="auto" w:fill="D9D9D9" w:themeFill="background1" w:themeFillShade="D9"/>
            <w:vAlign w:val="center"/>
          </w:tcPr>
          <w:p w:rsidR="00F4358D" w:rsidRDefault="00D1585A">
            <w:pPr>
              <w:spacing w:before="20" w:after="20"/>
              <w:jc w:val="center"/>
              <w:rPr>
                <w:b/>
                <w:noProof/>
                <w:sz w:val="20"/>
              </w:rPr>
            </w:pPr>
            <w:r>
              <w:rPr>
                <w:b/>
                <w:noProof/>
                <w:sz w:val="20"/>
              </w:rPr>
              <w:t>11,244</w:t>
            </w:r>
          </w:p>
        </w:tc>
        <w:tc>
          <w:tcPr>
            <w:tcW w:w="237" w:type="dxa"/>
            <w:vMerge/>
          </w:tcPr>
          <w:p w:rsidR="00F4358D" w:rsidRDefault="00F4358D">
            <w:pPr>
              <w:spacing w:before="20" w:after="20"/>
              <w:jc w:val="right"/>
              <w:rPr>
                <w:b/>
                <w:noProof/>
                <w:sz w:val="20"/>
              </w:rPr>
            </w:pPr>
          </w:p>
        </w:tc>
        <w:tc>
          <w:tcPr>
            <w:tcW w:w="1275" w:type="dxa"/>
            <w:vAlign w:val="center"/>
          </w:tcPr>
          <w:p w:rsidR="00F4358D" w:rsidRDefault="00D1585A">
            <w:pPr>
              <w:spacing w:before="0" w:after="0"/>
              <w:jc w:val="center"/>
              <w:rPr>
                <w:noProof/>
                <w:sz w:val="20"/>
              </w:rPr>
            </w:pPr>
            <w:r>
              <w:rPr>
                <w:noProof/>
                <w:sz w:val="22"/>
              </w:rPr>
              <w:t>16,550</w:t>
            </w:r>
          </w:p>
        </w:tc>
        <w:tc>
          <w:tcPr>
            <w:tcW w:w="1276" w:type="dxa"/>
            <w:vAlign w:val="center"/>
          </w:tcPr>
          <w:p w:rsidR="00F4358D" w:rsidRDefault="00D1585A">
            <w:pPr>
              <w:spacing w:before="0" w:after="0"/>
              <w:jc w:val="center"/>
              <w:rPr>
                <w:noProof/>
                <w:sz w:val="20"/>
              </w:rPr>
            </w:pPr>
            <w:r>
              <w:rPr>
                <w:noProof/>
                <w:sz w:val="22"/>
              </w:rPr>
              <w:t>20,646</w:t>
            </w:r>
          </w:p>
        </w:tc>
        <w:tc>
          <w:tcPr>
            <w:tcW w:w="1276" w:type="dxa"/>
            <w:vAlign w:val="center"/>
          </w:tcPr>
          <w:p w:rsidR="00F4358D" w:rsidRDefault="00D1585A">
            <w:pPr>
              <w:spacing w:before="0" w:after="0"/>
              <w:jc w:val="center"/>
              <w:rPr>
                <w:noProof/>
                <w:sz w:val="20"/>
              </w:rPr>
            </w:pPr>
            <w:r>
              <w:rPr>
                <w:noProof/>
                <w:sz w:val="22"/>
              </w:rPr>
              <w:t>22,248</w:t>
            </w:r>
          </w:p>
        </w:tc>
        <w:tc>
          <w:tcPr>
            <w:tcW w:w="1276" w:type="dxa"/>
            <w:vAlign w:val="center"/>
          </w:tcPr>
          <w:p w:rsidR="00F4358D" w:rsidRDefault="00D1585A">
            <w:pPr>
              <w:spacing w:before="0" w:after="0"/>
              <w:jc w:val="center"/>
              <w:rPr>
                <w:noProof/>
                <w:sz w:val="20"/>
              </w:rPr>
            </w:pPr>
            <w:r>
              <w:rPr>
                <w:noProof/>
                <w:sz w:val="22"/>
              </w:rPr>
              <w:t>23,023</w:t>
            </w:r>
          </w:p>
        </w:tc>
        <w:tc>
          <w:tcPr>
            <w:tcW w:w="1276" w:type="dxa"/>
            <w:vAlign w:val="center"/>
          </w:tcPr>
          <w:p w:rsidR="00F4358D" w:rsidRDefault="00D1585A">
            <w:pPr>
              <w:spacing w:before="0" w:after="0"/>
              <w:jc w:val="center"/>
              <w:rPr>
                <w:b/>
                <w:noProof/>
                <w:sz w:val="20"/>
              </w:rPr>
            </w:pPr>
            <w:r>
              <w:rPr>
                <w:b/>
                <w:noProof/>
                <w:sz w:val="22"/>
              </w:rPr>
              <w:t>82,467</w:t>
            </w:r>
          </w:p>
        </w:tc>
      </w:tr>
      <w:tr w:rsidR="00F4358D">
        <w:tc>
          <w:tcPr>
            <w:tcW w:w="3600" w:type="dxa"/>
            <w:vMerge/>
            <w:vAlign w:val="center"/>
          </w:tcPr>
          <w:p w:rsidR="00F4358D" w:rsidRDefault="00F4358D">
            <w:pPr>
              <w:rPr>
                <w:b/>
                <w:noProof/>
              </w:rPr>
            </w:pPr>
          </w:p>
        </w:tc>
        <w:tc>
          <w:tcPr>
            <w:tcW w:w="1645" w:type="dxa"/>
            <w:vAlign w:val="center"/>
          </w:tcPr>
          <w:p w:rsidR="00F4358D" w:rsidRDefault="00D1585A">
            <w:pPr>
              <w:rPr>
                <w:noProof/>
                <w:sz w:val="18"/>
              </w:rPr>
            </w:pPr>
            <w:r>
              <w:rPr>
                <w:noProof/>
                <w:sz w:val="18"/>
              </w:rPr>
              <w:t>Maksed</w:t>
            </w:r>
          </w:p>
        </w:tc>
        <w:tc>
          <w:tcPr>
            <w:tcW w:w="567" w:type="dxa"/>
            <w:vAlign w:val="center"/>
          </w:tcPr>
          <w:p w:rsidR="00F4358D" w:rsidRDefault="00D1585A">
            <w:pPr>
              <w:jc w:val="center"/>
              <w:rPr>
                <w:noProof/>
                <w:sz w:val="14"/>
              </w:rPr>
            </w:pPr>
            <w:r>
              <w:rPr>
                <w:noProof/>
                <w:sz w:val="14"/>
              </w:rPr>
              <w:t>=2+2a</w:t>
            </w:r>
          </w:p>
          <w:p w:rsidR="00F4358D" w:rsidRDefault="00D1585A">
            <w:pPr>
              <w:jc w:val="center"/>
              <w:rPr>
                <w:noProof/>
                <w:sz w:val="14"/>
              </w:rPr>
            </w:pPr>
            <w:r>
              <w:rPr>
                <w:noProof/>
                <w:sz w:val="14"/>
              </w:rPr>
              <w:t>+3b</w:t>
            </w:r>
          </w:p>
        </w:tc>
        <w:tc>
          <w:tcPr>
            <w:tcW w:w="1039" w:type="dxa"/>
            <w:shd w:val="clear" w:color="auto" w:fill="D9D9D9" w:themeFill="background1" w:themeFillShade="D9"/>
            <w:vAlign w:val="center"/>
          </w:tcPr>
          <w:p w:rsidR="00F4358D" w:rsidRDefault="00D1585A">
            <w:pPr>
              <w:spacing w:before="20" w:after="20"/>
              <w:jc w:val="center"/>
              <w:rPr>
                <w:b/>
                <w:noProof/>
                <w:sz w:val="20"/>
              </w:rPr>
            </w:pPr>
            <w:r>
              <w:rPr>
                <w:b/>
                <w:noProof/>
                <w:sz w:val="20"/>
              </w:rPr>
              <w:t>11,244</w:t>
            </w:r>
          </w:p>
        </w:tc>
        <w:tc>
          <w:tcPr>
            <w:tcW w:w="237" w:type="dxa"/>
            <w:vMerge/>
          </w:tcPr>
          <w:p w:rsidR="00F4358D" w:rsidRDefault="00F4358D">
            <w:pPr>
              <w:spacing w:before="20" w:after="20"/>
              <w:jc w:val="right"/>
              <w:rPr>
                <w:b/>
                <w:noProof/>
                <w:sz w:val="20"/>
              </w:rPr>
            </w:pPr>
          </w:p>
        </w:tc>
        <w:tc>
          <w:tcPr>
            <w:tcW w:w="1275" w:type="dxa"/>
            <w:vAlign w:val="center"/>
          </w:tcPr>
          <w:p w:rsidR="00F4358D" w:rsidRDefault="00D1585A">
            <w:pPr>
              <w:spacing w:before="0" w:after="0"/>
              <w:jc w:val="center"/>
              <w:rPr>
                <w:b/>
                <w:noProof/>
                <w:sz w:val="20"/>
              </w:rPr>
            </w:pPr>
            <w:r>
              <w:rPr>
                <w:b/>
                <w:noProof/>
                <w:sz w:val="22"/>
              </w:rPr>
              <w:t>16,550</w:t>
            </w:r>
          </w:p>
        </w:tc>
        <w:tc>
          <w:tcPr>
            <w:tcW w:w="1276" w:type="dxa"/>
            <w:vAlign w:val="center"/>
          </w:tcPr>
          <w:p w:rsidR="00F4358D" w:rsidRDefault="00D1585A">
            <w:pPr>
              <w:spacing w:before="0" w:after="0"/>
              <w:jc w:val="center"/>
              <w:rPr>
                <w:b/>
                <w:noProof/>
                <w:sz w:val="20"/>
              </w:rPr>
            </w:pPr>
            <w:r>
              <w:rPr>
                <w:b/>
                <w:noProof/>
                <w:sz w:val="22"/>
              </w:rPr>
              <w:t>20,646</w:t>
            </w:r>
          </w:p>
        </w:tc>
        <w:tc>
          <w:tcPr>
            <w:tcW w:w="1276" w:type="dxa"/>
            <w:vAlign w:val="center"/>
          </w:tcPr>
          <w:p w:rsidR="00F4358D" w:rsidRDefault="00D1585A">
            <w:pPr>
              <w:spacing w:before="0" w:after="0"/>
              <w:jc w:val="center"/>
              <w:rPr>
                <w:b/>
                <w:noProof/>
                <w:sz w:val="20"/>
              </w:rPr>
            </w:pPr>
            <w:r>
              <w:rPr>
                <w:b/>
                <w:noProof/>
                <w:sz w:val="22"/>
              </w:rPr>
              <w:t>22,248</w:t>
            </w:r>
          </w:p>
        </w:tc>
        <w:tc>
          <w:tcPr>
            <w:tcW w:w="1276" w:type="dxa"/>
            <w:vAlign w:val="center"/>
          </w:tcPr>
          <w:p w:rsidR="00F4358D" w:rsidRDefault="00D1585A">
            <w:pPr>
              <w:spacing w:before="0" w:after="0"/>
              <w:jc w:val="center"/>
              <w:rPr>
                <w:b/>
                <w:noProof/>
                <w:sz w:val="20"/>
              </w:rPr>
            </w:pPr>
            <w:r>
              <w:rPr>
                <w:b/>
                <w:noProof/>
                <w:sz w:val="22"/>
              </w:rPr>
              <w:t>23,023</w:t>
            </w:r>
          </w:p>
        </w:tc>
        <w:tc>
          <w:tcPr>
            <w:tcW w:w="1276" w:type="dxa"/>
            <w:vAlign w:val="center"/>
          </w:tcPr>
          <w:p w:rsidR="00F4358D" w:rsidRDefault="00D1585A">
            <w:pPr>
              <w:spacing w:before="0" w:after="0"/>
              <w:jc w:val="center"/>
              <w:rPr>
                <w:b/>
                <w:noProof/>
                <w:sz w:val="20"/>
              </w:rPr>
            </w:pPr>
            <w:r>
              <w:rPr>
                <w:b/>
                <w:noProof/>
                <w:sz w:val="22"/>
              </w:rPr>
              <w:t>82,467</w:t>
            </w:r>
          </w:p>
        </w:tc>
      </w:tr>
    </w:tbl>
    <w:p w:rsidR="00F4358D" w:rsidRDefault="00F4358D">
      <w:pPr>
        <w:rPr>
          <w:noProof/>
        </w:rPr>
      </w:pPr>
    </w:p>
    <w:p w:rsidR="00F4358D" w:rsidRDefault="00F4358D">
      <w:pPr>
        <w:rPr>
          <w:noProof/>
        </w:rPr>
      </w:pPr>
    </w:p>
    <w:p w:rsidR="00F4358D" w:rsidRDefault="00F4358D">
      <w:pPr>
        <w:rPr>
          <w:noProof/>
        </w:rPr>
      </w:pPr>
    </w:p>
    <w:p w:rsidR="00F4358D" w:rsidRDefault="00F4358D">
      <w:pPr>
        <w:rPr>
          <w:noProof/>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F4358D">
        <w:trPr>
          <w:jc w:val="center"/>
        </w:trPr>
        <w:tc>
          <w:tcPr>
            <w:tcW w:w="4744" w:type="dxa"/>
            <w:shd w:val="thinDiagStripe" w:color="C0C0C0" w:fill="auto"/>
            <w:vAlign w:val="center"/>
          </w:tcPr>
          <w:p w:rsidR="00F4358D" w:rsidRDefault="00D1585A">
            <w:pPr>
              <w:spacing w:before="60" w:after="60"/>
              <w:jc w:val="center"/>
              <w:rPr>
                <w:b/>
                <w:noProof/>
              </w:rPr>
            </w:pPr>
            <w:r>
              <w:rPr>
                <w:noProof/>
              </w:rPr>
              <w:br w:type="page"/>
            </w:r>
            <w:r>
              <w:rPr>
                <w:b/>
                <w:noProof/>
                <w:sz w:val="22"/>
              </w:rPr>
              <w:t xml:space="preserve">Mitmeaastase </w:t>
            </w:r>
            <w:r>
              <w:rPr>
                <w:b/>
                <w:noProof/>
                <w:sz w:val="22"/>
              </w:rPr>
              <w:t>finantsraamistiku</w:t>
            </w:r>
            <w:r>
              <w:rPr>
                <w:noProof/>
                <w:sz w:val="22"/>
              </w:rPr>
              <w:br/>
            </w:r>
            <w:r>
              <w:rPr>
                <w:b/>
                <w:noProof/>
                <w:sz w:val="22"/>
              </w:rPr>
              <w:t xml:space="preserve">rubriik </w:t>
            </w:r>
          </w:p>
        </w:tc>
        <w:tc>
          <w:tcPr>
            <w:tcW w:w="1080" w:type="dxa"/>
            <w:shd w:val="thinDiagStripe" w:color="C0C0C0" w:fill="auto"/>
            <w:vAlign w:val="center"/>
          </w:tcPr>
          <w:p w:rsidR="00F4358D" w:rsidRDefault="00D1585A">
            <w:pPr>
              <w:spacing w:before="60" w:after="60"/>
              <w:jc w:val="center"/>
              <w:rPr>
                <w:noProof/>
              </w:rPr>
            </w:pPr>
            <w:r>
              <w:rPr>
                <w:b/>
                <w:noProof/>
                <w:sz w:val="22"/>
              </w:rPr>
              <w:t>5</w:t>
            </w:r>
          </w:p>
        </w:tc>
        <w:tc>
          <w:tcPr>
            <w:tcW w:w="7817" w:type="dxa"/>
            <w:vAlign w:val="center"/>
          </w:tcPr>
          <w:p w:rsidR="00F4358D" w:rsidRDefault="00D1585A">
            <w:pPr>
              <w:spacing w:before="60" w:after="60"/>
              <w:rPr>
                <w:noProof/>
              </w:rPr>
            </w:pPr>
            <w:r>
              <w:rPr>
                <w:noProof/>
                <w:sz w:val="22"/>
              </w:rPr>
              <w:t>„Halduskulud“</w:t>
            </w:r>
          </w:p>
        </w:tc>
      </w:tr>
    </w:tbl>
    <w:p w:rsidR="00F4358D" w:rsidRDefault="00D1585A">
      <w:pPr>
        <w:ind w:left="6480" w:firstLine="720"/>
        <w:jc w:val="center"/>
        <w:rPr>
          <w:noProof/>
          <w:sz w:val="20"/>
        </w:rPr>
      </w:pPr>
      <w:r>
        <w:rPr>
          <w:noProof/>
          <w:sz w:val="20"/>
        </w:rPr>
        <w:t>miljonites eurodes (kolm kohta pärast koma)</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560"/>
        <w:gridCol w:w="534"/>
        <w:gridCol w:w="1134"/>
        <w:gridCol w:w="1110"/>
        <w:gridCol w:w="1276"/>
        <w:gridCol w:w="1418"/>
        <w:gridCol w:w="3118"/>
      </w:tblGrid>
      <w:tr w:rsidR="00F4358D">
        <w:tc>
          <w:tcPr>
            <w:tcW w:w="3600" w:type="dxa"/>
            <w:tcBorders>
              <w:top w:val="nil"/>
              <w:left w:val="nil"/>
              <w:right w:val="nil"/>
            </w:tcBorders>
            <w:vAlign w:val="center"/>
          </w:tcPr>
          <w:p w:rsidR="00F4358D" w:rsidRDefault="00F4358D">
            <w:pPr>
              <w:jc w:val="center"/>
              <w:rPr>
                <w:noProof/>
              </w:rPr>
            </w:pPr>
          </w:p>
        </w:tc>
        <w:tc>
          <w:tcPr>
            <w:tcW w:w="1560" w:type="dxa"/>
            <w:tcBorders>
              <w:top w:val="nil"/>
              <w:left w:val="nil"/>
              <w:right w:val="nil"/>
            </w:tcBorders>
          </w:tcPr>
          <w:p w:rsidR="00F4358D" w:rsidRDefault="00F4358D">
            <w:pPr>
              <w:rPr>
                <w:noProof/>
                <w:sz w:val="20"/>
              </w:rPr>
            </w:pPr>
          </w:p>
        </w:tc>
        <w:tc>
          <w:tcPr>
            <w:tcW w:w="534" w:type="dxa"/>
            <w:tcBorders>
              <w:top w:val="nil"/>
              <w:left w:val="nil"/>
            </w:tcBorders>
          </w:tcPr>
          <w:p w:rsidR="00F4358D" w:rsidRDefault="00F4358D">
            <w:pPr>
              <w:jc w:val="center"/>
              <w:rPr>
                <w:noProof/>
                <w:sz w:val="20"/>
              </w:rPr>
            </w:pPr>
          </w:p>
        </w:tc>
        <w:tc>
          <w:tcPr>
            <w:tcW w:w="1134" w:type="dxa"/>
            <w:vAlign w:val="center"/>
          </w:tcPr>
          <w:p w:rsidR="00F4358D" w:rsidRDefault="00D1585A">
            <w:pPr>
              <w:jc w:val="center"/>
              <w:rPr>
                <w:b/>
                <w:noProof/>
                <w:sz w:val="20"/>
              </w:rPr>
            </w:pPr>
            <w:r>
              <w:rPr>
                <w:b/>
                <w:noProof/>
                <w:sz w:val="20"/>
              </w:rPr>
              <w:t>2019</w:t>
            </w:r>
          </w:p>
          <w:p w:rsidR="00F4358D" w:rsidRDefault="00D1585A">
            <w:pPr>
              <w:jc w:val="center"/>
              <w:rPr>
                <w:i/>
                <w:noProof/>
                <w:sz w:val="20"/>
              </w:rPr>
            </w:pPr>
            <w:r>
              <w:rPr>
                <w:i/>
                <w:noProof/>
                <w:sz w:val="16"/>
              </w:rPr>
              <w:t>(alates 1.7.2019)</w:t>
            </w:r>
          </w:p>
        </w:tc>
        <w:tc>
          <w:tcPr>
            <w:tcW w:w="1110" w:type="dxa"/>
          </w:tcPr>
          <w:p w:rsidR="00F4358D" w:rsidRDefault="00D1585A">
            <w:pPr>
              <w:jc w:val="center"/>
              <w:rPr>
                <w:noProof/>
                <w:sz w:val="20"/>
              </w:rPr>
            </w:pPr>
            <w:r>
              <w:rPr>
                <w:b/>
                <w:noProof/>
                <w:sz w:val="20"/>
              </w:rPr>
              <w:t>2020</w:t>
            </w:r>
          </w:p>
        </w:tc>
        <w:tc>
          <w:tcPr>
            <w:tcW w:w="1276" w:type="dxa"/>
          </w:tcPr>
          <w:p w:rsidR="00F4358D" w:rsidRDefault="00D1585A">
            <w:pPr>
              <w:jc w:val="center"/>
              <w:rPr>
                <w:b/>
                <w:noProof/>
                <w:sz w:val="20"/>
              </w:rPr>
            </w:pPr>
            <w:r>
              <w:rPr>
                <w:b/>
                <w:noProof/>
                <w:sz w:val="20"/>
              </w:rPr>
              <w:t>2021</w:t>
            </w:r>
          </w:p>
        </w:tc>
        <w:tc>
          <w:tcPr>
            <w:tcW w:w="1418" w:type="dxa"/>
          </w:tcPr>
          <w:p w:rsidR="00F4358D" w:rsidRDefault="00D1585A">
            <w:pPr>
              <w:jc w:val="center"/>
              <w:rPr>
                <w:b/>
                <w:noProof/>
                <w:sz w:val="20"/>
              </w:rPr>
            </w:pPr>
            <w:r>
              <w:rPr>
                <w:b/>
                <w:noProof/>
                <w:sz w:val="20"/>
              </w:rPr>
              <w:t>2022</w:t>
            </w:r>
          </w:p>
        </w:tc>
        <w:tc>
          <w:tcPr>
            <w:tcW w:w="3118" w:type="dxa"/>
          </w:tcPr>
          <w:p w:rsidR="00F4358D" w:rsidRDefault="00D1585A">
            <w:pPr>
              <w:jc w:val="center"/>
              <w:rPr>
                <w:b/>
                <w:noProof/>
                <w:sz w:val="20"/>
              </w:rPr>
            </w:pPr>
            <w:r>
              <w:rPr>
                <w:b/>
                <w:noProof/>
                <w:sz w:val="20"/>
              </w:rPr>
              <w:t>KOKKU</w:t>
            </w:r>
          </w:p>
        </w:tc>
      </w:tr>
      <w:tr w:rsidR="00F4358D">
        <w:tc>
          <w:tcPr>
            <w:tcW w:w="3600" w:type="dxa"/>
            <w:vAlign w:val="center"/>
          </w:tcPr>
          <w:p w:rsidR="00F4358D" w:rsidRDefault="00D1585A">
            <w:pPr>
              <w:spacing w:before="60" w:after="60"/>
              <w:jc w:val="center"/>
              <w:rPr>
                <w:noProof/>
              </w:rPr>
            </w:pPr>
            <w:r>
              <w:rPr>
                <w:noProof/>
                <w:sz w:val="22"/>
              </w:rPr>
              <w:t>Sidevõrkude, sisu ja tehnoloogia peadirektoraat</w:t>
            </w:r>
          </w:p>
        </w:tc>
        <w:tc>
          <w:tcPr>
            <w:tcW w:w="10150" w:type="dxa"/>
            <w:gridSpan w:val="7"/>
          </w:tcPr>
          <w:p w:rsidR="00F4358D" w:rsidRDefault="00F4358D">
            <w:pPr>
              <w:spacing w:before="60" w:after="60"/>
              <w:jc w:val="center"/>
              <w:rPr>
                <w:noProof/>
                <w:sz w:val="22"/>
              </w:rPr>
            </w:pPr>
          </w:p>
        </w:tc>
      </w:tr>
      <w:tr w:rsidR="00F4358D">
        <w:trPr>
          <w:trHeight w:val="313"/>
        </w:trPr>
        <w:tc>
          <w:tcPr>
            <w:tcW w:w="5694" w:type="dxa"/>
            <w:gridSpan w:val="3"/>
            <w:vAlign w:val="center"/>
          </w:tcPr>
          <w:p w:rsidR="00F4358D" w:rsidRDefault="00D1585A">
            <w:pPr>
              <w:spacing w:before="20" w:after="20"/>
              <w:rPr>
                <w:noProof/>
              </w:rPr>
            </w:pPr>
            <w:r>
              <w:rPr>
                <w:noProof/>
                <w:sz w:val="22"/>
              </w:rPr>
              <w:sym w:font="Wingdings" w:char="F09F"/>
            </w:r>
            <w:r>
              <w:rPr>
                <w:noProof/>
              </w:rPr>
              <w:t xml:space="preserve"> Inimressursid</w:t>
            </w:r>
          </w:p>
        </w:tc>
        <w:tc>
          <w:tcPr>
            <w:tcW w:w="1134" w:type="dxa"/>
            <w:vAlign w:val="center"/>
          </w:tcPr>
          <w:p w:rsidR="00F4358D" w:rsidRDefault="00D1585A">
            <w:pPr>
              <w:spacing w:before="20" w:after="20"/>
              <w:jc w:val="center"/>
              <w:rPr>
                <w:noProof/>
                <w:sz w:val="20"/>
              </w:rPr>
            </w:pPr>
            <w:r>
              <w:rPr>
                <w:noProof/>
                <w:sz w:val="20"/>
              </w:rPr>
              <w:t>0,216</w:t>
            </w:r>
          </w:p>
        </w:tc>
        <w:tc>
          <w:tcPr>
            <w:tcW w:w="1110" w:type="dxa"/>
            <w:vAlign w:val="center"/>
          </w:tcPr>
          <w:p w:rsidR="00F4358D" w:rsidRDefault="00D1585A">
            <w:pPr>
              <w:spacing w:before="20" w:after="20"/>
              <w:jc w:val="center"/>
              <w:rPr>
                <w:noProof/>
                <w:sz w:val="20"/>
              </w:rPr>
            </w:pPr>
            <w:r>
              <w:rPr>
                <w:noProof/>
                <w:sz w:val="20"/>
              </w:rPr>
              <w:t>0,846</w:t>
            </w:r>
          </w:p>
        </w:tc>
        <w:tc>
          <w:tcPr>
            <w:tcW w:w="1276" w:type="dxa"/>
            <w:vAlign w:val="center"/>
          </w:tcPr>
          <w:p w:rsidR="00F4358D" w:rsidRDefault="00D1585A">
            <w:pPr>
              <w:spacing w:before="20" w:after="20"/>
              <w:jc w:val="center"/>
              <w:rPr>
                <w:noProof/>
                <w:sz w:val="20"/>
              </w:rPr>
            </w:pPr>
            <w:r>
              <w:rPr>
                <w:noProof/>
                <w:sz w:val="20"/>
              </w:rPr>
              <w:t>0,846</w:t>
            </w:r>
          </w:p>
        </w:tc>
        <w:tc>
          <w:tcPr>
            <w:tcW w:w="1418" w:type="dxa"/>
            <w:vAlign w:val="center"/>
          </w:tcPr>
          <w:p w:rsidR="00F4358D" w:rsidRDefault="00D1585A">
            <w:pPr>
              <w:spacing w:before="20" w:after="20"/>
              <w:jc w:val="center"/>
              <w:rPr>
                <w:noProof/>
                <w:sz w:val="20"/>
              </w:rPr>
            </w:pPr>
            <w:r>
              <w:rPr>
                <w:noProof/>
                <w:sz w:val="20"/>
              </w:rPr>
              <w:t>0,846</w:t>
            </w:r>
          </w:p>
        </w:tc>
        <w:tc>
          <w:tcPr>
            <w:tcW w:w="3118" w:type="dxa"/>
            <w:vAlign w:val="center"/>
          </w:tcPr>
          <w:p w:rsidR="00F4358D" w:rsidRDefault="00D1585A">
            <w:pPr>
              <w:spacing w:before="20" w:after="20"/>
              <w:jc w:val="center"/>
              <w:rPr>
                <w:b/>
                <w:noProof/>
                <w:sz w:val="20"/>
              </w:rPr>
            </w:pPr>
            <w:r>
              <w:rPr>
                <w:b/>
                <w:noProof/>
                <w:sz w:val="20"/>
              </w:rPr>
              <w:t>2,754</w:t>
            </w:r>
          </w:p>
        </w:tc>
      </w:tr>
      <w:tr w:rsidR="00F4358D">
        <w:trPr>
          <w:trHeight w:val="351"/>
        </w:trPr>
        <w:tc>
          <w:tcPr>
            <w:tcW w:w="5694" w:type="dxa"/>
            <w:gridSpan w:val="3"/>
            <w:vAlign w:val="center"/>
          </w:tcPr>
          <w:p w:rsidR="00F4358D" w:rsidRDefault="00D1585A">
            <w:pPr>
              <w:spacing w:before="20" w:after="20"/>
              <w:rPr>
                <w:noProof/>
              </w:rPr>
            </w:pPr>
            <w:r>
              <w:rPr>
                <w:noProof/>
                <w:sz w:val="22"/>
              </w:rPr>
              <w:sym w:font="Wingdings" w:char="F09F"/>
            </w:r>
            <w:r>
              <w:rPr>
                <w:noProof/>
              </w:rPr>
              <w:t xml:space="preserve"> Muud halduskulud</w:t>
            </w:r>
          </w:p>
        </w:tc>
        <w:tc>
          <w:tcPr>
            <w:tcW w:w="1134" w:type="dxa"/>
            <w:vAlign w:val="center"/>
          </w:tcPr>
          <w:p w:rsidR="00F4358D" w:rsidRDefault="00D1585A">
            <w:pPr>
              <w:spacing w:before="20" w:after="20"/>
              <w:jc w:val="center"/>
              <w:rPr>
                <w:noProof/>
                <w:sz w:val="20"/>
              </w:rPr>
            </w:pPr>
            <w:r>
              <w:rPr>
                <w:noProof/>
                <w:sz w:val="20"/>
              </w:rPr>
              <w:t>0,102</w:t>
            </w:r>
          </w:p>
        </w:tc>
        <w:tc>
          <w:tcPr>
            <w:tcW w:w="1110" w:type="dxa"/>
            <w:vAlign w:val="center"/>
          </w:tcPr>
          <w:p w:rsidR="00F4358D" w:rsidRDefault="00D1585A">
            <w:pPr>
              <w:spacing w:before="20" w:after="20"/>
              <w:jc w:val="center"/>
              <w:rPr>
                <w:noProof/>
                <w:sz w:val="20"/>
              </w:rPr>
            </w:pPr>
            <w:r>
              <w:rPr>
                <w:noProof/>
                <w:sz w:val="20"/>
              </w:rPr>
              <w:t>0,235</w:t>
            </w:r>
          </w:p>
        </w:tc>
        <w:tc>
          <w:tcPr>
            <w:tcW w:w="1276" w:type="dxa"/>
            <w:vAlign w:val="center"/>
          </w:tcPr>
          <w:p w:rsidR="00F4358D" w:rsidRDefault="00D1585A">
            <w:pPr>
              <w:spacing w:before="20" w:after="20"/>
              <w:jc w:val="center"/>
              <w:rPr>
                <w:noProof/>
                <w:sz w:val="20"/>
              </w:rPr>
            </w:pPr>
            <w:r>
              <w:rPr>
                <w:noProof/>
                <w:sz w:val="20"/>
              </w:rPr>
              <w:t>0,238</w:t>
            </w:r>
          </w:p>
        </w:tc>
        <w:tc>
          <w:tcPr>
            <w:tcW w:w="1418" w:type="dxa"/>
            <w:vAlign w:val="center"/>
          </w:tcPr>
          <w:p w:rsidR="00F4358D" w:rsidRDefault="00D1585A">
            <w:pPr>
              <w:spacing w:before="20" w:after="20"/>
              <w:jc w:val="center"/>
              <w:rPr>
                <w:noProof/>
                <w:sz w:val="20"/>
              </w:rPr>
            </w:pPr>
            <w:r>
              <w:rPr>
                <w:noProof/>
                <w:sz w:val="20"/>
              </w:rPr>
              <w:t>0,242</w:t>
            </w:r>
          </w:p>
        </w:tc>
        <w:tc>
          <w:tcPr>
            <w:tcW w:w="3118" w:type="dxa"/>
            <w:vAlign w:val="center"/>
          </w:tcPr>
          <w:p w:rsidR="00F4358D" w:rsidRDefault="00D1585A">
            <w:pPr>
              <w:spacing w:before="20" w:after="20"/>
              <w:jc w:val="center"/>
              <w:rPr>
                <w:b/>
                <w:noProof/>
                <w:sz w:val="20"/>
              </w:rPr>
            </w:pPr>
            <w:r>
              <w:rPr>
                <w:b/>
                <w:noProof/>
                <w:sz w:val="20"/>
              </w:rPr>
              <w:t>0,817</w:t>
            </w:r>
          </w:p>
        </w:tc>
      </w:tr>
      <w:tr w:rsidR="00F4358D">
        <w:tc>
          <w:tcPr>
            <w:tcW w:w="3600" w:type="dxa"/>
            <w:vAlign w:val="center"/>
          </w:tcPr>
          <w:p w:rsidR="00F4358D" w:rsidRDefault="00D1585A">
            <w:pPr>
              <w:jc w:val="center"/>
              <w:rPr>
                <w:b/>
                <w:noProof/>
              </w:rPr>
            </w:pPr>
            <w:r>
              <w:rPr>
                <w:noProof/>
                <w:sz w:val="22"/>
              </w:rPr>
              <w:t xml:space="preserve">Sidevõrkude, sisu ja tehnoloogia </w:t>
            </w:r>
            <w:r>
              <w:rPr>
                <w:b/>
                <w:noProof/>
                <w:sz w:val="22"/>
              </w:rPr>
              <w:t>peadirektoraat</w:t>
            </w:r>
            <w:r>
              <w:rPr>
                <w:b/>
                <w:noProof/>
              </w:rPr>
              <w:t xml:space="preserve"> KOKKU</w:t>
            </w:r>
          </w:p>
        </w:tc>
        <w:tc>
          <w:tcPr>
            <w:tcW w:w="2094" w:type="dxa"/>
            <w:gridSpan w:val="2"/>
            <w:vAlign w:val="center"/>
          </w:tcPr>
          <w:p w:rsidR="00F4358D" w:rsidRDefault="00D1585A">
            <w:pPr>
              <w:rPr>
                <w:noProof/>
                <w:sz w:val="14"/>
              </w:rPr>
            </w:pPr>
            <w:r>
              <w:rPr>
                <w:noProof/>
                <w:sz w:val="18"/>
              </w:rPr>
              <w:t xml:space="preserve">Assigneeringud </w:t>
            </w:r>
          </w:p>
        </w:tc>
        <w:tc>
          <w:tcPr>
            <w:tcW w:w="1134" w:type="dxa"/>
            <w:vAlign w:val="center"/>
          </w:tcPr>
          <w:p w:rsidR="00F4358D" w:rsidRDefault="00D1585A">
            <w:pPr>
              <w:spacing w:before="20" w:after="20"/>
              <w:jc w:val="center"/>
              <w:rPr>
                <w:noProof/>
                <w:sz w:val="20"/>
              </w:rPr>
            </w:pPr>
            <w:r>
              <w:rPr>
                <w:noProof/>
                <w:sz w:val="20"/>
              </w:rPr>
              <w:t>0,318</w:t>
            </w:r>
          </w:p>
        </w:tc>
        <w:tc>
          <w:tcPr>
            <w:tcW w:w="1110" w:type="dxa"/>
            <w:vAlign w:val="center"/>
          </w:tcPr>
          <w:p w:rsidR="00F4358D" w:rsidRDefault="00D1585A">
            <w:pPr>
              <w:spacing w:before="20" w:after="20"/>
              <w:jc w:val="center"/>
              <w:rPr>
                <w:noProof/>
                <w:sz w:val="20"/>
              </w:rPr>
            </w:pPr>
            <w:r>
              <w:rPr>
                <w:noProof/>
                <w:sz w:val="20"/>
              </w:rPr>
              <w:t>1,081</w:t>
            </w:r>
          </w:p>
        </w:tc>
        <w:tc>
          <w:tcPr>
            <w:tcW w:w="1276" w:type="dxa"/>
            <w:vAlign w:val="center"/>
          </w:tcPr>
          <w:p w:rsidR="00F4358D" w:rsidRDefault="00D1585A">
            <w:pPr>
              <w:spacing w:before="20" w:after="20"/>
              <w:jc w:val="center"/>
              <w:rPr>
                <w:noProof/>
                <w:sz w:val="20"/>
              </w:rPr>
            </w:pPr>
            <w:r>
              <w:rPr>
                <w:noProof/>
                <w:sz w:val="20"/>
              </w:rPr>
              <w:t>1,084</w:t>
            </w:r>
          </w:p>
        </w:tc>
        <w:tc>
          <w:tcPr>
            <w:tcW w:w="1418" w:type="dxa"/>
            <w:vAlign w:val="center"/>
          </w:tcPr>
          <w:p w:rsidR="00F4358D" w:rsidRDefault="00D1585A">
            <w:pPr>
              <w:spacing w:before="20" w:after="20"/>
              <w:jc w:val="center"/>
              <w:rPr>
                <w:noProof/>
                <w:sz w:val="20"/>
              </w:rPr>
            </w:pPr>
            <w:r>
              <w:rPr>
                <w:noProof/>
                <w:sz w:val="20"/>
              </w:rPr>
              <w:t>1,088</w:t>
            </w:r>
          </w:p>
        </w:tc>
        <w:tc>
          <w:tcPr>
            <w:tcW w:w="3118" w:type="dxa"/>
            <w:vAlign w:val="center"/>
          </w:tcPr>
          <w:p w:rsidR="00F4358D" w:rsidRDefault="00D1585A">
            <w:pPr>
              <w:spacing w:before="20" w:after="20"/>
              <w:jc w:val="center"/>
              <w:rPr>
                <w:b/>
                <w:noProof/>
                <w:sz w:val="20"/>
              </w:rPr>
            </w:pPr>
            <w:r>
              <w:rPr>
                <w:b/>
                <w:noProof/>
                <w:sz w:val="20"/>
              </w:rPr>
              <w:t>3,571</w:t>
            </w:r>
          </w:p>
        </w:tc>
      </w:tr>
    </w:tbl>
    <w:p w:rsidR="00F4358D" w:rsidRDefault="00D1585A">
      <w:pPr>
        <w:rPr>
          <w:noProof/>
          <w:sz w:val="20"/>
          <w:u w:val="single"/>
        </w:rPr>
      </w:pPr>
      <w:r>
        <w:rPr>
          <w:noProof/>
          <w:sz w:val="20"/>
          <w:u w:val="single"/>
        </w:rPr>
        <w:t>Personalikulud arvutati lähtuvalt kavandatavast värbamiskuupäevast (tööhõive algab eeldatavasti 1. juulil 2019).</w:t>
      </w:r>
    </w:p>
    <w:p w:rsidR="00F4358D" w:rsidRDefault="00D1585A">
      <w:pPr>
        <w:rPr>
          <w:noProof/>
          <w:sz w:val="20"/>
          <w:u w:val="single"/>
        </w:rPr>
      </w:pPr>
      <w:r>
        <w:rPr>
          <w:noProof/>
          <w:sz w:val="20"/>
          <w:u w:val="single"/>
        </w:rPr>
        <w:t>Ressursside</w:t>
      </w:r>
      <w:r>
        <w:rPr>
          <w:noProof/>
          <w:sz w:val="20"/>
          <w:u w:val="single"/>
        </w:rPr>
        <w:t xml:space="preserve"> väljavaade pärast 2020. aastat on hinnanguline ja see ei piira 2020. aasta järgset mitmeaastast finantsraamistikku käsitlevate komisjoni ettepanekute kohaldamist</w:t>
      </w:r>
    </w:p>
    <w:p w:rsidR="00F4358D" w:rsidRDefault="00F4358D">
      <w:pPr>
        <w:rPr>
          <w:noProof/>
        </w:rPr>
      </w:pPr>
    </w:p>
    <w:p w:rsidR="00F4358D" w:rsidRDefault="00F4358D">
      <w:pPr>
        <w:rPr>
          <w:noProof/>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2094"/>
        <w:gridCol w:w="1110"/>
        <w:gridCol w:w="1134"/>
        <w:gridCol w:w="1276"/>
        <w:gridCol w:w="1418"/>
        <w:gridCol w:w="3118"/>
      </w:tblGrid>
      <w:tr w:rsidR="00F4358D">
        <w:tc>
          <w:tcPr>
            <w:tcW w:w="3600" w:type="dxa"/>
            <w:shd w:val="thinDiagStripe" w:color="C0C0C0" w:fill="auto"/>
            <w:vAlign w:val="center"/>
          </w:tcPr>
          <w:p w:rsidR="00F4358D" w:rsidRDefault="00D1585A">
            <w:pPr>
              <w:jc w:val="center"/>
              <w:rPr>
                <w:b/>
                <w:noProof/>
              </w:rPr>
            </w:pPr>
            <w:r>
              <w:rPr>
                <w:noProof/>
                <w:sz w:val="22"/>
              </w:rPr>
              <w:t>Mitmeaastase finantsraamistiku</w:t>
            </w:r>
            <w:r>
              <w:rPr>
                <w:noProof/>
                <w:sz w:val="22"/>
              </w:rPr>
              <w:br/>
            </w:r>
            <w:r>
              <w:rPr>
                <w:b/>
                <w:noProof/>
                <w:sz w:val="22"/>
              </w:rPr>
              <w:t>RUBRIIGI 5</w:t>
            </w:r>
            <w:r>
              <w:rPr>
                <w:noProof/>
                <w:sz w:val="22"/>
              </w:rPr>
              <w:br/>
            </w:r>
            <w:r>
              <w:rPr>
                <w:b/>
                <w:noProof/>
                <w:sz w:val="22"/>
              </w:rPr>
              <w:t xml:space="preserve">assigneeringud KOKKU </w:t>
            </w:r>
          </w:p>
        </w:tc>
        <w:tc>
          <w:tcPr>
            <w:tcW w:w="2094" w:type="dxa"/>
            <w:vAlign w:val="center"/>
          </w:tcPr>
          <w:p w:rsidR="00F4358D" w:rsidRDefault="00D1585A">
            <w:pPr>
              <w:spacing w:before="40" w:after="40"/>
              <w:rPr>
                <w:noProof/>
              </w:rPr>
            </w:pPr>
            <w:r>
              <w:rPr>
                <w:noProof/>
                <w:sz w:val="18"/>
              </w:rPr>
              <w:t>(Kulukohustuste kogusumma =</w:t>
            </w:r>
            <w:r>
              <w:rPr>
                <w:noProof/>
                <w:sz w:val="18"/>
              </w:rPr>
              <w:t xml:space="preserve"> maksete kogusumma)</w:t>
            </w:r>
          </w:p>
        </w:tc>
        <w:tc>
          <w:tcPr>
            <w:tcW w:w="1110" w:type="dxa"/>
            <w:vAlign w:val="center"/>
          </w:tcPr>
          <w:p w:rsidR="00F4358D" w:rsidRDefault="00D1585A">
            <w:pPr>
              <w:spacing w:before="20" w:after="20"/>
              <w:jc w:val="center"/>
              <w:rPr>
                <w:noProof/>
                <w:sz w:val="20"/>
              </w:rPr>
            </w:pPr>
            <w:r>
              <w:rPr>
                <w:noProof/>
                <w:sz w:val="20"/>
              </w:rPr>
              <w:t>0,318</w:t>
            </w:r>
          </w:p>
        </w:tc>
        <w:tc>
          <w:tcPr>
            <w:tcW w:w="1134" w:type="dxa"/>
            <w:vAlign w:val="center"/>
          </w:tcPr>
          <w:p w:rsidR="00F4358D" w:rsidRDefault="00D1585A">
            <w:pPr>
              <w:spacing w:before="20" w:after="20"/>
              <w:jc w:val="center"/>
              <w:rPr>
                <w:noProof/>
                <w:sz w:val="20"/>
              </w:rPr>
            </w:pPr>
            <w:r>
              <w:rPr>
                <w:noProof/>
                <w:sz w:val="20"/>
              </w:rPr>
              <w:t>1,081</w:t>
            </w:r>
          </w:p>
        </w:tc>
        <w:tc>
          <w:tcPr>
            <w:tcW w:w="1276" w:type="dxa"/>
            <w:vAlign w:val="center"/>
          </w:tcPr>
          <w:p w:rsidR="00F4358D" w:rsidRDefault="00D1585A">
            <w:pPr>
              <w:spacing w:before="20" w:after="20"/>
              <w:jc w:val="center"/>
              <w:rPr>
                <w:noProof/>
                <w:sz w:val="20"/>
              </w:rPr>
            </w:pPr>
            <w:r>
              <w:rPr>
                <w:noProof/>
                <w:sz w:val="20"/>
              </w:rPr>
              <w:t>1,084</w:t>
            </w:r>
          </w:p>
        </w:tc>
        <w:tc>
          <w:tcPr>
            <w:tcW w:w="1418" w:type="dxa"/>
            <w:vAlign w:val="center"/>
          </w:tcPr>
          <w:p w:rsidR="00F4358D" w:rsidRDefault="00D1585A">
            <w:pPr>
              <w:spacing w:before="20" w:after="20"/>
              <w:jc w:val="center"/>
              <w:rPr>
                <w:noProof/>
                <w:sz w:val="20"/>
              </w:rPr>
            </w:pPr>
            <w:r>
              <w:rPr>
                <w:noProof/>
                <w:sz w:val="20"/>
              </w:rPr>
              <w:t>1,088</w:t>
            </w:r>
          </w:p>
        </w:tc>
        <w:tc>
          <w:tcPr>
            <w:tcW w:w="3118" w:type="dxa"/>
            <w:vAlign w:val="center"/>
          </w:tcPr>
          <w:p w:rsidR="00F4358D" w:rsidRDefault="00D1585A">
            <w:pPr>
              <w:spacing w:before="20" w:after="20"/>
              <w:jc w:val="center"/>
              <w:rPr>
                <w:b/>
                <w:noProof/>
                <w:sz w:val="20"/>
              </w:rPr>
            </w:pPr>
            <w:r>
              <w:rPr>
                <w:b/>
                <w:noProof/>
                <w:sz w:val="20"/>
              </w:rPr>
              <w:t>3,571</w:t>
            </w:r>
          </w:p>
        </w:tc>
      </w:tr>
    </w:tbl>
    <w:p w:rsidR="00F4358D" w:rsidRDefault="00F4358D">
      <w:pPr>
        <w:ind w:left="6480" w:firstLine="720"/>
        <w:jc w:val="center"/>
        <w:rPr>
          <w:noProof/>
          <w:sz w:val="20"/>
        </w:rPr>
      </w:pPr>
    </w:p>
    <w:p w:rsidR="00F4358D" w:rsidRDefault="00D1585A">
      <w:pPr>
        <w:ind w:left="6480" w:firstLine="720"/>
        <w:jc w:val="center"/>
        <w:rPr>
          <w:noProof/>
          <w:sz w:val="20"/>
        </w:rPr>
      </w:pPr>
      <w:r>
        <w:rPr>
          <w:noProof/>
          <w:sz w:val="20"/>
        </w:rPr>
        <w:t>miljonites eurodes (kolm kohta pärast koma)</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560"/>
        <w:gridCol w:w="534"/>
        <w:gridCol w:w="1134"/>
        <w:gridCol w:w="1110"/>
        <w:gridCol w:w="1276"/>
        <w:gridCol w:w="1418"/>
        <w:gridCol w:w="3118"/>
      </w:tblGrid>
      <w:tr w:rsidR="00F4358D">
        <w:tc>
          <w:tcPr>
            <w:tcW w:w="3600" w:type="dxa"/>
            <w:tcBorders>
              <w:top w:val="nil"/>
              <w:left w:val="nil"/>
              <w:right w:val="nil"/>
            </w:tcBorders>
            <w:vAlign w:val="center"/>
          </w:tcPr>
          <w:p w:rsidR="00F4358D" w:rsidRDefault="00F4358D">
            <w:pPr>
              <w:jc w:val="center"/>
              <w:rPr>
                <w:noProof/>
              </w:rPr>
            </w:pPr>
          </w:p>
        </w:tc>
        <w:tc>
          <w:tcPr>
            <w:tcW w:w="1560" w:type="dxa"/>
            <w:tcBorders>
              <w:top w:val="nil"/>
              <w:left w:val="nil"/>
              <w:right w:val="nil"/>
            </w:tcBorders>
          </w:tcPr>
          <w:p w:rsidR="00F4358D" w:rsidRDefault="00F4358D">
            <w:pPr>
              <w:rPr>
                <w:noProof/>
                <w:sz w:val="20"/>
              </w:rPr>
            </w:pPr>
          </w:p>
        </w:tc>
        <w:tc>
          <w:tcPr>
            <w:tcW w:w="534" w:type="dxa"/>
            <w:tcBorders>
              <w:top w:val="nil"/>
              <w:left w:val="nil"/>
            </w:tcBorders>
          </w:tcPr>
          <w:p w:rsidR="00F4358D" w:rsidRDefault="00F4358D">
            <w:pPr>
              <w:jc w:val="center"/>
              <w:rPr>
                <w:noProof/>
                <w:sz w:val="20"/>
              </w:rPr>
            </w:pPr>
          </w:p>
        </w:tc>
        <w:tc>
          <w:tcPr>
            <w:tcW w:w="1134" w:type="dxa"/>
            <w:vAlign w:val="center"/>
          </w:tcPr>
          <w:p w:rsidR="00F4358D" w:rsidRDefault="00D1585A">
            <w:pPr>
              <w:jc w:val="center"/>
              <w:rPr>
                <w:noProof/>
                <w:sz w:val="20"/>
              </w:rPr>
            </w:pPr>
            <w:r>
              <w:rPr>
                <w:b/>
                <w:noProof/>
                <w:sz w:val="20"/>
              </w:rPr>
              <w:t>2019</w:t>
            </w:r>
          </w:p>
        </w:tc>
        <w:tc>
          <w:tcPr>
            <w:tcW w:w="1110" w:type="dxa"/>
          </w:tcPr>
          <w:p w:rsidR="00F4358D" w:rsidRDefault="00D1585A">
            <w:pPr>
              <w:jc w:val="center"/>
              <w:rPr>
                <w:b/>
                <w:noProof/>
                <w:sz w:val="20"/>
              </w:rPr>
            </w:pPr>
            <w:r>
              <w:rPr>
                <w:b/>
                <w:noProof/>
                <w:sz w:val="20"/>
              </w:rPr>
              <w:t>2020</w:t>
            </w:r>
          </w:p>
        </w:tc>
        <w:tc>
          <w:tcPr>
            <w:tcW w:w="1276" w:type="dxa"/>
          </w:tcPr>
          <w:p w:rsidR="00F4358D" w:rsidRDefault="00D1585A">
            <w:pPr>
              <w:jc w:val="center"/>
              <w:rPr>
                <w:b/>
                <w:noProof/>
                <w:sz w:val="20"/>
              </w:rPr>
            </w:pPr>
            <w:r>
              <w:rPr>
                <w:b/>
                <w:noProof/>
                <w:sz w:val="20"/>
              </w:rPr>
              <w:t>2021</w:t>
            </w:r>
          </w:p>
        </w:tc>
        <w:tc>
          <w:tcPr>
            <w:tcW w:w="1418" w:type="dxa"/>
            <w:vAlign w:val="center"/>
          </w:tcPr>
          <w:p w:rsidR="00F4358D" w:rsidRDefault="00D1585A">
            <w:pPr>
              <w:jc w:val="center"/>
              <w:rPr>
                <w:noProof/>
                <w:sz w:val="20"/>
              </w:rPr>
            </w:pPr>
            <w:r>
              <w:rPr>
                <w:b/>
                <w:noProof/>
                <w:sz w:val="20"/>
              </w:rPr>
              <w:t>2022</w:t>
            </w:r>
          </w:p>
        </w:tc>
        <w:tc>
          <w:tcPr>
            <w:tcW w:w="3118" w:type="dxa"/>
            <w:vAlign w:val="center"/>
          </w:tcPr>
          <w:p w:rsidR="00F4358D" w:rsidRDefault="00D1585A">
            <w:pPr>
              <w:jc w:val="center"/>
              <w:rPr>
                <w:b/>
                <w:noProof/>
                <w:sz w:val="20"/>
              </w:rPr>
            </w:pPr>
            <w:r>
              <w:rPr>
                <w:b/>
                <w:noProof/>
                <w:sz w:val="20"/>
              </w:rPr>
              <w:t>KOKKU</w:t>
            </w:r>
          </w:p>
        </w:tc>
      </w:tr>
      <w:tr w:rsidR="00F4358D">
        <w:tc>
          <w:tcPr>
            <w:tcW w:w="3600" w:type="dxa"/>
            <w:vMerge w:val="restart"/>
            <w:shd w:val="clear" w:color="auto" w:fill="C0C0C0"/>
            <w:vAlign w:val="center"/>
          </w:tcPr>
          <w:p w:rsidR="00F4358D" w:rsidRDefault="00D1585A">
            <w:pPr>
              <w:jc w:val="center"/>
              <w:rPr>
                <w:b/>
                <w:noProof/>
              </w:rPr>
            </w:pPr>
            <w:r>
              <w:rPr>
                <w:noProof/>
              </w:rPr>
              <w:t>Mitmeaastase finantsraamistiku</w:t>
            </w:r>
            <w:r>
              <w:rPr>
                <w:noProof/>
                <w:sz w:val="22"/>
              </w:rPr>
              <w:br/>
            </w:r>
            <w:r>
              <w:rPr>
                <w:b/>
                <w:noProof/>
                <w:sz w:val="22"/>
              </w:rPr>
              <w:t>rubriikide 1–5</w:t>
            </w:r>
            <w:r>
              <w:rPr>
                <w:noProof/>
                <w:sz w:val="22"/>
              </w:rPr>
              <w:br/>
            </w:r>
            <w:r>
              <w:rPr>
                <w:b/>
                <w:noProof/>
                <w:sz w:val="22"/>
              </w:rPr>
              <w:t xml:space="preserve">assigneeringud KOKKU </w:t>
            </w:r>
          </w:p>
        </w:tc>
        <w:tc>
          <w:tcPr>
            <w:tcW w:w="2094" w:type="dxa"/>
            <w:gridSpan w:val="2"/>
            <w:vAlign w:val="center"/>
          </w:tcPr>
          <w:p w:rsidR="00F4358D" w:rsidRDefault="00D1585A">
            <w:pPr>
              <w:rPr>
                <w:noProof/>
                <w:sz w:val="14"/>
              </w:rPr>
            </w:pPr>
            <w:r>
              <w:rPr>
                <w:noProof/>
                <w:sz w:val="18"/>
              </w:rPr>
              <w:t>Kulukohustused</w:t>
            </w:r>
          </w:p>
        </w:tc>
        <w:tc>
          <w:tcPr>
            <w:tcW w:w="1134" w:type="dxa"/>
            <w:vAlign w:val="center"/>
          </w:tcPr>
          <w:p w:rsidR="00F4358D" w:rsidRDefault="00D1585A">
            <w:pPr>
              <w:spacing w:before="60" w:after="60"/>
              <w:jc w:val="center"/>
              <w:rPr>
                <w:noProof/>
                <w:sz w:val="20"/>
              </w:rPr>
            </w:pPr>
            <w:r>
              <w:rPr>
                <w:noProof/>
                <w:sz w:val="20"/>
              </w:rPr>
              <w:t>16,868</w:t>
            </w:r>
          </w:p>
        </w:tc>
        <w:tc>
          <w:tcPr>
            <w:tcW w:w="1110" w:type="dxa"/>
            <w:vAlign w:val="center"/>
          </w:tcPr>
          <w:p w:rsidR="00F4358D" w:rsidRDefault="00D1585A">
            <w:pPr>
              <w:spacing w:before="60" w:after="60"/>
              <w:jc w:val="center"/>
              <w:rPr>
                <w:noProof/>
                <w:sz w:val="20"/>
              </w:rPr>
            </w:pPr>
            <w:r>
              <w:rPr>
                <w:noProof/>
                <w:sz w:val="20"/>
              </w:rPr>
              <w:t>21,727</w:t>
            </w:r>
          </w:p>
        </w:tc>
        <w:tc>
          <w:tcPr>
            <w:tcW w:w="1276" w:type="dxa"/>
            <w:vAlign w:val="center"/>
          </w:tcPr>
          <w:p w:rsidR="00F4358D" w:rsidRDefault="00D1585A">
            <w:pPr>
              <w:spacing w:before="60" w:after="60"/>
              <w:jc w:val="center"/>
              <w:rPr>
                <w:noProof/>
                <w:sz w:val="20"/>
              </w:rPr>
            </w:pPr>
            <w:r>
              <w:rPr>
                <w:noProof/>
                <w:sz w:val="20"/>
              </w:rPr>
              <w:t>23,332</w:t>
            </w:r>
          </w:p>
        </w:tc>
        <w:tc>
          <w:tcPr>
            <w:tcW w:w="1418" w:type="dxa"/>
            <w:vAlign w:val="center"/>
          </w:tcPr>
          <w:p w:rsidR="00F4358D" w:rsidRDefault="00D1585A">
            <w:pPr>
              <w:spacing w:before="60" w:after="60"/>
              <w:jc w:val="center"/>
              <w:rPr>
                <w:noProof/>
                <w:sz w:val="20"/>
              </w:rPr>
            </w:pPr>
            <w:r>
              <w:rPr>
                <w:noProof/>
                <w:sz w:val="20"/>
              </w:rPr>
              <w:t>24,11</w:t>
            </w:r>
          </w:p>
        </w:tc>
        <w:tc>
          <w:tcPr>
            <w:tcW w:w="3118" w:type="dxa"/>
            <w:vAlign w:val="center"/>
          </w:tcPr>
          <w:p w:rsidR="00F4358D" w:rsidRDefault="00D1585A">
            <w:pPr>
              <w:spacing w:before="60" w:after="60"/>
              <w:jc w:val="center"/>
              <w:rPr>
                <w:b/>
                <w:noProof/>
                <w:sz w:val="20"/>
              </w:rPr>
            </w:pPr>
            <w:r>
              <w:rPr>
                <w:b/>
                <w:noProof/>
                <w:sz w:val="20"/>
              </w:rPr>
              <w:t>86,038</w:t>
            </w:r>
          </w:p>
        </w:tc>
      </w:tr>
      <w:tr w:rsidR="00F4358D">
        <w:tc>
          <w:tcPr>
            <w:tcW w:w="3600" w:type="dxa"/>
            <w:vMerge/>
            <w:vAlign w:val="center"/>
          </w:tcPr>
          <w:p w:rsidR="00F4358D" w:rsidRDefault="00F4358D">
            <w:pPr>
              <w:rPr>
                <w:b/>
                <w:noProof/>
              </w:rPr>
            </w:pPr>
          </w:p>
        </w:tc>
        <w:tc>
          <w:tcPr>
            <w:tcW w:w="2094" w:type="dxa"/>
            <w:gridSpan w:val="2"/>
            <w:vAlign w:val="center"/>
          </w:tcPr>
          <w:p w:rsidR="00F4358D" w:rsidRDefault="00D1585A">
            <w:pPr>
              <w:rPr>
                <w:noProof/>
                <w:sz w:val="14"/>
              </w:rPr>
            </w:pPr>
            <w:r>
              <w:rPr>
                <w:noProof/>
                <w:sz w:val="18"/>
              </w:rPr>
              <w:t>Maksed</w:t>
            </w:r>
          </w:p>
        </w:tc>
        <w:tc>
          <w:tcPr>
            <w:tcW w:w="1134" w:type="dxa"/>
            <w:vAlign w:val="center"/>
          </w:tcPr>
          <w:p w:rsidR="00F4358D" w:rsidRDefault="00D1585A">
            <w:pPr>
              <w:spacing w:before="60" w:after="60"/>
              <w:jc w:val="center"/>
              <w:rPr>
                <w:noProof/>
                <w:sz w:val="20"/>
              </w:rPr>
            </w:pPr>
            <w:r>
              <w:rPr>
                <w:noProof/>
                <w:sz w:val="20"/>
              </w:rPr>
              <w:t>16,868</w:t>
            </w:r>
          </w:p>
        </w:tc>
        <w:tc>
          <w:tcPr>
            <w:tcW w:w="1110" w:type="dxa"/>
            <w:vAlign w:val="center"/>
          </w:tcPr>
          <w:p w:rsidR="00F4358D" w:rsidRDefault="00D1585A">
            <w:pPr>
              <w:spacing w:before="60" w:after="60"/>
              <w:jc w:val="center"/>
              <w:rPr>
                <w:noProof/>
                <w:sz w:val="20"/>
              </w:rPr>
            </w:pPr>
            <w:r>
              <w:rPr>
                <w:noProof/>
                <w:sz w:val="20"/>
              </w:rPr>
              <w:t>21,727</w:t>
            </w:r>
          </w:p>
        </w:tc>
        <w:tc>
          <w:tcPr>
            <w:tcW w:w="1276" w:type="dxa"/>
            <w:vAlign w:val="center"/>
          </w:tcPr>
          <w:p w:rsidR="00F4358D" w:rsidRDefault="00D1585A">
            <w:pPr>
              <w:spacing w:before="60" w:after="60"/>
              <w:jc w:val="center"/>
              <w:rPr>
                <w:noProof/>
                <w:sz w:val="20"/>
              </w:rPr>
            </w:pPr>
            <w:r>
              <w:rPr>
                <w:noProof/>
                <w:sz w:val="20"/>
              </w:rPr>
              <w:t>23,332</w:t>
            </w:r>
          </w:p>
        </w:tc>
        <w:tc>
          <w:tcPr>
            <w:tcW w:w="1418" w:type="dxa"/>
            <w:vAlign w:val="center"/>
          </w:tcPr>
          <w:p w:rsidR="00F4358D" w:rsidRDefault="00D1585A">
            <w:pPr>
              <w:spacing w:before="60" w:after="60"/>
              <w:jc w:val="center"/>
              <w:rPr>
                <w:noProof/>
                <w:sz w:val="20"/>
              </w:rPr>
            </w:pPr>
            <w:r>
              <w:rPr>
                <w:noProof/>
                <w:sz w:val="20"/>
              </w:rPr>
              <w:t>24,11</w:t>
            </w:r>
          </w:p>
        </w:tc>
        <w:tc>
          <w:tcPr>
            <w:tcW w:w="3118" w:type="dxa"/>
            <w:vAlign w:val="center"/>
          </w:tcPr>
          <w:p w:rsidR="00F4358D" w:rsidRDefault="00D1585A">
            <w:pPr>
              <w:spacing w:before="60" w:after="60"/>
              <w:jc w:val="center"/>
              <w:rPr>
                <w:b/>
                <w:noProof/>
                <w:sz w:val="20"/>
              </w:rPr>
            </w:pPr>
            <w:r>
              <w:rPr>
                <w:b/>
                <w:noProof/>
                <w:sz w:val="20"/>
              </w:rPr>
              <w:t>86,038</w:t>
            </w:r>
          </w:p>
        </w:tc>
      </w:tr>
    </w:tbl>
    <w:p w:rsidR="00F4358D" w:rsidRDefault="00F4358D">
      <w:pPr>
        <w:rPr>
          <w:noProof/>
        </w:rPr>
        <w:sectPr w:rsidR="00F4358D" w:rsidSect="00D1585A">
          <w:headerReference w:type="default" r:id="rId22"/>
          <w:footerReference w:type="default" r:id="rId23"/>
          <w:headerReference w:type="first" r:id="rId24"/>
          <w:footerReference w:type="first" r:id="rId25"/>
          <w:pgSz w:w="15840" w:h="12240" w:orient="landscape"/>
          <w:pgMar w:top="1134" w:right="1077" w:bottom="902" w:left="1247" w:header="709" w:footer="510" w:gutter="0"/>
          <w:cols w:space="720"/>
          <w:docGrid w:linePitch="326"/>
        </w:sectPr>
      </w:pPr>
    </w:p>
    <w:p w:rsidR="00F4358D" w:rsidRDefault="00D1585A">
      <w:pPr>
        <w:pStyle w:val="ManualHeading3"/>
        <w:rPr>
          <w:bCs/>
          <w:noProof/>
          <w:szCs w:val="24"/>
        </w:rPr>
      </w:pPr>
      <w:r>
        <w:t>3.2.2.</w:t>
      </w:r>
      <w:r>
        <w:tab/>
      </w:r>
      <w:r>
        <w:rPr>
          <w:noProof/>
        </w:rPr>
        <w:t xml:space="preserve">Hinnanguline mõju ameti assigneeringutele </w:t>
      </w:r>
    </w:p>
    <w:p w:rsidR="00F4358D" w:rsidRDefault="00D1585A">
      <w:pPr>
        <w:pStyle w:val="Tiret1"/>
        <w:rPr>
          <w:noProof/>
        </w:rPr>
      </w:pPr>
      <w:r>
        <w:rPr>
          <w:noProof/>
        </w:rPr>
        <w:sym w:font="Wingdings" w:char="F0A8"/>
      </w:r>
      <w:r>
        <w:rPr>
          <w:noProof/>
        </w:rPr>
        <w:tab/>
        <w:t xml:space="preserve">Ettepanek/algatus ei hõlma tegevusassigneeringute kasutamist </w:t>
      </w:r>
    </w:p>
    <w:p w:rsidR="00F4358D" w:rsidRDefault="00D1585A">
      <w:pPr>
        <w:pStyle w:val="Tiret1"/>
        <w:rPr>
          <w:noProof/>
        </w:rPr>
      </w:pPr>
      <w:r>
        <w:rPr>
          <w:noProof/>
        </w:rPr>
        <w:sym w:font="Wingdings" w:char="F078"/>
      </w:r>
      <w:r>
        <w:rPr>
          <w:noProof/>
        </w:rPr>
        <w:tab/>
        <w:t xml:space="preserve">Ettepanek/algatus hõlmab </w:t>
      </w:r>
      <w:r>
        <w:rPr>
          <w:noProof/>
        </w:rPr>
        <w:t>tegevusassigneeringute kasutamist, mis toimub järgmiselt:</w:t>
      </w:r>
    </w:p>
    <w:p w:rsidR="00F4358D" w:rsidRDefault="00D1585A">
      <w:pPr>
        <w:jc w:val="right"/>
        <w:rPr>
          <w:noProof/>
          <w:sz w:val="20"/>
        </w:rPr>
      </w:pPr>
      <w:r>
        <w:rPr>
          <w:noProof/>
          <w:sz w:val="20"/>
        </w:rPr>
        <w:t>kulukohustuste assigneeringud miljonites eurodes (kolm kohta pärast koma)</w:t>
      </w:r>
    </w:p>
    <w:p w:rsidR="00F4358D" w:rsidRDefault="00F4358D">
      <w:pPr>
        <w:jc w:val="right"/>
        <w:rPr>
          <w:noProof/>
          <w:sz w:val="20"/>
        </w:rPr>
      </w:pPr>
    </w:p>
    <w:tbl>
      <w:tblPr>
        <w:tblW w:w="4340" w:type="pct"/>
        <w:jc w:val="center"/>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6"/>
        <w:gridCol w:w="1117"/>
        <w:gridCol w:w="1112"/>
        <w:gridCol w:w="1109"/>
        <w:gridCol w:w="1109"/>
        <w:gridCol w:w="1109"/>
      </w:tblGrid>
      <w:tr w:rsidR="00F4358D">
        <w:trPr>
          <w:cantSplit/>
          <w:jc w:val="center"/>
        </w:trPr>
        <w:tc>
          <w:tcPr>
            <w:tcW w:w="2806" w:type="pct"/>
            <w:vAlign w:val="center"/>
          </w:tcPr>
          <w:p w:rsidR="00F4358D" w:rsidRDefault="00D1585A">
            <w:pPr>
              <w:keepNext/>
              <w:keepLines/>
              <w:widowControl w:val="0"/>
              <w:ind w:right="-29"/>
              <w:jc w:val="center"/>
              <w:rPr>
                <w:noProof/>
                <w:sz w:val="20"/>
                <w:szCs w:val="20"/>
              </w:rPr>
            </w:pPr>
            <w:r>
              <w:rPr>
                <w:b/>
                <w:noProof/>
                <w:sz w:val="20"/>
              </w:rPr>
              <w:t>Täpsustage eesmärgid ja väljundid</w:t>
            </w:r>
            <w:r>
              <w:rPr>
                <w:rStyle w:val="FootnoteReference"/>
                <w:noProof/>
              </w:rPr>
              <w:footnoteReference w:id="56"/>
            </w:r>
          </w:p>
          <w:p w:rsidR="00F4358D" w:rsidRDefault="00D1585A">
            <w:pPr>
              <w:keepNext/>
              <w:keepLines/>
              <w:widowControl w:val="0"/>
              <w:ind w:right="-29"/>
              <w:jc w:val="center"/>
              <w:rPr>
                <w:noProof/>
                <w:sz w:val="20"/>
                <w:szCs w:val="20"/>
              </w:rPr>
            </w:pPr>
            <w:r>
              <w:rPr>
                <w:noProof/>
                <w:sz w:val="20"/>
                <w:szCs w:val="20"/>
              </w:rPr>
              <w:sym w:font="Wingdings" w:char="F0F2"/>
            </w:r>
          </w:p>
        </w:tc>
        <w:tc>
          <w:tcPr>
            <w:tcW w:w="441" w:type="pct"/>
            <w:vAlign w:val="center"/>
          </w:tcPr>
          <w:p w:rsidR="00F4358D" w:rsidRDefault="00D1585A">
            <w:pPr>
              <w:keepNext/>
              <w:keepLines/>
              <w:widowControl w:val="0"/>
              <w:ind w:right="-29"/>
              <w:jc w:val="center"/>
              <w:rPr>
                <w:noProof/>
                <w:sz w:val="20"/>
                <w:szCs w:val="20"/>
              </w:rPr>
            </w:pPr>
            <w:r>
              <w:rPr>
                <w:b/>
                <w:noProof/>
                <w:sz w:val="20"/>
              </w:rPr>
              <w:t>2019</w:t>
            </w:r>
          </w:p>
        </w:tc>
        <w:tc>
          <w:tcPr>
            <w:tcW w:w="439" w:type="pct"/>
            <w:tcBorders>
              <w:right w:val="single" w:sz="4" w:space="0" w:color="auto"/>
            </w:tcBorders>
            <w:vAlign w:val="center"/>
          </w:tcPr>
          <w:p w:rsidR="00F4358D" w:rsidRDefault="00D1585A">
            <w:pPr>
              <w:keepNext/>
              <w:keepLines/>
              <w:widowControl w:val="0"/>
              <w:ind w:right="-29"/>
              <w:jc w:val="center"/>
              <w:rPr>
                <w:noProof/>
                <w:sz w:val="20"/>
                <w:szCs w:val="20"/>
              </w:rPr>
            </w:pPr>
            <w:r>
              <w:rPr>
                <w:b/>
                <w:noProof/>
                <w:sz w:val="20"/>
              </w:rPr>
              <w:t>2020</w:t>
            </w:r>
          </w:p>
        </w:tc>
        <w:tc>
          <w:tcPr>
            <w:tcW w:w="438" w:type="pct"/>
            <w:vAlign w:val="center"/>
          </w:tcPr>
          <w:p w:rsidR="00F4358D" w:rsidRDefault="00D1585A">
            <w:pPr>
              <w:keepNext/>
              <w:keepLines/>
              <w:widowControl w:val="0"/>
              <w:ind w:right="-29"/>
              <w:jc w:val="center"/>
              <w:rPr>
                <w:b/>
                <w:noProof/>
                <w:sz w:val="20"/>
              </w:rPr>
            </w:pPr>
            <w:r>
              <w:rPr>
                <w:b/>
                <w:noProof/>
                <w:sz w:val="20"/>
              </w:rPr>
              <w:t>2021</w:t>
            </w:r>
          </w:p>
        </w:tc>
        <w:tc>
          <w:tcPr>
            <w:tcW w:w="438" w:type="pct"/>
            <w:tcBorders>
              <w:right w:val="single" w:sz="4" w:space="0" w:color="auto"/>
            </w:tcBorders>
            <w:vAlign w:val="center"/>
          </w:tcPr>
          <w:p w:rsidR="00F4358D" w:rsidRDefault="00D1585A">
            <w:pPr>
              <w:keepNext/>
              <w:keepLines/>
              <w:widowControl w:val="0"/>
              <w:ind w:right="-29"/>
              <w:jc w:val="center"/>
              <w:rPr>
                <w:b/>
                <w:noProof/>
                <w:sz w:val="20"/>
              </w:rPr>
            </w:pPr>
            <w:r>
              <w:rPr>
                <w:b/>
                <w:noProof/>
                <w:sz w:val="20"/>
              </w:rPr>
              <w:t>2022</w:t>
            </w:r>
          </w:p>
        </w:tc>
        <w:tc>
          <w:tcPr>
            <w:tcW w:w="438" w:type="pct"/>
            <w:tcBorders>
              <w:left w:val="single" w:sz="4" w:space="0" w:color="auto"/>
              <w:bottom w:val="nil"/>
            </w:tcBorders>
            <w:vAlign w:val="center"/>
          </w:tcPr>
          <w:p w:rsidR="00F4358D" w:rsidRDefault="00F4358D">
            <w:pPr>
              <w:keepNext/>
              <w:keepLines/>
              <w:widowControl w:val="0"/>
              <w:ind w:right="-29"/>
              <w:jc w:val="center"/>
              <w:rPr>
                <w:b/>
                <w:noProof/>
                <w:sz w:val="20"/>
                <w:szCs w:val="20"/>
              </w:rPr>
            </w:pPr>
          </w:p>
          <w:p w:rsidR="00F4358D" w:rsidRDefault="00D1585A">
            <w:pPr>
              <w:keepNext/>
              <w:keepLines/>
              <w:widowControl w:val="0"/>
              <w:ind w:right="-29"/>
              <w:jc w:val="center"/>
              <w:rPr>
                <w:b/>
                <w:noProof/>
                <w:sz w:val="20"/>
                <w:szCs w:val="20"/>
              </w:rPr>
            </w:pPr>
            <w:r>
              <w:rPr>
                <w:b/>
                <w:noProof/>
                <w:sz w:val="20"/>
              </w:rPr>
              <w:t>KOKKU</w:t>
            </w:r>
          </w:p>
          <w:p w:rsidR="00F4358D" w:rsidRDefault="00F4358D">
            <w:pPr>
              <w:keepNext/>
              <w:keepLines/>
              <w:widowControl w:val="0"/>
              <w:ind w:right="-29"/>
              <w:jc w:val="center"/>
              <w:rPr>
                <w:noProof/>
                <w:sz w:val="20"/>
                <w:szCs w:val="20"/>
              </w:rPr>
            </w:pPr>
          </w:p>
        </w:tc>
      </w:tr>
      <w:tr w:rsidR="00F4358D">
        <w:trPr>
          <w:trHeight w:val="425"/>
          <w:jc w:val="center"/>
        </w:trPr>
        <w:tc>
          <w:tcPr>
            <w:tcW w:w="2806" w:type="pct"/>
            <w:vAlign w:val="bottom"/>
          </w:tcPr>
          <w:p w:rsidR="00F4358D" w:rsidRDefault="00D1585A">
            <w:pPr>
              <w:keepNext/>
              <w:keepLines/>
              <w:widowControl w:val="0"/>
              <w:rPr>
                <w:b/>
                <w:bCs/>
                <w:noProof/>
                <w:sz w:val="20"/>
                <w:szCs w:val="20"/>
              </w:rPr>
            </w:pPr>
            <w:r>
              <w:rPr>
                <w:noProof/>
                <w:sz w:val="20"/>
              </w:rPr>
              <w:t xml:space="preserve">Liikmesriikide ja ettevõtjate suutlikkuse ja valmisoleku </w:t>
            </w:r>
            <w:r>
              <w:rPr>
                <w:noProof/>
                <w:sz w:val="20"/>
              </w:rPr>
              <w:t>arendamine.</w:t>
            </w:r>
          </w:p>
        </w:tc>
        <w:tc>
          <w:tcPr>
            <w:tcW w:w="441" w:type="pct"/>
            <w:vAlign w:val="center"/>
          </w:tcPr>
          <w:p w:rsidR="00F4358D" w:rsidRDefault="00D1585A">
            <w:pPr>
              <w:keepNext/>
              <w:keepLines/>
              <w:widowControl w:val="0"/>
              <w:jc w:val="center"/>
              <w:rPr>
                <w:noProof/>
                <w:sz w:val="20"/>
                <w:szCs w:val="20"/>
              </w:rPr>
            </w:pPr>
            <w:r>
              <w:rPr>
                <w:noProof/>
                <w:sz w:val="20"/>
              </w:rPr>
              <w:t xml:space="preserve">1,408 </w:t>
            </w:r>
          </w:p>
        </w:tc>
        <w:tc>
          <w:tcPr>
            <w:tcW w:w="439" w:type="pct"/>
            <w:tcBorders>
              <w:right w:val="single" w:sz="4" w:space="0" w:color="auto"/>
            </w:tcBorders>
            <w:vAlign w:val="center"/>
          </w:tcPr>
          <w:p w:rsidR="00F4358D" w:rsidRDefault="00D1585A">
            <w:pPr>
              <w:keepNext/>
              <w:keepLines/>
              <w:widowControl w:val="0"/>
              <w:jc w:val="center"/>
              <w:rPr>
                <w:noProof/>
                <w:sz w:val="20"/>
                <w:szCs w:val="20"/>
              </w:rPr>
            </w:pPr>
            <w:r>
              <w:rPr>
                <w:noProof/>
                <w:sz w:val="20"/>
              </w:rPr>
              <w:t xml:space="preserve">1,900 </w:t>
            </w:r>
          </w:p>
        </w:tc>
        <w:tc>
          <w:tcPr>
            <w:tcW w:w="438" w:type="pct"/>
            <w:vAlign w:val="center"/>
          </w:tcPr>
          <w:p w:rsidR="00F4358D" w:rsidRDefault="00D1585A">
            <w:pPr>
              <w:jc w:val="center"/>
              <w:rPr>
                <w:noProof/>
                <w:sz w:val="20"/>
                <w:szCs w:val="20"/>
              </w:rPr>
            </w:pPr>
            <w:r>
              <w:rPr>
                <w:noProof/>
                <w:sz w:val="20"/>
              </w:rPr>
              <w:t xml:space="preserve">1,931 </w:t>
            </w:r>
          </w:p>
        </w:tc>
        <w:tc>
          <w:tcPr>
            <w:tcW w:w="438" w:type="pct"/>
            <w:tcBorders>
              <w:right w:val="single" w:sz="4" w:space="0" w:color="auto"/>
            </w:tcBorders>
            <w:vAlign w:val="center"/>
          </w:tcPr>
          <w:p w:rsidR="00F4358D" w:rsidRDefault="00D1585A">
            <w:pPr>
              <w:jc w:val="center"/>
              <w:rPr>
                <w:noProof/>
                <w:sz w:val="20"/>
                <w:szCs w:val="20"/>
              </w:rPr>
            </w:pPr>
            <w:r>
              <w:rPr>
                <w:noProof/>
                <w:sz w:val="20"/>
              </w:rPr>
              <w:t xml:space="preserve">1,969 </w:t>
            </w:r>
          </w:p>
        </w:tc>
        <w:tc>
          <w:tcPr>
            <w:tcW w:w="438" w:type="pct"/>
            <w:tcBorders>
              <w:left w:val="single" w:sz="4" w:space="0" w:color="auto"/>
              <w:bottom w:val="nil"/>
            </w:tcBorders>
            <w:vAlign w:val="center"/>
          </w:tcPr>
          <w:p w:rsidR="00F4358D" w:rsidRDefault="00D1585A">
            <w:pPr>
              <w:jc w:val="center"/>
              <w:rPr>
                <w:b/>
                <w:noProof/>
                <w:sz w:val="20"/>
                <w:szCs w:val="20"/>
                <w:highlight w:val="yellow"/>
              </w:rPr>
            </w:pPr>
            <w:r>
              <w:rPr>
                <w:noProof/>
                <w:sz w:val="20"/>
              </w:rPr>
              <w:t xml:space="preserve">7,208 </w:t>
            </w:r>
          </w:p>
        </w:tc>
      </w:tr>
      <w:tr w:rsidR="00F4358D">
        <w:trPr>
          <w:jc w:val="center"/>
        </w:trPr>
        <w:tc>
          <w:tcPr>
            <w:tcW w:w="2806" w:type="pct"/>
            <w:vAlign w:val="bottom"/>
          </w:tcPr>
          <w:p w:rsidR="00F4358D" w:rsidRDefault="00D1585A">
            <w:pPr>
              <w:keepNext/>
              <w:keepLines/>
              <w:widowControl w:val="0"/>
              <w:rPr>
                <w:noProof/>
                <w:sz w:val="20"/>
                <w:szCs w:val="20"/>
              </w:rPr>
            </w:pPr>
            <w:r>
              <w:rPr>
                <w:noProof/>
                <w:sz w:val="20"/>
              </w:rPr>
              <w:t>Koostöö ja koordineerimise parandamine liikmesriikides ning ELi institutsioonides, organites ja asutustes.</w:t>
            </w:r>
          </w:p>
        </w:tc>
        <w:tc>
          <w:tcPr>
            <w:tcW w:w="441" w:type="pct"/>
            <w:vAlign w:val="center"/>
          </w:tcPr>
          <w:p w:rsidR="00F4358D" w:rsidRDefault="00D1585A">
            <w:pPr>
              <w:jc w:val="center"/>
              <w:rPr>
                <w:noProof/>
                <w:sz w:val="20"/>
                <w:szCs w:val="20"/>
              </w:rPr>
            </w:pPr>
            <w:r>
              <w:rPr>
                <w:noProof/>
                <w:sz w:val="20"/>
              </w:rPr>
              <w:t xml:space="preserve">0,939 </w:t>
            </w:r>
          </w:p>
        </w:tc>
        <w:tc>
          <w:tcPr>
            <w:tcW w:w="439" w:type="pct"/>
            <w:tcBorders>
              <w:right w:val="single" w:sz="4" w:space="0" w:color="auto"/>
            </w:tcBorders>
            <w:vAlign w:val="center"/>
          </w:tcPr>
          <w:p w:rsidR="00F4358D" w:rsidRDefault="00D1585A">
            <w:pPr>
              <w:jc w:val="center"/>
              <w:rPr>
                <w:b/>
                <w:noProof/>
                <w:sz w:val="20"/>
                <w:szCs w:val="20"/>
              </w:rPr>
            </w:pPr>
            <w:r>
              <w:rPr>
                <w:noProof/>
                <w:sz w:val="20"/>
              </w:rPr>
              <w:t xml:space="preserve">1,266 </w:t>
            </w:r>
          </w:p>
        </w:tc>
        <w:tc>
          <w:tcPr>
            <w:tcW w:w="438" w:type="pct"/>
            <w:vAlign w:val="center"/>
          </w:tcPr>
          <w:p w:rsidR="00F4358D" w:rsidRDefault="00D1585A">
            <w:pPr>
              <w:jc w:val="center"/>
              <w:rPr>
                <w:noProof/>
                <w:sz w:val="20"/>
                <w:szCs w:val="20"/>
              </w:rPr>
            </w:pPr>
            <w:r>
              <w:rPr>
                <w:noProof/>
                <w:sz w:val="20"/>
              </w:rPr>
              <w:t>1,288</w:t>
            </w:r>
          </w:p>
        </w:tc>
        <w:tc>
          <w:tcPr>
            <w:tcW w:w="438" w:type="pct"/>
            <w:tcBorders>
              <w:right w:val="single" w:sz="4" w:space="0" w:color="auto"/>
            </w:tcBorders>
            <w:vAlign w:val="center"/>
          </w:tcPr>
          <w:p w:rsidR="00F4358D" w:rsidRDefault="00D1585A">
            <w:pPr>
              <w:jc w:val="center"/>
              <w:rPr>
                <w:noProof/>
                <w:sz w:val="20"/>
                <w:szCs w:val="20"/>
              </w:rPr>
            </w:pPr>
            <w:r>
              <w:rPr>
                <w:noProof/>
                <w:sz w:val="20"/>
              </w:rPr>
              <w:t>1,313</w:t>
            </w:r>
          </w:p>
        </w:tc>
        <w:tc>
          <w:tcPr>
            <w:tcW w:w="438" w:type="pct"/>
            <w:tcBorders>
              <w:left w:val="single" w:sz="4" w:space="0" w:color="auto"/>
              <w:bottom w:val="nil"/>
            </w:tcBorders>
            <w:shd w:val="clear" w:color="auto" w:fill="auto"/>
            <w:vAlign w:val="center"/>
          </w:tcPr>
          <w:p w:rsidR="00F4358D" w:rsidRDefault="00D1585A">
            <w:pPr>
              <w:jc w:val="center"/>
              <w:rPr>
                <w:b/>
                <w:noProof/>
                <w:sz w:val="20"/>
                <w:szCs w:val="20"/>
                <w:highlight w:val="yellow"/>
              </w:rPr>
            </w:pPr>
            <w:r>
              <w:rPr>
                <w:noProof/>
                <w:sz w:val="20"/>
              </w:rPr>
              <w:t xml:space="preserve">4,806 </w:t>
            </w:r>
          </w:p>
        </w:tc>
      </w:tr>
      <w:tr w:rsidR="00F4358D">
        <w:trPr>
          <w:jc w:val="center"/>
        </w:trPr>
        <w:tc>
          <w:tcPr>
            <w:tcW w:w="2806" w:type="pct"/>
            <w:vAlign w:val="bottom"/>
          </w:tcPr>
          <w:p w:rsidR="00F4358D" w:rsidRDefault="00D1585A">
            <w:pPr>
              <w:keepNext/>
              <w:keepLines/>
              <w:widowControl w:val="0"/>
              <w:rPr>
                <w:noProof/>
                <w:sz w:val="20"/>
                <w:szCs w:val="20"/>
              </w:rPr>
            </w:pPr>
            <w:r>
              <w:rPr>
                <w:noProof/>
                <w:sz w:val="20"/>
              </w:rPr>
              <w:t xml:space="preserve">ELi tasandil liikmesriikide võetavate meetmete täiendamise suutlikkuse parandamine, </w:t>
            </w:r>
            <w:r>
              <w:rPr>
                <w:noProof/>
                <w:sz w:val="20"/>
              </w:rPr>
              <w:br/>
              <w:t>eelkõige piiriüleste küberkriiside puhul.</w:t>
            </w:r>
          </w:p>
        </w:tc>
        <w:tc>
          <w:tcPr>
            <w:tcW w:w="441" w:type="pct"/>
            <w:vAlign w:val="center"/>
          </w:tcPr>
          <w:p w:rsidR="00F4358D" w:rsidRDefault="00D1585A">
            <w:pPr>
              <w:jc w:val="center"/>
              <w:rPr>
                <w:noProof/>
                <w:sz w:val="20"/>
                <w:szCs w:val="20"/>
              </w:rPr>
            </w:pPr>
            <w:r>
              <w:rPr>
                <w:noProof/>
                <w:sz w:val="20"/>
              </w:rPr>
              <w:t xml:space="preserve">0,704 </w:t>
            </w:r>
          </w:p>
        </w:tc>
        <w:tc>
          <w:tcPr>
            <w:tcW w:w="439" w:type="pct"/>
            <w:tcBorders>
              <w:right w:val="single" w:sz="4" w:space="0" w:color="auto"/>
            </w:tcBorders>
            <w:vAlign w:val="center"/>
          </w:tcPr>
          <w:p w:rsidR="00F4358D" w:rsidRDefault="00D1585A">
            <w:pPr>
              <w:jc w:val="center"/>
              <w:rPr>
                <w:b/>
                <w:noProof/>
                <w:sz w:val="20"/>
                <w:szCs w:val="20"/>
              </w:rPr>
            </w:pPr>
            <w:r>
              <w:rPr>
                <w:noProof/>
                <w:sz w:val="20"/>
              </w:rPr>
              <w:t xml:space="preserve">0,950 </w:t>
            </w:r>
          </w:p>
        </w:tc>
        <w:tc>
          <w:tcPr>
            <w:tcW w:w="438" w:type="pct"/>
            <w:vAlign w:val="center"/>
          </w:tcPr>
          <w:p w:rsidR="00F4358D" w:rsidRDefault="00D1585A">
            <w:pPr>
              <w:jc w:val="center"/>
              <w:rPr>
                <w:noProof/>
                <w:sz w:val="20"/>
                <w:szCs w:val="20"/>
              </w:rPr>
            </w:pPr>
            <w:r>
              <w:rPr>
                <w:noProof/>
                <w:sz w:val="20"/>
              </w:rPr>
              <w:t>0,965</w:t>
            </w:r>
          </w:p>
        </w:tc>
        <w:tc>
          <w:tcPr>
            <w:tcW w:w="438" w:type="pct"/>
            <w:tcBorders>
              <w:right w:val="single" w:sz="4" w:space="0" w:color="auto"/>
            </w:tcBorders>
            <w:vAlign w:val="center"/>
          </w:tcPr>
          <w:p w:rsidR="00F4358D" w:rsidRDefault="00D1585A">
            <w:pPr>
              <w:jc w:val="center"/>
              <w:rPr>
                <w:noProof/>
                <w:sz w:val="20"/>
                <w:szCs w:val="20"/>
              </w:rPr>
            </w:pPr>
            <w:r>
              <w:rPr>
                <w:noProof/>
                <w:sz w:val="20"/>
              </w:rPr>
              <w:t xml:space="preserve">0,985 </w:t>
            </w:r>
          </w:p>
        </w:tc>
        <w:tc>
          <w:tcPr>
            <w:tcW w:w="438" w:type="pct"/>
            <w:tcBorders>
              <w:left w:val="single" w:sz="4" w:space="0" w:color="auto"/>
              <w:bottom w:val="nil"/>
            </w:tcBorders>
            <w:shd w:val="clear" w:color="auto" w:fill="auto"/>
            <w:vAlign w:val="center"/>
          </w:tcPr>
          <w:p w:rsidR="00F4358D" w:rsidRDefault="00D1585A">
            <w:pPr>
              <w:jc w:val="center"/>
              <w:rPr>
                <w:b/>
                <w:noProof/>
                <w:sz w:val="20"/>
                <w:szCs w:val="20"/>
                <w:highlight w:val="yellow"/>
              </w:rPr>
            </w:pPr>
            <w:r>
              <w:rPr>
                <w:noProof/>
                <w:sz w:val="20"/>
              </w:rPr>
              <w:t xml:space="preserve">3,604 </w:t>
            </w:r>
          </w:p>
        </w:tc>
      </w:tr>
      <w:tr w:rsidR="00F4358D">
        <w:trPr>
          <w:jc w:val="center"/>
        </w:trPr>
        <w:tc>
          <w:tcPr>
            <w:tcW w:w="2806" w:type="pct"/>
            <w:vAlign w:val="bottom"/>
          </w:tcPr>
          <w:p w:rsidR="00F4358D" w:rsidRDefault="00D1585A">
            <w:pPr>
              <w:keepNext/>
              <w:keepLines/>
              <w:widowControl w:val="0"/>
              <w:rPr>
                <w:noProof/>
                <w:sz w:val="20"/>
                <w:szCs w:val="20"/>
              </w:rPr>
            </w:pPr>
            <w:r>
              <w:rPr>
                <w:noProof/>
                <w:sz w:val="20"/>
              </w:rPr>
              <w:t xml:space="preserve">Kodanike ja ettevõtjate teadlikkuse suurendamine küberturvalisusega seotud küsimustest. </w:t>
            </w:r>
          </w:p>
        </w:tc>
        <w:tc>
          <w:tcPr>
            <w:tcW w:w="441" w:type="pct"/>
            <w:vAlign w:val="center"/>
          </w:tcPr>
          <w:p w:rsidR="00F4358D" w:rsidRDefault="00D1585A">
            <w:pPr>
              <w:jc w:val="center"/>
              <w:rPr>
                <w:noProof/>
                <w:sz w:val="20"/>
                <w:szCs w:val="20"/>
              </w:rPr>
            </w:pPr>
            <w:r>
              <w:rPr>
                <w:noProof/>
                <w:sz w:val="20"/>
              </w:rPr>
              <w:t xml:space="preserve">0,704 </w:t>
            </w:r>
          </w:p>
        </w:tc>
        <w:tc>
          <w:tcPr>
            <w:tcW w:w="439" w:type="pct"/>
            <w:tcBorders>
              <w:right w:val="single" w:sz="4" w:space="0" w:color="auto"/>
            </w:tcBorders>
            <w:vAlign w:val="center"/>
          </w:tcPr>
          <w:p w:rsidR="00F4358D" w:rsidRDefault="00D1585A">
            <w:pPr>
              <w:jc w:val="center"/>
              <w:rPr>
                <w:b/>
                <w:noProof/>
                <w:sz w:val="20"/>
                <w:szCs w:val="20"/>
              </w:rPr>
            </w:pPr>
            <w:r>
              <w:rPr>
                <w:noProof/>
                <w:sz w:val="20"/>
              </w:rPr>
              <w:t xml:space="preserve">0,950 </w:t>
            </w:r>
          </w:p>
        </w:tc>
        <w:tc>
          <w:tcPr>
            <w:tcW w:w="438" w:type="pct"/>
            <w:vAlign w:val="center"/>
          </w:tcPr>
          <w:p w:rsidR="00F4358D" w:rsidRDefault="00D1585A">
            <w:pPr>
              <w:jc w:val="center"/>
              <w:rPr>
                <w:noProof/>
                <w:sz w:val="20"/>
                <w:szCs w:val="20"/>
              </w:rPr>
            </w:pPr>
            <w:r>
              <w:rPr>
                <w:noProof/>
                <w:sz w:val="20"/>
              </w:rPr>
              <w:t xml:space="preserve">0,965 </w:t>
            </w:r>
          </w:p>
        </w:tc>
        <w:tc>
          <w:tcPr>
            <w:tcW w:w="438" w:type="pct"/>
            <w:tcBorders>
              <w:right w:val="single" w:sz="4" w:space="0" w:color="auto"/>
            </w:tcBorders>
            <w:vAlign w:val="center"/>
          </w:tcPr>
          <w:p w:rsidR="00F4358D" w:rsidRDefault="00D1585A">
            <w:pPr>
              <w:jc w:val="center"/>
              <w:rPr>
                <w:noProof/>
                <w:sz w:val="20"/>
                <w:szCs w:val="20"/>
              </w:rPr>
            </w:pPr>
            <w:r>
              <w:rPr>
                <w:noProof/>
                <w:sz w:val="20"/>
              </w:rPr>
              <w:t xml:space="preserve">0,985 </w:t>
            </w:r>
          </w:p>
        </w:tc>
        <w:tc>
          <w:tcPr>
            <w:tcW w:w="438" w:type="pct"/>
            <w:tcBorders>
              <w:left w:val="single" w:sz="4" w:space="0" w:color="auto"/>
              <w:bottom w:val="nil"/>
            </w:tcBorders>
            <w:shd w:val="clear" w:color="auto" w:fill="auto"/>
            <w:vAlign w:val="center"/>
          </w:tcPr>
          <w:p w:rsidR="00F4358D" w:rsidRDefault="00D1585A">
            <w:pPr>
              <w:jc w:val="center"/>
              <w:rPr>
                <w:b/>
                <w:noProof/>
                <w:sz w:val="20"/>
                <w:szCs w:val="20"/>
                <w:highlight w:val="yellow"/>
              </w:rPr>
            </w:pPr>
            <w:r>
              <w:rPr>
                <w:noProof/>
                <w:sz w:val="20"/>
              </w:rPr>
              <w:t xml:space="preserve">3,604 </w:t>
            </w:r>
          </w:p>
        </w:tc>
      </w:tr>
      <w:tr w:rsidR="00F4358D">
        <w:trPr>
          <w:jc w:val="center"/>
        </w:trPr>
        <w:tc>
          <w:tcPr>
            <w:tcW w:w="2806" w:type="pct"/>
            <w:vAlign w:val="bottom"/>
          </w:tcPr>
          <w:p w:rsidR="00F4358D" w:rsidRDefault="00D1585A">
            <w:pPr>
              <w:keepNext/>
              <w:keepLines/>
              <w:widowControl w:val="0"/>
              <w:rPr>
                <w:noProof/>
                <w:sz w:val="20"/>
                <w:szCs w:val="20"/>
              </w:rPr>
            </w:pPr>
            <w:r>
              <w:rPr>
                <w:noProof/>
                <w:sz w:val="20"/>
              </w:rPr>
              <w:t>Usalduse suurendamine digitaalse ühtse turu ja digitaalse uuendustegevuse vastu, suurendades IKT toodete ja teenuste küberturvalisuse alase usaldusväärsuse üldist läbipaistvust.</w:t>
            </w:r>
          </w:p>
        </w:tc>
        <w:tc>
          <w:tcPr>
            <w:tcW w:w="441" w:type="pct"/>
            <w:vAlign w:val="center"/>
          </w:tcPr>
          <w:p w:rsidR="00F4358D" w:rsidRDefault="00D1585A">
            <w:pPr>
              <w:jc w:val="center"/>
              <w:rPr>
                <w:noProof/>
                <w:sz w:val="20"/>
                <w:szCs w:val="20"/>
              </w:rPr>
            </w:pPr>
            <w:r>
              <w:rPr>
                <w:noProof/>
                <w:sz w:val="20"/>
              </w:rPr>
              <w:t xml:space="preserve">0,939 </w:t>
            </w:r>
          </w:p>
        </w:tc>
        <w:tc>
          <w:tcPr>
            <w:tcW w:w="439" w:type="pct"/>
            <w:tcBorders>
              <w:right w:val="single" w:sz="4" w:space="0" w:color="auto"/>
            </w:tcBorders>
            <w:vAlign w:val="center"/>
          </w:tcPr>
          <w:p w:rsidR="00F4358D" w:rsidRDefault="00D1585A">
            <w:pPr>
              <w:jc w:val="center"/>
              <w:rPr>
                <w:b/>
                <w:noProof/>
                <w:sz w:val="20"/>
                <w:szCs w:val="20"/>
              </w:rPr>
            </w:pPr>
            <w:r>
              <w:rPr>
                <w:noProof/>
                <w:sz w:val="20"/>
              </w:rPr>
              <w:t xml:space="preserve">1,266 </w:t>
            </w:r>
          </w:p>
        </w:tc>
        <w:tc>
          <w:tcPr>
            <w:tcW w:w="438" w:type="pct"/>
            <w:vAlign w:val="center"/>
          </w:tcPr>
          <w:p w:rsidR="00F4358D" w:rsidRDefault="00D1585A">
            <w:pPr>
              <w:jc w:val="center"/>
              <w:rPr>
                <w:noProof/>
                <w:sz w:val="20"/>
                <w:szCs w:val="20"/>
              </w:rPr>
            </w:pPr>
            <w:r>
              <w:rPr>
                <w:noProof/>
                <w:sz w:val="20"/>
              </w:rPr>
              <w:t xml:space="preserve">1,288 </w:t>
            </w:r>
          </w:p>
        </w:tc>
        <w:tc>
          <w:tcPr>
            <w:tcW w:w="438" w:type="pct"/>
            <w:tcBorders>
              <w:right w:val="single" w:sz="4" w:space="0" w:color="auto"/>
            </w:tcBorders>
            <w:vAlign w:val="center"/>
          </w:tcPr>
          <w:p w:rsidR="00F4358D" w:rsidRDefault="00D1585A">
            <w:pPr>
              <w:jc w:val="center"/>
              <w:rPr>
                <w:noProof/>
                <w:sz w:val="20"/>
                <w:szCs w:val="20"/>
              </w:rPr>
            </w:pPr>
            <w:r>
              <w:rPr>
                <w:noProof/>
                <w:sz w:val="20"/>
              </w:rPr>
              <w:t xml:space="preserve">1,313 </w:t>
            </w:r>
          </w:p>
        </w:tc>
        <w:tc>
          <w:tcPr>
            <w:tcW w:w="438" w:type="pct"/>
            <w:tcBorders>
              <w:left w:val="single" w:sz="4" w:space="0" w:color="auto"/>
              <w:bottom w:val="nil"/>
            </w:tcBorders>
            <w:shd w:val="clear" w:color="auto" w:fill="auto"/>
            <w:vAlign w:val="center"/>
          </w:tcPr>
          <w:p w:rsidR="00F4358D" w:rsidRDefault="00D1585A">
            <w:pPr>
              <w:jc w:val="center"/>
              <w:rPr>
                <w:b/>
                <w:noProof/>
                <w:sz w:val="20"/>
                <w:szCs w:val="20"/>
                <w:highlight w:val="yellow"/>
              </w:rPr>
            </w:pPr>
            <w:r>
              <w:rPr>
                <w:noProof/>
                <w:sz w:val="20"/>
              </w:rPr>
              <w:t xml:space="preserve">4,806 </w:t>
            </w:r>
          </w:p>
        </w:tc>
      </w:tr>
      <w:tr w:rsidR="00F4358D">
        <w:trPr>
          <w:jc w:val="center"/>
        </w:trPr>
        <w:tc>
          <w:tcPr>
            <w:tcW w:w="2806" w:type="pct"/>
            <w:vAlign w:val="center"/>
          </w:tcPr>
          <w:p w:rsidR="00F4358D" w:rsidRDefault="00D1585A">
            <w:pPr>
              <w:keepNext/>
              <w:keepLines/>
              <w:widowControl w:val="0"/>
              <w:ind w:right="-29"/>
              <w:rPr>
                <w:b/>
                <w:noProof/>
                <w:sz w:val="20"/>
                <w:szCs w:val="20"/>
              </w:rPr>
            </w:pPr>
            <w:r>
              <w:rPr>
                <w:b/>
                <w:noProof/>
                <w:sz w:val="20"/>
              </w:rPr>
              <w:t xml:space="preserve">KULUD </w:t>
            </w:r>
            <w:r>
              <w:rPr>
                <w:b/>
                <w:noProof/>
                <w:sz w:val="20"/>
              </w:rPr>
              <w:t>KOKKU</w:t>
            </w:r>
          </w:p>
        </w:tc>
        <w:tc>
          <w:tcPr>
            <w:tcW w:w="441" w:type="pct"/>
            <w:vAlign w:val="center"/>
          </w:tcPr>
          <w:p w:rsidR="00F4358D" w:rsidRDefault="00D1585A">
            <w:pPr>
              <w:jc w:val="center"/>
              <w:rPr>
                <w:b/>
                <w:noProof/>
                <w:sz w:val="20"/>
                <w:szCs w:val="20"/>
              </w:rPr>
            </w:pPr>
            <w:r>
              <w:rPr>
                <w:noProof/>
                <w:sz w:val="20"/>
              </w:rPr>
              <w:t xml:space="preserve">4 694 </w:t>
            </w:r>
          </w:p>
        </w:tc>
        <w:tc>
          <w:tcPr>
            <w:tcW w:w="439" w:type="pct"/>
            <w:tcBorders>
              <w:right w:val="single" w:sz="4" w:space="0" w:color="auto"/>
            </w:tcBorders>
            <w:vAlign w:val="center"/>
          </w:tcPr>
          <w:p w:rsidR="00F4358D" w:rsidRDefault="00D1585A">
            <w:pPr>
              <w:jc w:val="center"/>
              <w:rPr>
                <w:b/>
                <w:noProof/>
                <w:sz w:val="20"/>
                <w:szCs w:val="20"/>
              </w:rPr>
            </w:pPr>
            <w:r>
              <w:rPr>
                <w:noProof/>
                <w:sz w:val="20"/>
              </w:rPr>
              <w:t>6,332</w:t>
            </w:r>
          </w:p>
        </w:tc>
        <w:tc>
          <w:tcPr>
            <w:tcW w:w="438" w:type="pct"/>
            <w:vAlign w:val="center"/>
          </w:tcPr>
          <w:p w:rsidR="00F4358D" w:rsidRDefault="00D1585A">
            <w:pPr>
              <w:jc w:val="center"/>
              <w:rPr>
                <w:noProof/>
                <w:sz w:val="20"/>
                <w:szCs w:val="20"/>
              </w:rPr>
            </w:pPr>
            <w:r>
              <w:rPr>
                <w:noProof/>
                <w:sz w:val="20"/>
              </w:rPr>
              <w:t>6,437</w:t>
            </w:r>
          </w:p>
        </w:tc>
        <w:tc>
          <w:tcPr>
            <w:tcW w:w="438" w:type="pct"/>
            <w:tcBorders>
              <w:right w:val="single" w:sz="4" w:space="0" w:color="auto"/>
            </w:tcBorders>
            <w:vAlign w:val="center"/>
          </w:tcPr>
          <w:p w:rsidR="00F4358D" w:rsidRDefault="00D1585A">
            <w:pPr>
              <w:jc w:val="center"/>
              <w:rPr>
                <w:noProof/>
                <w:sz w:val="20"/>
                <w:szCs w:val="20"/>
              </w:rPr>
            </w:pPr>
            <w:r>
              <w:rPr>
                <w:noProof/>
                <w:sz w:val="20"/>
              </w:rPr>
              <w:t xml:space="preserve">6,565 </w:t>
            </w:r>
          </w:p>
        </w:tc>
        <w:tc>
          <w:tcPr>
            <w:tcW w:w="438" w:type="pct"/>
            <w:tcBorders>
              <w:left w:val="single" w:sz="4" w:space="0" w:color="auto"/>
              <w:bottom w:val="single" w:sz="4" w:space="0" w:color="auto"/>
            </w:tcBorders>
            <w:shd w:val="clear" w:color="auto" w:fill="auto"/>
            <w:vAlign w:val="center"/>
          </w:tcPr>
          <w:p w:rsidR="00F4358D" w:rsidRDefault="00D1585A">
            <w:pPr>
              <w:jc w:val="center"/>
              <w:rPr>
                <w:b/>
                <w:noProof/>
                <w:sz w:val="20"/>
                <w:szCs w:val="20"/>
              </w:rPr>
            </w:pPr>
            <w:r>
              <w:rPr>
                <w:noProof/>
                <w:sz w:val="20"/>
              </w:rPr>
              <w:t>24,028</w:t>
            </w:r>
          </w:p>
        </w:tc>
      </w:tr>
    </w:tbl>
    <w:p w:rsidR="00F4358D" w:rsidRDefault="00F4358D">
      <w:pPr>
        <w:jc w:val="right"/>
        <w:rPr>
          <w:noProof/>
          <w:sz w:val="20"/>
        </w:rPr>
      </w:pPr>
    </w:p>
    <w:p w:rsidR="00F4358D" w:rsidRDefault="00F4358D">
      <w:pPr>
        <w:rPr>
          <w:noProof/>
        </w:rPr>
        <w:sectPr w:rsidR="00F4358D" w:rsidSect="00D1585A">
          <w:headerReference w:type="default" r:id="rId26"/>
          <w:footerReference w:type="default" r:id="rId27"/>
          <w:headerReference w:type="first" r:id="rId28"/>
          <w:footerReference w:type="first" r:id="rId29"/>
          <w:pgSz w:w="15840" w:h="12240" w:orient="landscape"/>
          <w:pgMar w:top="1418" w:right="902" w:bottom="902" w:left="567" w:header="709" w:footer="709" w:gutter="0"/>
          <w:cols w:space="720"/>
          <w:docGrid w:linePitch="326"/>
        </w:sectPr>
      </w:pPr>
    </w:p>
    <w:p w:rsidR="00F4358D" w:rsidRDefault="00D1585A">
      <w:pPr>
        <w:pStyle w:val="ManualHeading3"/>
        <w:rPr>
          <w:bCs/>
          <w:noProof/>
          <w:szCs w:val="24"/>
        </w:rPr>
      </w:pPr>
      <w:r>
        <w:t>3.2.3.</w:t>
      </w:r>
      <w:r>
        <w:tab/>
      </w:r>
      <w:r>
        <w:rPr>
          <w:noProof/>
        </w:rPr>
        <w:t xml:space="preserve">Hinnanguline mõju ameti inimressurssidele </w:t>
      </w:r>
    </w:p>
    <w:p w:rsidR="00F4358D" w:rsidRDefault="00D1585A">
      <w:pPr>
        <w:pStyle w:val="ManualHeading4"/>
        <w:rPr>
          <w:bCs/>
          <w:noProof/>
          <w:szCs w:val="24"/>
        </w:rPr>
      </w:pPr>
      <w:r>
        <w:t>3.2.3.1.</w:t>
      </w:r>
      <w:r>
        <w:tab/>
      </w:r>
      <w:r>
        <w:rPr>
          <w:noProof/>
        </w:rPr>
        <w:t xml:space="preserve">Kokkuvõte </w:t>
      </w:r>
    </w:p>
    <w:p w:rsidR="00F4358D" w:rsidRDefault="00D1585A">
      <w:pPr>
        <w:pStyle w:val="Tiret1"/>
        <w:rPr>
          <w:noProof/>
        </w:rPr>
      </w:pPr>
      <w:r>
        <w:rPr>
          <w:noProof/>
        </w:rPr>
        <w:sym w:font="Wingdings" w:char="F0A8"/>
      </w:r>
      <w:r>
        <w:rPr>
          <w:noProof/>
        </w:rPr>
        <w:tab/>
        <w:t xml:space="preserve">Ettepanek/algatus ei hõlma haldusassigneeringute kasutamist </w:t>
      </w:r>
    </w:p>
    <w:p w:rsidR="00F4358D" w:rsidRDefault="00D1585A">
      <w:pPr>
        <w:pStyle w:val="Tiret1"/>
        <w:rPr>
          <w:noProof/>
        </w:rPr>
      </w:pPr>
      <w:r>
        <w:rPr>
          <w:noProof/>
        </w:rPr>
        <w:sym w:font="Wingdings" w:char="F078"/>
      </w:r>
      <w:r>
        <w:rPr>
          <w:noProof/>
        </w:rPr>
        <w:tab/>
        <w:t xml:space="preserve">Ettepanek/algatus </w:t>
      </w:r>
      <w:r>
        <w:rPr>
          <w:noProof/>
        </w:rPr>
        <w:t>hõlmab haldusassigneeringute kasutamist, mis toimub järgmiselt:</w:t>
      </w:r>
    </w:p>
    <w:p w:rsidR="00F4358D" w:rsidRDefault="00D1585A">
      <w:pPr>
        <w:rPr>
          <w:noProof/>
          <w:sz w:val="20"/>
        </w:rPr>
      </w:pPr>
      <w:r>
        <w:rPr>
          <w:noProof/>
          <w:sz w:val="20"/>
        </w:rPr>
        <w:t>miljonites eurodes (kolm kohta pärast koma)</w:t>
      </w:r>
    </w:p>
    <w:tbl>
      <w:tblPr>
        <w:tblW w:w="8767" w:type="dxa"/>
        <w:tblInd w:w="1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717"/>
        <w:gridCol w:w="1144"/>
        <w:gridCol w:w="1302"/>
        <w:gridCol w:w="1302"/>
        <w:gridCol w:w="1302"/>
      </w:tblGrid>
      <w:tr w:rsidR="00F4358D">
        <w:trPr>
          <w:trHeight w:val="585"/>
        </w:trPr>
        <w:tc>
          <w:tcPr>
            <w:tcW w:w="3717" w:type="dxa"/>
          </w:tcPr>
          <w:p w:rsidR="00F4358D" w:rsidRDefault="00F4358D">
            <w:pPr>
              <w:rPr>
                <w:noProof/>
              </w:rPr>
            </w:pPr>
          </w:p>
        </w:tc>
        <w:tc>
          <w:tcPr>
            <w:tcW w:w="1144" w:type="dxa"/>
            <w:vAlign w:val="center"/>
          </w:tcPr>
          <w:p w:rsidR="00F4358D" w:rsidRDefault="00D1585A">
            <w:pPr>
              <w:jc w:val="center"/>
              <w:rPr>
                <w:noProof/>
              </w:rPr>
            </w:pPr>
            <w:r>
              <w:rPr>
                <w:b/>
                <w:noProof/>
                <w:sz w:val="20"/>
              </w:rPr>
              <w:t>2019. aasta kolmas ja neljas kvartal</w:t>
            </w:r>
          </w:p>
        </w:tc>
        <w:tc>
          <w:tcPr>
            <w:tcW w:w="1302" w:type="dxa"/>
            <w:vAlign w:val="center"/>
          </w:tcPr>
          <w:p w:rsidR="00F4358D" w:rsidRDefault="00D1585A">
            <w:pPr>
              <w:jc w:val="center"/>
              <w:rPr>
                <w:b/>
                <w:noProof/>
                <w:sz w:val="20"/>
              </w:rPr>
            </w:pPr>
            <w:r>
              <w:rPr>
                <w:b/>
                <w:noProof/>
                <w:sz w:val="20"/>
              </w:rPr>
              <w:t>2020</w:t>
            </w:r>
          </w:p>
        </w:tc>
        <w:tc>
          <w:tcPr>
            <w:tcW w:w="1302" w:type="dxa"/>
            <w:vAlign w:val="center"/>
          </w:tcPr>
          <w:p w:rsidR="00F4358D" w:rsidRDefault="00D1585A">
            <w:pPr>
              <w:jc w:val="center"/>
              <w:rPr>
                <w:b/>
                <w:noProof/>
                <w:sz w:val="20"/>
              </w:rPr>
            </w:pPr>
            <w:r>
              <w:rPr>
                <w:b/>
                <w:noProof/>
                <w:sz w:val="20"/>
              </w:rPr>
              <w:t>2021</w:t>
            </w:r>
          </w:p>
        </w:tc>
        <w:tc>
          <w:tcPr>
            <w:tcW w:w="1302" w:type="dxa"/>
            <w:vAlign w:val="center"/>
          </w:tcPr>
          <w:p w:rsidR="00F4358D" w:rsidRDefault="00D1585A">
            <w:pPr>
              <w:jc w:val="center"/>
              <w:rPr>
                <w:noProof/>
              </w:rPr>
            </w:pPr>
            <w:r>
              <w:rPr>
                <w:b/>
                <w:noProof/>
                <w:sz w:val="20"/>
              </w:rPr>
              <w:t>2022</w:t>
            </w:r>
          </w:p>
        </w:tc>
      </w:tr>
      <w:tr w:rsidR="00F4358D">
        <w:trPr>
          <w:trHeight w:val="585"/>
        </w:trPr>
        <w:tc>
          <w:tcPr>
            <w:tcW w:w="3717" w:type="dxa"/>
            <w:shd w:val="clear" w:color="auto" w:fill="CCCCCC"/>
            <w:vAlign w:val="center"/>
          </w:tcPr>
          <w:p w:rsidR="00F4358D" w:rsidRDefault="00D1585A">
            <w:pPr>
              <w:rPr>
                <w:noProof/>
              </w:rPr>
            </w:pPr>
            <w:r>
              <w:rPr>
                <w:noProof/>
              </w:rPr>
              <w:t>Ajutised ametnikud (AD palgaastmed)</w:t>
            </w:r>
          </w:p>
        </w:tc>
        <w:tc>
          <w:tcPr>
            <w:tcW w:w="1144" w:type="dxa"/>
          </w:tcPr>
          <w:p w:rsidR="00F4358D" w:rsidRDefault="00D1585A">
            <w:pPr>
              <w:jc w:val="center"/>
              <w:rPr>
                <w:noProof/>
              </w:rPr>
            </w:pPr>
            <w:r>
              <w:rPr>
                <w:noProof/>
                <w:sz w:val="22"/>
              </w:rPr>
              <w:t>4,242</w:t>
            </w:r>
          </w:p>
        </w:tc>
        <w:tc>
          <w:tcPr>
            <w:tcW w:w="1302" w:type="dxa"/>
          </w:tcPr>
          <w:p w:rsidR="00F4358D" w:rsidRDefault="00D1585A">
            <w:pPr>
              <w:jc w:val="center"/>
              <w:rPr>
                <w:noProof/>
              </w:rPr>
            </w:pPr>
            <w:r>
              <w:rPr>
                <w:noProof/>
                <w:sz w:val="22"/>
              </w:rPr>
              <w:t>5,695</w:t>
            </w:r>
          </w:p>
        </w:tc>
        <w:tc>
          <w:tcPr>
            <w:tcW w:w="1302" w:type="dxa"/>
          </w:tcPr>
          <w:p w:rsidR="00F4358D" w:rsidRDefault="00D1585A">
            <w:pPr>
              <w:jc w:val="center"/>
              <w:rPr>
                <w:noProof/>
              </w:rPr>
            </w:pPr>
            <w:r>
              <w:rPr>
                <w:noProof/>
                <w:sz w:val="22"/>
              </w:rPr>
              <w:t>6,381</w:t>
            </w:r>
          </w:p>
        </w:tc>
        <w:tc>
          <w:tcPr>
            <w:tcW w:w="1302" w:type="dxa"/>
          </w:tcPr>
          <w:p w:rsidR="00F4358D" w:rsidRDefault="00D1585A">
            <w:pPr>
              <w:jc w:val="center"/>
              <w:rPr>
                <w:noProof/>
              </w:rPr>
            </w:pPr>
            <w:r>
              <w:rPr>
                <w:noProof/>
                <w:sz w:val="22"/>
              </w:rPr>
              <w:t>6,709</w:t>
            </w:r>
          </w:p>
        </w:tc>
      </w:tr>
      <w:tr w:rsidR="00F4358D">
        <w:trPr>
          <w:trHeight w:val="585"/>
        </w:trPr>
        <w:tc>
          <w:tcPr>
            <w:tcW w:w="3717" w:type="dxa"/>
            <w:vAlign w:val="center"/>
          </w:tcPr>
          <w:p w:rsidR="00F4358D" w:rsidRDefault="00D1585A">
            <w:pPr>
              <w:rPr>
                <w:noProof/>
              </w:rPr>
            </w:pPr>
            <w:r>
              <w:rPr>
                <w:noProof/>
              </w:rPr>
              <w:t xml:space="preserve">Ajutised ametnikud (AST </w:t>
            </w:r>
            <w:r>
              <w:rPr>
                <w:noProof/>
              </w:rPr>
              <w:t>palgaastmed)</w:t>
            </w:r>
          </w:p>
        </w:tc>
        <w:tc>
          <w:tcPr>
            <w:tcW w:w="1144" w:type="dxa"/>
          </w:tcPr>
          <w:p w:rsidR="00F4358D" w:rsidRDefault="00D1585A">
            <w:pPr>
              <w:jc w:val="center"/>
              <w:rPr>
                <w:noProof/>
              </w:rPr>
            </w:pPr>
            <w:r>
              <w:rPr>
                <w:noProof/>
                <w:sz w:val="22"/>
              </w:rPr>
              <w:t>1,601</w:t>
            </w:r>
          </w:p>
        </w:tc>
        <w:tc>
          <w:tcPr>
            <w:tcW w:w="1302" w:type="dxa"/>
          </w:tcPr>
          <w:p w:rsidR="00F4358D" w:rsidRDefault="00D1585A">
            <w:pPr>
              <w:jc w:val="center"/>
              <w:rPr>
                <w:noProof/>
              </w:rPr>
            </w:pPr>
            <w:r>
              <w:rPr>
                <w:noProof/>
                <w:sz w:val="22"/>
              </w:rPr>
              <w:t>1,998</w:t>
            </w:r>
          </w:p>
        </w:tc>
        <w:tc>
          <w:tcPr>
            <w:tcW w:w="1302" w:type="dxa"/>
          </w:tcPr>
          <w:p w:rsidR="00F4358D" w:rsidRDefault="00D1585A">
            <w:pPr>
              <w:jc w:val="center"/>
              <w:rPr>
                <w:noProof/>
              </w:rPr>
            </w:pPr>
            <w:r>
              <w:rPr>
                <w:noProof/>
                <w:sz w:val="22"/>
              </w:rPr>
              <w:t>2,217</w:t>
            </w:r>
          </w:p>
        </w:tc>
        <w:tc>
          <w:tcPr>
            <w:tcW w:w="1302" w:type="dxa"/>
          </w:tcPr>
          <w:p w:rsidR="00F4358D" w:rsidRDefault="00D1585A">
            <w:pPr>
              <w:jc w:val="center"/>
              <w:rPr>
                <w:noProof/>
              </w:rPr>
            </w:pPr>
            <w:r>
              <w:rPr>
                <w:noProof/>
                <w:sz w:val="22"/>
              </w:rPr>
              <w:t>2,217</w:t>
            </w:r>
          </w:p>
        </w:tc>
      </w:tr>
      <w:tr w:rsidR="00F4358D">
        <w:trPr>
          <w:trHeight w:val="585"/>
        </w:trPr>
        <w:tc>
          <w:tcPr>
            <w:tcW w:w="3717" w:type="dxa"/>
            <w:vAlign w:val="center"/>
          </w:tcPr>
          <w:p w:rsidR="00F4358D" w:rsidRDefault="00D1585A">
            <w:pPr>
              <w:rPr>
                <w:noProof/>
              </w:rPr>
            </w:pPr>
            <w:r>
              <w:rPr>
                <w:noProof/>
              </w:rPr>
              <w:t>Lepingulised töötajad</w:t>
            </w:r>
          </w:p>
        </w:tc>
        <w:tc>
          <w:tcPr>
            <w:tcW w:w="1144" w:type="dxa"/>
          </w:tcPr>
          <w:p w:rsidR="00F4358D" w:rsidRDefault="00D1585A">
            <w:pPr>
              <w:jc w:val="center"/>
              <w:rPr>
                <w:noProof/>
              </w:rPr>
            </w:pPr>
            <w:r>
              <w:rPr>
                <w:noProof/>
                <w:sz w:val="22"/>
              </w:rPr>
              <w:t>2,041</w:t>
            </w:r>
          </w:p>
        </w:tc>
        <w:tc>
          <w:tcPr>
            <w:tcW w:w="1302" w:type="dxa"/>
          </w:tcPr>
          <w:p w:rsidR="00F4358D" w:rsidRDefault="00D1585A">
            <w:pPr>
              <w:jc w:val="center"/>
              <w:rPr>
                <w:noProof/>
              </w:rPr>
            </w:pPr>
            <w:r>
              <w:rPr>
                <w:noProof/>
                <w:sz w:val="22"/>
              </w:rPr>
              <w:t>2,041</w:t>
            </w:r>
          </w:p>
        </w:tc>
        <w:tc>
          <w:tcPr>
            <w:tcW w:w="1302" w:type="dxa"/>
          </w:tcPr>
          <w:p w:rsidR="00F4358D" w:rsidRDefault="00D1585A">
            <w:pPr>
              <w:jc w:val="center"/>
              <w:rPr>
                <w:noProof/>
              </w:rPr>
            </w:pPr>
            <w:r>
              <w:rPr>
                <w:noProof/>
                <w:sz w:val="22"/>
              </w:rPr>
              <w:t>2,041</w:t>
            </w:r>
          </w:p>
        </w:tc>
        <w:tc>
          <w:tcPr>
            <w:tcW w:w="1302" w:type="dxa"/>
          </w:tcPr>
          <w:p w:rsidR="00F4358D" w:rsidRDefault="00D1585A">
            <w:pPr>
              <w:jc w:val="center"/>
              <w:rPr>
                <w:noProof/>
              </w:rPr>
            </w:pPr>
            <w:r>
              <w:rPr>
                <w:noProof/>
                <w:sz w:val="22"/>
              </w:rPr>
              <w:t>2,041</w:t>
            </w:r>
          </w:p>
        </w:tc>
      </w:tr>
      <w:tr w:rsidR="00F4358D">
        <w:trPr>
          <w:trHeight w:val="585"/>
        </w:trPr>
        <w:tc>
          <w:tcPr>
            <w:tcW w:w="3717" w:type="dxa"/>
            <w:shd w:val="clear" w:color="auto" w:fill="CCCCCC"/>
            <w:vAlign w:val="center"/>
          </w:tcPr>
          <w:p w:rsidR="00F4358D" w:rsidRDefault="00D1585A">
            <w:pPr>
              <w:rPr>
                <w:noProof/>
              </w:rPr>
            </w:pPr>
            <w:r>
              <w:rPr>
                <w:noProof/>
              </w:rPr>
              <w:t>Riikide lähetatud eksperdid</w:t>
            </w:r>
          </w:p>
        </w:tc>
        <w:tc>
          <w:tcPr>
            <w:tcW w:w="1144" w:type="dxa"/>
          </w:tcPr>
          <w:p w:rsidR="00F4358D" w:rsidRDefault="00D1585A">
            <w:pPr>
              <w:jc w:val="center"/>
              <w:rPr>
                <w:noProof/>
              </w:rPr>
            </w:pPr>
            <w:r>
              <w:rPr>
                <w:noProof/>
                <w:sz w:val="22"/>
              </w:rPr>
              <w:t>0,306</w:t>
            </w:r>
          </w:p>
        </w:tc>
        <w:tc>
          <w:tcPr>
            <w:tcW w:w="1302" w:type="dxa"/>
          </w:tcPr>
          <w:p w:rsidR="00F4358D" w:rsidRDefault="00D1585A">
            <w:pPr>
              <w:jc w:val="center"/>
              <w:rPr>
                <w:noProof/>
              </w:rPr>
            </w:pPr>
            <w:r>
              <w:rPr>
                <w:noProof/>
                <w:sz w:val="22"/>
              </w:rPr>
              <w:t>0,447</w:t>
            </w:r>
          </w:p>
        </w:tc>
        <w:tc>
          <w:tcPr>
            <w:tcW w:w="1302" w:type="dxa"/>
          </w:tcPr>
          <w:p w:rsidR="00F4358D" w:rsidRDefault="00D1585A">
            <w:pPr>
              <w:jc w:val="center"/>
              <w:rPr>
                <w:noProof/>
              </w:rPr>
            </w:pPr>
            <w:r>
              <w:rPr>
                <w:noProof/>
                <w:sz w:val="22"/>
              </w:rPr>
              <w:t>0,656</w:t>
            </w:r>
          </w:p>
        </w:tc>
        <w:tc>
          <w:tcPr>
            <w:tcW w:w="1302" w:type="dxa"/>
          </w:tcPr>
          <w:p w:rsidR="00F4358D" w:rsidRDefault="00D1585A">
            <w:pPr>
              <w:jc w:val="center"/>
              <w:rPr>
                <w:noProof/>
              </w:rPr>
            </w:pPr>
            <w:r>
              <w:rPr>
                <w:noProof/>
                <w:sz w:val="22"/>
              </w:rPr>
              <w:t>0,796</w:t>
            </w:r>
          </w:p>
        </w:tc>
      </w:tr>
      <w:tr w:rsidR="00F43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3717" w:type="dxa"/>
            <w:tcBorders>
              <w:top w:val="single" w:sz="12" w:space="0" w:color="auto"/>
              <w:left w:val="single" w:sz="12" w:space="0" w:color="auto"/>
              <w:bottom w:val="single" w:sz="12" w:space="0" w:color="auto"/>
              <w:right w:val="single" w:sz="2" w:space="0" w:color="auto"/>
            </w:tcBorders>
            <w:vAlign w:val="center"/>
          </w:tcPr>
          <w:p w:rsidR="00F4358D" w:rsidRDefault="00D1585A">
            <w:pPr>
              <w:rPr>
                <w:b/>
                <w:noProof/>
              </w:rPr>
            </w:pPr>
            <w:r>
              <w:rPr>
                <w:b/>
                <w:noProof/>
              </w:rPr>
              <w:t>KOKKU</w:t>
            </w:r>
          </w:p>
        </w:tc>
        <w:tc>
          <w:tcPr>
            <w:tcW w:w="1144" w:type="dxa"/>
            <w:tcBorders>
              <w:top w:val="single" w:sz="12" w:space="0" w:color="auto"/>
              <w:left w:val="single" w:sz="2" w:space="0" w:color="auto"/>
              <w:bottom w:val="single" w:sz="12" w:space="0" w:color="auto"/>
              <w:right w:val="single" w:sz="2" w:space="0" w:color="auto"/>
            </w:tcBorders>
            <w:vAlign w:val="center"/>
          </w:tcPr>
          <w:p w:rsidR="00F4358D" w:rsidRDefault="00D1585A">
            <w:pPr>
              <w:jc w:val="center"/>
              <w:rPr>
                <w:b/>
                <w:noProof/>
                <w:sz w:val="22"/>
              </w:rPr>
            </w:pPr>
            <w:r>
              <w:rPr>
                <w:b/>
                <w:noProof/>
                <w:sz w:val="22"/>
              </w:rPr>
              <w:t>8,190</w:t>
            </w:r>
          </w:p>
        </w:tc>
        <w:tc>
          <w:tcPr>
            <w:tcW w:w="1302" w:type="dxa"/>
            <w:tcBorders>
              <w:top w:val="single" w:sz="12" w:space="0" w:color="auto"/>
              <w:left w:val="single" w:sz="2" w:space="0" w:color="auto"/>
              <w:bottom w:val="single" w:sz="12" w:space="0" w:color="auto"/>
              <w:right w:val="single" w:sz="2" w:space="0" w:color="auto"/>
            </w:tcBorders>
            <w:vAlign w:val="center"/>
          </w:tcPr>
          <w:p w:rsidR="00F4358D" w:rsidRDefault="00F4358D">
            <w:pPr>
              <w:jc w:val="center"/>
              <w:rPr>
                <w:b/>
                <w:noProof/>
                <w:sz w:val="22"/>
              </w:rPr>
            </w:pPr>
          </w:p>
          <w:p w:rsidR="00F4358D" w:rsidRDefault="00D1585A">
            <w:pPr>
              <w:jc w:val="center"/>
              <w:rPr>
                <w:b/>
                <w:noProof/>
                <w:sz w:val="22"/>
              </w:rPr>
            </w:pPr>
            <w:r>
              <w:rPr>
                <w:b/>
                <w:noProof/>
                <w:sz w:val="22"/>
              </w:rPr>
              <w:t>10,181</w:t>
            </w:r>
          </w:p>
          <w:p w:rsidR="00F4358D" w:rsidRDefault="00F4358D">
            <w:pPr>
              <w:jc w:val="center"/>
              <w:rPr>
                <w:b/>
                <w:noProof/>
              </w:rPr>
            </w:pPr>
          </w:p>
        </w:tc>
        <w:tc>
          <w:tcPr>
            <w:tcW w:w="1302" w:type="dxa"/>
            <w:tcBorders>
              <w:top w:val="single" w:sz="12" w:space="0" w:color="auto"/>
              <w:left w:val="single" w:sz="2" w:space="0" w:color="auto"/>
              <w:bottom w:val="single" w:sz="12" w:space="0" w:color="auto"/>
              <w:right w:val="single" w:sz="2" w:space="0" w:color="auto"/>
            </w:tcBorders>
            <w:vAlign w:val="center"/>
          </w:tcPr>
          <w:p w:rsidR="00F4358D" w:rsidRDefault="00D1585A">
            <w:pPr>
              <w:jc w:val="center"/>
              <w:rPr>
                <w:b/>
                <w:noProof/>
                <w:sz w:val="22"/>
              </w:rPr>
            </w:pPr>
            <w:r>
              <w:rPr>
                <w:b/>
                <w:noProof/>
                <w:sz w:val="22"/>
              </w:rPr>
              <w:t>11,295</w:t>
            </w:r>
          </w:p>
        </w:tc>
        <w:tc>
          <w:tcPr>
            <w:tcW w:w="1302" w:type="dxa"/>
            <w:tcBorders>
              <w:top w:val="single" w:sz="12" w:space="0" w:color="auto"/>
              <w:left w:val="single" w:sz="2" w:space="0" w:color="auto"/>
              <w:bottom w:val="single" w:sz="12" w:space="0" w:color="auto"/>
              <w:right w:val="single" w:sz="2" w:space="0" w:color="auto"/>
            </w:tcBorders>
            <w:vAlign w:val="center"/>
          </w:tcPr>
          <w:p w:rsidR="00F4358D" w:rsidRDefault="00F4358D">
            <w:pPr>
              <w:jc w:val="center"/>
              <w:rPr>
                <w:b/>
                <w:noProof/>
                <w:sz w:val="22"/>
              </w:rPr>
            </w:pPr>
          </w:p>
          <w:p w:rsidR="00F4358D" w:rsidRDefault="00D1585A">
            <w:pPr>
              <w:jc w:val="center"/>
              <w:rPr>
                <w:b/>
                <w:noProof/>
                <w:sz w:val="22"/>
              </w:rPr>
            </w:pPr>
            <w:r>
              <w:rPr>
                <w:b/>
                <w:noProof/>
                <w:sz w:val="22"/>
              </w:rPr>
              <w:t>11,763</w:t>
            </w:r>
          </w:p>
          <w:p w:rsidR="00F4358D" w:rsidRDefault="00F4358D">
            <w:pPr>
              <w:jc w:val="center"/>
              <w:rPr>
                <w:b/>
                <w:noProof/>
              </w:rPr>
            </w:pPr>
          </w:p>
        </w:tc>
      </w:tr>
    </w:tbl>
    <w:p w:rsidR="00F4358D" w:rsidRDefault="00D1585A">
      <w:pPr>
        <w:rPr>
          <w:noProof/>
          <w:sz w:val="20"/>
          <w:u w:val="single"/>
        </w:rPr>
      </w:pPr>
      <w:r>
        <w:rPr>
          <w:noProof/>
          <w:sz w:val="20"/>
          <w:u w:val="single"/>
        </w:rPr>
        <w:t xml:space="preserve">Personalikulud arvutati lähtuvalt kavandatavast värbamiskuupäevast (praeguste </w:t>
      </w:r>
      <w:r>
        <w:rPr>
          <w:noProof/>
          <w:sz w:val="20"/>
          <w:u w:val="single"/>
        </w:rPr>
        <w:t>ENISA töötajate puhul eeldati täielikku tööhõivet alates 1.1.2019). Uute töötajate puhul nähti ette järkjärguline tööhõive alates 1.7.2019 ja täielik tööhõive 2022. aastal. Ressursside väljavaade pärast 2020. aastat on hinnanguline ja see ei piira 2020. aa</w:t>
      </w:r>
      <w:r>
        <w:rPr>
          <w:noProof/>
          <w:sz w:val="20"/>
          <w:u w:val="single"/>
        </w:rPr>
        <w:t>sta järgset mitmeaastast finantsraamistikku käsitlevate komisjoni ettepanekute kohaldamist.</w:t>
      </w:r>
    </w:p>
    <w:p w:rsidR="00F4358D" w:rsidRDefault="00F4358D">
      <w:pPr>
        <w:rPr>
          <w:noProof/>
          <w:sz w:val="20"/>
          <w:u w:val="single"/>
        </w:rPr>
      </w:pPr>
    </w:p>
    <w:p w:rsidR="00F4358D" w:rsidRDefault="00D1585A">
      <w:pPr>
        <w:rPr>
          <w:noProof/>
          <w:u w:val="single"/>
        </w:rPr>
      </w:pPr>
      <w:r>
        <w:rPr>
          <w:noProof/>
          <w:u w:val="single"/>
        </w:rPr>
        <w:t>Hinnanguline mõju inimressurssidele (täiendavad täistööajale taandatud töötajad) – ametikohtade loetelu</w:t>
      </w:r>
    </w:p>
    <w:tbl>
      <w:tblPr>
        <w:tblW w:w="5000" w:type="pct"/>
        <w:tblCellMar>
          <w:left w:w="0" w:type="dxa"/>
          <w:right w:w="0" w:type="dxa"/>
        </w:tblCellMar>
        <w:tblLook w:val="04A0" w:firstRow="1" w:lastRow="0" w:firstColumn="1" w:lastColumn="0" w:noHBand="0" w:noVBand="1"/>
      </w:tblPr>
      <w:tblGrid>
        <w:gridCol w:w="2762"/>
        <w:gridCol w:w="1836"/>
        <w:gridCol w:w="1065"/>
        <w:gridCol w:w="1131"/>
        <w:gridCol w:w="1092"/>
        <w:gridCol w:w="1303"/>
      </w:tblGrid>
      <w:tr w:rsidR="00F4358D">
        <w:trPr>
          <w:trHeight w:val="300"/>
        </w:trPr>
        <w:tc>
          <w:tcPr>
            <w:tcW w:w="1463" w:type="pct"/>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rsidR="00F4358D" w:rsidRDefault="00D1585A">
            <w:pPr>
              <w:jc w:val="center"/>
              <w:rPr>
                <w:rFonts w:ascii="Calibri" w:eastAsia="Calibri" w:hAnsi="Calibri" w:cs="Calibri"/>
                <w:noProof/>
                <w:sz w:val="22"/>
              </w:rPr>
            </w:pPr>
            <w:r>
              <w:rPr>
                <w:noProof/>
              </w:rPr>
              <w:t>Tegevusüksus ja palgaaste</w:t>
            </w:r>
          </w:p>
        </w:tc>
        <w:tc>
          <w:tcPr>
            <w:tcW w:w="933"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F4358D" w:rsidRDefault="00D1585A">
            <w:pPr>
              <w:jc w:val="center"/>
              <w:rPr>
                <w:rFonts w:eastAsia="Calibri"/>
                <w:noProof/>
                <w:sz w:val="22"/>
              </w:rPr>
            </w:pPr>
            <w:r>
              <w:rPr>
                <w:noProof/>
                <w:sz w:val="22"/>
              </w:rPr>
              <w:t>2017</w:t>
            </w:r>
          </w:p>
          <w:p w:rsidR="00F4358D" w:rsidRDefault="00D1585A">
            <w:pPr>
              <w:jc w:val="center"/>
              <w:rPr>
                <w:rFonts w:eastAsia="Calibri"/>
                <w:b/>
                <w:noProof/>
                <w:sz w:val="22"/>
              </w:rPr>
            </w:pPr>
            <w:r>
              <w:rPr>
                <w:b/>
                <w:noProof/>
                <w:sz w:val="22"/>
              </w:rPr>
              <w:t>Praegune ENISA</w:t>
            </w:r>
          </w:p>
        </w:tc>
        <w:tc>
          <w:tcPr>
            <w:tcW w:w="606" w:type="pct"/>
            <w:tcBorders>
              <w:top w:val="single" w:sz="8" w:space="0" w:color="auto"/>
              <w:left w:val="single" w:sz="8" w:space="0" w:color="auto"/>
              <w:bottom w:val="single" w:sz="8" w:space="0" w:color="auto"/>
              <w:right w:val="single" w:sz="8" w:space="0" w:color="auto"/>
            </w:tcBorders>
            <w:vAlign w:val="center"/>
          </w:tcPr>
          <w:p w:rsidR="00F4358D" w:rsidRDefault="00F4358D">
            <w:pPr>
              <w:spacing w:before="0" w:after="0"/>
              <w:jc w:val="center"/>
              <w:rPr>
                <w:rFonts w:eastAsia="Calibri"/>
                <w:noProof/>
                <w:sz w:val="22"/>
              </w:rPr>
            </w:pPr>
          </w:p>
          <w:p w:rsidR="00F4358D" w:rsidRDefault="00D1585A">
            <w:pPr>
              <w:spacing w:before="0" w:after="0"/>
              <w:jc w:val="center"/>
              <w:rPr>
                <w:rFonts w:eastAsia="Calibri"/>
                <w:noProof/>
                <w:sz w:val="22"/>
              </w:rPr>
            </w:pPr>
            <w:r>
              <w:rPr>
                <w:noProof/>
                <w:sz w:val="22"/>
              </w:rPr>
              <w:t xml:space="preserve">2019. aasta </w:t>
            </w:r>
            <w:r>
              <w:rPr>
                <w:noProof/>
                <w:sz w:val="22"/>
              </w:rPr>
              <w:t>kolmas ja neljas kvartal</w:t>
            </w:r>
          </w:p>
          <w:p w:rsidR="00F4358D" w:rsidRDefault="00F4358D">
            <w:pPr>
              <w:spacing w:before="0" w:after="0"/>
              <w:jc w:val="center"/>
              <w:rPr>
                <w:rFonts w:eastAsia="Calibri"/>
                <w:noProof/>
                <w:sz w:val="22"/>
              </w:rPr>
            </w:pPr>
          </w:p>
        </w:tc>
        <w:tc>
          <w:tcPr>
            <w:tcW w:w="642" w:type="pct"/>
            <w:tcBorders>
              <w:top w:val="single" w:sz="8" w:space="0" w:color="auto"/>
              <w:left w:val="single" w:sz="8" w:space="0" w:color="auto"/>
              <w:bottom w:val="single" w:sz="8" w:space="0" w:color="auto"/>
              <w:right w:val="single" w:sz="8" w:space="0" w:color="auto"/>
            </w:tcBorders>
            <w:vAlign w:val="center"/>
          </w:tcPr>
          <w:p w:rsidR="00F4358D" w:rsidRDefault="00D1585A">
            <w:pPr>
              <w:spacing w:before="0" w:after="0"/>
              <w:jc w:val="center"/>
              <w:rPr>
                <w:rFonts w:eastAsia="Calibri"/>
                <w:noProof/>
                <w:sz w:val="22"/>
              </w:rPr>
            </w:pPr>
            <w:r>
              <w:rPr>
                <w:noProof/>
                <w:sz w:val="22"/>
              </w:rPr>
              <w:t>2020</w:t>
            </w:r>
          </w:p>
        </w:tc>
        <w:tc>
          <w:tcPr>
            <w:tcW w:w="621" w:type="pct"/>
            <w:tcBorders>
              <w:top w:val="single" w:sz="8" w:space="0" w:color="auto"/>
              <w:left w:val="single" w:sz="8" w:space="0" w:color="auto"/>
              <w:bottom w:val="single" w:sz="8" w:space="0" w:color="auto"/>
              <w:right w:val="single" w:sz="8" w:space="0" w:color="auto"/>
            </w:tcBorders>
            <w:vAlign w:val="center"/>
          </w:tcPr>
          <w:p w:rsidR="00F4358D" w:rsidRDefault="00D1585A">
            <w:pPr>
              <w:spacing w:before="0" w:after="0"/>
              <w:jc w:val="center"/>
              <w:rPr>
                <w:rFonts w:eastAsia="Calibri"/>
                <w:noProof/>
                <w:sz w:val="22"/>
              </w:rPr>
            </w:pPr>
            <w:r>
              <w:rPr>
                <w:noProof/>
                <w:sz w:val="22"/>
              </w:rPr>
              <w:t>2021</w:t>
            </w:r>
          </w:p>
        </w:tc>
        <w:tc>
          <w:tcPr>
            <w:tcW w:w="735" w:type="pct"/>
            <w:tcBorders>
              <w:top w:val="single" w:sz="8" w:space="0" w:color="auto"/>
              <w:left w:val="single" w:sz="8" w:space="0" w:color="auto"/>
              <w:bottom w:val="single" w:sz="8" w:space="0" w:color="auto"/>
              <w:right w:val="single" w:sz="8" w:space="0" w:color="auto"/>
            </w:tcBorders>
          </w:tcPr>
          <w:p w:rsidR="00F4358D" w:rsidRDefault="00F4358D">
            <w:pPr>
              <w:spacing w:before="0" w:after="0"/>
              <w:jc w:val="center"/>
              <w:rPr>
                <w:rFonts w:eastAsia="Calibri"/>
                <w:noProof/>
                <w:sz w:val="22"/>
              </w:rPr>
            </w:pPr>
          </w:p>
          <w:p w:rsidR="00F4358D" w:rsidRDefault="00D1585A">
            <w:pPr>
              <w:spacing w:before="0" w:after="0"/>
              <w:jc w:val="center"/>
              <w:rPr>
                <w:rFonts w:eastAsia="Calibri"/>
                <w:noProof/>
                <w:sz w:val="22"/>
              </w:rPr>
            </w:pPr>
            <w:r>
              <w:rPr>
                <w:noProof/>
                <w:sz w:val="22"/>
              </w:rPr>
              <w:t>2022</w:t>
            </w:r>
          </w:p>
        </w:tc>
      </w:tr>
      <w:tr w:rsidR="00F4358D">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F4358D" w:rsidRDefault="00D1585A">
            <w:pPr>
              <w:spacing w:before="0" w:after="0"/>
              <w:jc w:val="center"/>
              <w:rPr>
                <w:rFonts w:ascii="Calibri" w:eastAsia="Calibri" w:hAnsi="Calibri" w:cs="Calibri"/>
                <w:noProof/>
                <w:sz w:val="22"/>
              </w:rPr>
            </w:pPr>
            <w:r>
              <w:rPr>
                <w:noProof/>
              </w:rPr>
              <w:t>AD16</w:t>
            </w:r>
          </w:p>
        </w:tc>
        <w:tc>
          <w:tcPr>
            <w:tcW w:w="933" w:type="pct"/>
            <w:tcBorders>
              <w:top w:val="single" w:sz="8" w:space="0" w:color="auto"/>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F4358D" w:rsidRDefault="00F4358D">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F4358D" w:rsidRDefault="00F4358D">
            <w:pPr>
              <w:spacing w:before="0" w:after="0"/>
              <w:jc w:val="center"/>
              <w:rPr>
                <w:noProof/>
              </w:rPr>
            </w:pPr>
          </w:p>
        </w:tc>
        <w:tc>
          <w:tcPr>
            <w:tcW w:w="642" w:type="pct"/>
            <w:tcBorders>
              <w:top w:val="nil"/>
              <w:left w:val="single" w:sz="8" w:space="0" w:color="auto"/>
              <w:bottom w:val="nil"/>
              <w:right w:val="single" w:sz="8" w:space="0" w:color="auto"/>
            </w:tcBorders>
            <w:vAlign w:val="center"/>
          </w:tcPr>
          <w:p w:rsidR="00F4358D" w:rsidRDefault="00F4358D">
            <w:pPr>
              <w:spacing w:before="0" w:after="0"/>
              <w:jc w:val="center"/>
              <w:rPr>
                <w:noProof/>
              </w:rPr>
            </w:pPr>
          </w:p>
        </w:tc>
        <w:tc>
          <w:tcPr>
            <w:tcW w:w="621" w:type="pct"/>
            <w:tcBorders>
              <w:top w:val="nil"/>
              <w:left w:val="single" w:sz="8" w:space="0" w:color="auto"/>
              <w:bottom w:val="nil"/>
              <w:right w:val="single" w:sz="8" w:space="0" w:color="auto"/>
            </w:tcBorders>
            <w:vAlign w:val="center"/>
          </w:tcPr>
          <w:p w:rsidR="00F4358D" w:rsidRDefault="00F4358D">
            <w:pPr>
              <w:spacing w:before="0" w:after="0"/>
              <w:jc w:val="center"/>
              <w:rPr>
                <w:noProof/>
              </w:rPr>
            </w:pPr>
          </w:p>
        </w:tc>
        <w:tc>
          <w:tcPr>
            <w:tcW w:w="735" w:type="pct"/>
            <w:tcBorders>
              <w:top w:val="nil"/>
              <w:left w:val="single" w:sz="8" w:space="0" w:color="auto"/>
              <w:bottom w:val="nil"/>
              <w:right w:val="single" w:sz="8" w:space="0" w:color="auto"/>
            </w:tcBorders>
          </w:tcPr>
          <w:p w:rsidR="00F4358D" w:rsidRDefault="00F4358D">
            <w:pPr>
              <w:spacing w:before="0" w:after="0"/>
              <w:jc w:val="center"/>
              <w:rPr>
                <w:noProof/>
              </w:rPr>
            </w:pPr>
          </w:p>
        </w:tc>
      </w:tr>
      <w:tr w:rsidR="00F4358D">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F4358D" w:rsidRDefault="00D1585A">
            <w:pPr>
              <w:spacing w:before="0" w:after="0"/>
              <w:jc w:val="center"/>
              <w:rPr>
                <w:rFonts w:ascii="Calibri" w:eastAsia="Calibri" w:hAnsi="Calibri" w:cs="Calibri"/>
                <w:noProof/>
                <w:sz w:val="22"/>
              </w:rPr>
            </w:pPr>
            <w:r>
              <w:rPr>
                <w:noProof/>
              </w:rPr>
              <w:t>AD15</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F4358D" w:rsidRDefault="00D1585A">
            <w:pPr>
              <w:spacing w:before="0" w:after="0"/>
              <w:jc w:val="center"/>
              <w:rPr>
                <w:rFonts w:eastAsia="Calibri"/>
                <w:noProof/>
                <w:szCs w:val="24"/>
              </w:rPr>
            </w:pPr>
            <w:r>
              <w:rPr>
                <w:noProof/>
              </w:rPr>
              <w:t>1</w:t>
            </w:r>
          </w:p>
        </w:tc>
        <w:tc>
          <w:tcPr>
            <w:tcW w:w="606" w:type="pct"/>
            <w:tcBorders>
              <w:top w:val="nil"/>
              <w:left w:val="single" w:sz="8" w:space="0" w:color="auto"/>
              <w:bottom w:val="nil"/>
              <w:right w:val="single" w:sz="8" w:space="0" w:color="auto"/>
            </w:tcBorders>
            <w:vAlign w:val="center"/>
          </w:tcPr>
          <w:p w:rsidR="00F4358D" w:rsidRDefault="00F4358D">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F4358D" w:rsidRDefault="00F4358D">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F4358D" w:rsidRDefault="00F4358D">
            <w:pPr>
              <w:spacing w:before="0" w:after="0"/>
              <w:jc w:val="center"/>
              <w:rPr>
                <w:noProof/>
                <w:szCs w:val="24"/>
              </w:rPr>
            </w:pPr>
          </w:p>
        </w:tc>
        <w:tc>
          <w:tcPr>
            <w:tcW w:w="735" w:type="pct"/>
            <w:tcBorders>
              <w:top w:val="nil"/>
              <w:left w:val="single" w:sz="8" w:space="0" w:color="auto"/>
              <w:bottom w:val="nil"/>
              <w:right w:val="single" w:sz="8" w:space="0" w:color="auto"/>
            </w:tcBorders>
          </w:tcPr>
          <w:p w:rsidR="00F4358D" w:rsidRDefault="00F4358D">
            <w:pPr>
              <w:spacing w:before="0" w:after="0"/>
              <w:jc w:val="center"/>
              <w:rPr>
                <w:noProof/>
                <w:szCs w:val="24"/>
              </w:rPr>
            </w:pPr>
          </w:p>
        </w:tc>
      </w:tr>
      <w:tr w:rsidR="00F4358D">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F4358D" w:rsidRDefault="00D1585A">
            <w:pPr>
              <w:spacing w:before="0" w:after="0"/>
              <w:jc w:val="center"/>
              <w:rPr>
                <w:rFonts w:ascii="Calibri" w:eastAsia="Calibri" w:hAnsi="Calibri" w:cs="Calibri"/>
                <w:noProof/>
                <w:sz w:val="22"/>
              </w:rPr>
            </w:pPr>
            <w:r>
              <w:rPr>
                <w:noProof/>
              </w:rPr>
              <w:t>AD14</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F4358D" w:rsidRDefault="00F4358D">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F4358D" w:rsidRDefault="00F4358D">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F4358D" w:rsidRDefault="00F4358D">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F4358D" w:rsidRDefault="00F4358D">
            <w:pPr>
              <w:spacing w:before="0" w:after="0"/>
              <w:jc w:val="center"/>
              <w:rPr>
                <w:noProof/>
                <w:szCs w:val="24"/>
              </w:rPr>
            </w:pPr>
          </w:p>
        </w:tc>
        <w:tc>
          <w:tcPr>
            <w:tcW w:w="735" w:type="pct"/>
            <w:tcBorders>
              <w:top w:val="nil"/>
              <w:left w:val="single" w:sz="8" w:space="0" w:color="auto"/>
              <w:bottom w:val="nil"/>
              <w:right w:val="single" w:sz="8" w:space="0" w:color="auto"/>
            </w:tcBorders>
          </w:tcPr>
          <w:p w:rsidR="00F4358D" w:rsidRDefault="00F4358D">
            <w:pPr>
              <w:spacing w:before="0" w:after="0"/>
              <w:jc w:val="center"/>
              <w:rPr>
                <w:noProof/>
                <w:szCs w:val="24"/>
              </w:rPr>
            </w:pPr>
          </w:p>
        </w:tc>
      </w:tr>
      <w:tr w:rsidR="00F4358D">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F4358D" w:rsidRDefault="00D1585A">
            <w:pPr>
              <w:spacing w:before="0" w:after="0"/>
              <w:jc w:val="center"/>
              <w:rPr>
                <w:rFonts w:ascii="Calibri" w:eastAsia="Calibri" w:hAnsi="Calibri" w:cs="Calibri"/>
                <w:noProof/>
                <w:sz w:val="22"/>
              </w:rPr>
            </w:pPr>
            <w:r>
              <w:rPr>
                <w:noProof/>
              </w:rPr>
              <w:t>AD13</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F4358D" w:rsidRDefault="00F4358D">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F4358D" w:rsidRDefault="00F4358D">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F4358D" w:rsidRDefault="00F4358D">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F4358D" w:rsidRDefault="00F4358D">
            <w:pPr>
              <w:spacing w:before="0" w:after="0"/>
              <w:jc w:val="center"/>
              <w:rPr>
                <w:noProof/>
                <w:szCs w:val="24"/>
              </w:rPr>
            </w:pPr>
          </w:p>
        </w:tc>
        <w:tc>
          <w:tcPr>
            <w:tcW w:w="735" w:type="pct"/>
            <w:tcBorders>
              <w:top w:val="nil"/>
              <w:left w:val="single" w:sz="8" w:space="0" w:color="auto"/>
              <w:bottom w:val="nil"/>
              <w:right w:val="single" w:sz="8" w:space="0" w:color="auto"/>
            </w:tcBorders>
          </w:tcPr>
          <w:p w:rsidR="00F4358D" w:rsidRDefault="00F4358D">
            <w:pPr>
              <w:spacing w:before="0" w:after="0"/>
              <w:jc w:val="center"/>
              <w:rPr>
                <w:noProof/>
                <w:szCs w:val="24"/>
              </w:rPr>
            </w:pPr>
          </w:p>
        </w:tc>
      </w:tr>
      <w:tr w:rsidR="00F4358D">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F4358D" w:rsidRDefault="00D1585A">
            <w:pPr>
              <w:spacing w:before="0" w:after="0"/>
              <w:jc w:val="center"/>
              <w:rPr>
                <w:rFonts w:ascii="Calibri" w:eastAsia="Calibri" w:hAnsi="Calibri" w:cs="Calibri"/>
                <w:noProof/>
                <w:sz w:val="22"/>
              </w:rPr>
            </w:pPr>
            <w:r>
              <w:rPr>
                <w:noProof/>
              </w:rPr>
              <w:t>AD12</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F4358D" w:rsidRDefault="00D1585A">
            <w:pPr>
              <w:spacing w:before="0" w:after="0"/>
              <w:jc w:val="center"/>
              <w:rPr>
                <w:rFonts w:eastAsia="Calibri"/>
                <w:noProof/>
                <w:szCs w:val="24"/>
              </w:rPr>
            </w:pPr>
            <w:r>
              <w:rPr>
                <w:noProof/>
              </w:rPr>
              <w:t>3</w:t>
            </w:r>
          </w:p>
        </w:tc>
        <w:tc>
          <w:tcPr>
            <w:tcW w:w="606" w:type="pct"/>
            <w:tcBorders>
              <w:top w:val="nil"/>
              <w:left w:val="single" w:sz="8" w:space="0" w:color="auto"/>
              <w:bottom w:val="nil"/>
              <w:right w:val="single" w:sz="8" w:space="0" w:color="auto"/>
            </w:tcBorders>
            <w:vAlign w:val="center"/>
          </w:tcPr>
          <w:p w:rsidR="00F4358D" w:rsidRDefault="00D1585A">
            <w:pPr>
              <w:spacing w:before="0" w:after="0"/>
              <w:jc w:val="center"/>
              <w:rPr>
                <w:noProof/>
                <w:szCs w:val="24"/>
              </w:rPr>
            </w:pPr>
            <w:r>
              <w:rPr>
                <w:noProof/>
              </w:rPr>
              <w:t>3</w:t>
            </w:r>
          </w:p>
        </w:tc>
        <w:tc>
          <w:tcPr>
            <w:tcW w:w="642" w:type="pct"/>
            <w:tcBorders>
              <w:top w:val="nil"/>
              <w:left w:val="single" w:sz="8" w:space="0" w:color="auto"/>
              <w:bottom w:val="nil"/>
              <w:right w:val="single" w:sz="8" w:space="0" w:color="auto"/>
            </w:tcBorders>
            <w:vAlign w:val="center"/>
          </w:tcPr>
          <w:p w:rsidR="00F4358D" w:rsidRDefault="00F4358D">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F4358D" w:rsidRDefault="00F4358D">
            <w:pPr>
              <w:spacing w:before="0" w:after="0"/>
              <w:jc w:val="center"/>
              <w:rPr>
                <w:noProof/>
                <w:szCs w:val="24"/>
              </w:rPr>
            </w:pPr>
          </w:p>
        </w:tc>
        <w:tc>
          <w:tcPr>
            <w:tcW w:w="735" w:type="pct"/>
            <w:tcBorders>
              <w:top w:val="nil"/>
              <w:left w:val="single" w:sz="8" w:space="0" w:color="auto"/>
              <w:bottom w:val="nil"/>
              <w:right w:val="single" w:sz="8" w:space="0" w:color="auto"/>
            </w:tcBorders>
          </w:tcPr>
          <w:p w:rsidR="00F4358D" w:rsidRDefault="00F4358D">
            <w:pPr>
              <w:spacing w:before="0" w:after="0"/>
              <w:jc w:val="center"/>
              <w:rPr>
                <w:noProof/>
                <w:szCs w:val="24"/>
              </w:rPr>
            </w:pPr>
          </w:p>
        </w:tc>
      </w:tr>
      <w:tr w:rsidR="00F4358D">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F4358D" w:rsidRDefault="00D1585A">
            <w:pPr>
              <w:spacing w:before="0" w:after="0"/>
              <w:jc w:val="center"/>
              <w:rPr>
                <w:rFonts w:ascii="Calibri" w:eastAsia="Calibri" w:hAnsi="Calibri" w:cs="Calibri"/>
                <w:noProof/>
                <w:sz w:val="22"/>
              </w:rPr>
            </w:pPr>
            <w:r>
              <w:rPr>
                <w:noProof/>
              </w:rPr>
              <w:t>AD11</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F4358D" w:rsidRDefault="00F4358D">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F4358D" w:rsidRDefault="00F4358D">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F4358D" w:rsidRDefault="00F4358D">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F4358D" w:rsidRDefault="00F4358D">
            <w:pPr>
              <w:spacing w:before="0" w:after="0"/>
              <w:jc w:val="center"/>
              <w:rPr>
                <w:noProof/>
                <w:szCs w:val="24"/>
              </w:rPr>
            </w:pPr>
          </w:p>
        </w:tc>
        <w:tc>
          <w:tcPr>
            <w:tcW w:w="735" w:type="pct"/>
            <w:tcBorders>
              <w:top w:val="nil"/>
              <w:left w:val="single" w:sz="8" w:space="0" w:color="auto"/>
              <w:bottom w:val="nil"/>
              <w:right w:val="single" w:sz="8" w:space="0" w:color="auto"/>
            </w:tcBorders>
          </w:tcPr>
          <w:p w:rsidR="00F4358D" w:rsidRDefault="00F4358D">
            <w:pPr>
              <w:spacing w:before="0" w:after="0"/>
              <w:jc w:val="center"/>
              <w:rPr>
                <w:noProof/>
                <w:szCs w:val="24"/>
              </w:rPr>
            </w:pPr>
          </w:p>
        </w:tc>
      </w:tr>
      <w:tr w:rsidR="00F4358D">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F4358D" w:rsidRDefault="00D1585A">
            <w:pPr>
              <w:spacing w:before="0" w:after="0"/>
              <w:jc w:val="center"/>
              <w:rPr>
                <w:rFonts w:ascii="Calibri" w:eastAsia="Calibri" w:hAnsi="Calibri" w:cs="Calibri"/>
                <w:noProof/>
                <w:sz w:val="22"/>
              </w:rPr>
            </w:pPr>
            <w:r>
              <w:rPr>
                <w:noProof/>
              </w:rPr>
              <w:t>AD10</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F4358D" w:rsidRDefault="00D1585A">
            <w:pPr>
              <w:spacing w:before="0" w:after="0"/>
              <w:jc w:val="center"/>
              <w:rPr>
                <w:rFonts w:eastAsia="Calibri"/>
                <w:noProof/>
                <w:szCs w:val="24"/>
              </w:rPr>
            </w:pPr>
            <w:r>
              <w:rPr>
                <w:noProof/>
              </w:rPr>
              <w:t>5</w:t>
            </w:r>
          </w:p>
        </w:tc>
        <w:tc>
          <w:tcPr>
            <w:tcW w:w="606" w:type="pct"/>
            <w:tcBorders>
              <w:top w:val="nil"/>
              <w:left w:val="single" w:sz="8" w:space="0" w:color="auto"/>
              <w:bottom w:val="nil"/>
              <w:right w:val="single" w:sz="8" w:space="0" w:color="auto"/>
            </w:tcBorders>
            <w:vAlign w:val="center"/>
          </w:tcPr>
          <w:p w:rsidR="00F4358D" w:rsidRDefault="00F4358D">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F4358D" w:rsidRDefault="00F4358D">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F4358D" w:rsidRDefault="00F4358D">
            <w:pPr>
              <w:spacing w:before="0" w:after="0"/>
              <w:jc w:val="center"/>
              <w:rPr>
                <w:noProof/>
                <w:szCs w:val="24"/>
              </w:rPr>
            </w:pPr>
          </w:p>
        </w:tc>
        <w:tc>
          <w:tcPr>
            <w:tcW w:w="735" w:type="pct"/>
            <w:tcBorders>
              <w:top w:val="nil"/>
              <w:left w:val="single" w:sz="8" w:space="0" w:color="auto"/>
              <w:bottom w:val="nil"/>
              <w:right w:val="single" w:sz="8" w:space="0" w:color="auto"/>
            </w:tcBorders>
          </w:tcPr>
          <w:p w:rsidR="00F4358D" w:rsidRDefault="00F4358D">
            <w:pPr>
              <w:spacing w:before="0" w:after="0"/>
              <w:jc w:val="center"/>
              <w:rPr>
                <w:noProof/>
                <w:szCs w:val="24"/>
              </w:rPr>
            </w:pPr>
          </w:p>
        </w:tc>
      </w:tr>
      <w:tr w:rsidR="00F4358D">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F4358D" w:rsidRDefault="00D1585A">
            <w:pPr>
              <w:spacing w:before="0" w:after="0"/>
              <w:jc w:val="center"/>
              <w:rPr>
                <w:rFonts w:ascii="Calibri" w:eastAsia="Calibri" w:hAnsi="Calibri" w:cs="Calibri"/>
                <w:noProof/>
                <w:sz w:val="22"/>
              </w:rPr>
            </w:pPr>
            <w:r>
              <w:rPr>
                <w:noProof/>
              </w:rPr>
              <w:t>AD9</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F4358D" w:rsidRDefault="00D1585A">
            <w:pPr>
              <w:spacing w:before="0" w:after="0"/>
              <w:jc w:val="center"/>
              <w:rPr>
                <w:rFonts w:eastAsia="Calibri"/>
                <w:noProof/>
                <w:szCs w:val="24"/>
              </w:rPr>
            </w:pPr>
            <w:r>
              <w:rPr>
                <w:noProof/>
              </w:rPr>
              <w:t>10</w:t>
            </w:r>
          </w:p>
        </w:tc>
        <w:tc>
          <w:tcPr>
            <w:tcW w:w="606" w:type="pct"/>
            <w:tcBorders>
              <w:top w:val="nil"/>
              <w:left w:val="single" w:sz="8" w:space="0" w:color="auto"/>
              <w:bottom w:val="nil"/>
              <w:right w:val="single" w:sz="8" w:space="0" w:color="auto"/>
            </w:tcBorders>
            <w:vAlign w:val="center"/>
          </w:tcPr>
          <w:p w:rsidR="00F4358D" w:rsidRDefault="00D1585A">
            <w:pPr>
              <w:spacing w:before="0" w:after="0"/>
              <w:jc w:val="center"/>
              <w:rPr>
                <w:noProof/>
                <w:szCs w:val="24"/>
              </w:rPr>
            </w:pPr>
            <w:r>
              <w:rPr>
                <w:noProof/>
              </w:rPr>
              <w:t>2</w:t>
            </w:r>
          </w:p>
        </w:tc>
        <w:tc>
          <w:tcPr>
            <w:tcW w:w="642" w:type="pct"/>
            <w:tcBorders>
              <w:top w:val="nil"/>
              <w:left w:val="single" w:sz="8" w:space="0" w:color="auto"/>
              <w:bottom w:val="nil"/>
              <w:right w:val="single" w:sz="8" w:space="0" w:color="auto"/>
            </w:tcBorders>
            <w:vAlign w:val="center"/>
          </w:tcPr>
          <w:p w:rsidR="00F4358D" w:rsidRDefault="00F4358D">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F4358D" w:rsidRDefault="00F4358D">
            <w:pPr>
              <w:spacing w:before="0" w:after="0"/>
              <w:jc w:val="center"/>
              <w:rPr>
                <w:noProof/>
                <w:szCs w:val="24"/>
              </w:rPr>
            </w:pPr>
          </w:p>
        </w:tc>
        <w:tc>
          <w:tcPr>
            <w:tcW w:w="735" w:type="pct"/>
            <w:tcBorders>
              <w:top w:val="nil"/>
              <w:left w:val="single" w:sz="8" w:space="0" w:color="auto"/>
              <w:bottom w:val="nil"/>
              <w:right w:val="single" w:sz="8" w:space="0" w:color="auto"/>
            </w:tcBorders>
          </w:tcPr>
          <w:p w:rsidR="00F4358D" w:rsidRDefault="00F4358D">
            <w:pPr>
              <w:spacing w:before="0" w:after="0"/>
              <w:jc w:val="center"/>
              <w:rPr>
                <w:noProof/>
                <w:szCs w:val="24"/>
              </w:rPr>
            </w:pPr>
          </w:p>
        </w:tc>
      </w:tr>
      <w:tr w:rsidR="00F4358D">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F4358D" w:rsidRDefault="00D1585A">
            <w:pPr>
              <w:spacing w:before="0" w:after="0"/>
              <w:jc w:val="center"/>
              <w:rPr>
                <w:rFonts w:ascii="Calibri" w:eastAsia="Calibri" w:hAnsi="Calibri" w:cs="Calibri"/>
                <w:noProof/>
                <w:sz w:val="22"/>
              </w:rPr>
            </w:pPr>
            <w:r>
              <w:rPr>
                <w:noProof/>
              </w:rPr>
              <w:t>AD8</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F4358D" w:rsidRDefault="00D1585A">
            <w:pPr>
              <w:spacing w:before="0" w:after="0"/>
              <w:jc w:val="center"/>
              <w:rPr>
                <w:rFonts w:eastAsia="Calibri"/>
                <w:noProof/>
                <w:szCs w:val="24"/>
              </w:rPr>
            </w:pPr>
            <w:r>
              <w:rPr>
                <w:noProof/>
              </w:rPr>
              <w:t>15</w:t>
            </w:r>
          </w:p>
        </w:tc>
        <w:tc>
          <w:tcPr>
            <w:tcW w:w="606" w:type="pct"/>
            <w:tcBorders>
              <w:top w:val="nil"/>
              <w:left w:val="single" w:sz="8" w:space="0" w:color="auto"/>
              <w:bottom w:val="nil"/>
              <w:right w:val="single" w:sz="8" w:space="0" w:color="auto"/>
            </w:tcBorders>
            <w:vAlign w:val="center"/>
          </w:tcPr>
          <w:p w:rsidR="00F4358D" w:rsidRDefault="00D1585A">
            <w:pPr>
              <w:spacing w:before="0" w:after="0"/>
              <w:jc w:val="center"/>
              <w:rPr>
                <w:noProof/>
                <w:szCs w:val="24"/>
              </w:rPr>
            </w:pPr>
            <w:r>
              <w:rPr>
                <w:noProof/>
              </w:rPr>
              <w:t>4</w:t>
            </w:r>
          </w:p>
        </w:tc>
        <w:tc>
          <w:tcPr>
            <w:tcW w:w="642" w:type="pct"/>
            <w:tcBorders>
              <w:top w:val="nil"/>
              <w:left w:val="single" w:sz="8" w:space="0" w:color="auto"/>
              <w:bottom w:val="nil"/>
              <w:right w:val="single" w:sz="8" w:space="0" w:color="auto"/>
            </w:tcBorders>
            <w:vAlign w:val="center"/>
          </w:tcPr>
          <w:p w:rsidR="00F4358D" w:rsidRDefault="00D1585A">
            <w:pPr>
              <w:spacing w:before="0" w:after="0"/>
              <w:jc w:val="center"/>
              <w:rPr>
                <w:noProof/>
                <w:szCs w:val="24"/>
              </w:rPr>
            </w:pPr>
            <w:r>
              <w:rPr>
                <w:noProof/>
              </w:rPr>
              <w:t>2</w:t>
            </w:r>
          </w:p>
        </w:tc>
        <w:tc>
          <w:tcPr>
            <w:tcW w:w="621" w:type="pct"/>
            <w:tcBorders>
              <w:top w:val="nil"/>
              <w:left w:val="single" w:sz="8" w:space="0" w:color="auto"/>
              <w:bottom w:val="nil"/>
              <w:right w:val="single" w:sz="8" w:space="0" w:color="auto"/>
            </w:tcBorders>
            <w:vAlign w:val="center"/>
          </w:tcPr>
          <w:p w:rsidR="00F4358D" w:rsidRDefault="00F4358D">
            <w:pPr>
              <w:spacing w:before="0" w:after="0"/>
              <w:jc w:val="center"/>
              <w:rPr>
                <w:noProof/>
                <w:szCs w:val="24"/>
              </w:rPr>
            </w:pPr>
          </w:p>
        </w:tc>
        <w:tc>
          <w:tcPr>
            <w:tcW w:w="735" w:type="pct"/>
            <w:tcBorders>
              <w:top w:val="nil"/>
              <w:left w:val="single" w:sz="8" w:space="0" w:color="auto"/>
              <w:bottom w:val="nil"/>
              <w:right w:val="single" w:sz="8" w:space="0" w:color="auto"/>
            </w:tcBorders>
          </w:tcPr>
          <w:p w:rsidR="00F4358D" w:rsidRDefault="00D1585A">
            <w:pPr>
              <w:spacing w:before="0" w:after="0"/>
              <w:jc w:val="center"/>
              <w:rPr>
                <w:noProof/>
                <w:szCs w:val="24"/>
              </w:rPr>
            </w:pPr>
            <w:r>
              <w:rPr>
                <w:noProof/>
              </w:rPr>
              <w:t>1</w:t>
            </w:r>
          </w:p>
        </w:tc>
      </w:tr>
      <w:tr w:rsidR="00F4358D">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F4358D" w:rsidRDefault="00D1585A">
            <w:pPr>
              <w:spacing w:before="0" w:after="0"/>
              <w:jc w:val="center"/>
              <w:rPr>
                <w:rFonts w:ascii="Calibri" w:eastAsia="Calibri" w:hAnsi="Calibri" w:cs="Calibri"/>
                <w:noProof/>
                <w:sz w:val="22"/>
              </w:rPr>
            </w:pPr>
            <w:r>
              <w:rPr>
                <w:noProof/>
              </w:rPr>
              <w:t>AD7</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F4358D" w:rsidRDefault="00F4358D">
            <w:pPr>
              <w:spacing w:before="0" w:after="0"/>
              <w:jc w:val="center"/>
              <w:rPr>
                <w:noProof/>
                <w:szCs w:val="24"/>
              </w:rPr>
            </w:pPr>
          </w:p>
        </w:tc>
        <w:tc>
          <w:tcPr>
            <w:tcW w:w="606" w:type="pct"/>
            <w:tcBorders>
              <w:top w:val="nil"/>
              <w:left w:val="single" w:sz="8" w:space="0" w:color="auto"/>
              <w:bottom w:val="nil"/>
              <w:right w:val="single" w:sz="8" w:space="0" w:color="auto"/>
            </w:tcBorders>
            <w:vAlign w:val="center"/>
          </w:tcPr>
          <w:p w:rsidR="00F4358D" w:rsidRDefault="00F4358D">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F4358D" w:rsidRDefault="00D1585A">
            <w:pPr>
              <w:spacing w:before="0" w:after="0"/>
              <w:jc w:val="center"/>
              <w:rPr>
                <w:noProof/>
                <w:szCs w:val="24"/>
              </w:rPr>
            </w:pPr>
            <w:r>
              <w:rPr>
                <w:noProof/>
              </w:rPr>
              <w:t>3</w:t>
            </w:r>
          </w:p>
        </w:tc>
        <w:tc>
          <w:tcPr>
            <w:tcW w:w="621" w:type="pct"/>
            <w:tcBorders>
              <w:top w:val="nil"/>
              <w:left w:val="single" w:sz="8" w:space="0" w:color="auto"/>
              <w:bottom w:val="nil"/>
              <w:right w:val="single" w:sz="8" w:space="0" w:color="auto"/>
            </w:tcBorders>
            <w:vAlign w:val="center"/>
          </w:tcPr>
          <w:p w:rsidR="00F4358D" w:rsidRDefault="00D1585A">
            <w:pPr>
              <w:spacing w:before="0" w:after="0"/>
              <w:jc w:val="center"/>
              <w:rPr>
                <w:noProof/>
                <w:szCs w:val="24"/>
              </w:rPr>
            </w:pPr>
            <w:r>
              <w:rPr>
                <w:noProof/>
              </w:rPr>
              <w:t>3</w:t>
            </w:r>
          </w:p>
        </w:tc>
        <w:tc>
          <w:tcPr>
            <w:tcW w:w="735" w:type="pct"/>
            <w:tcBorders>
              <w:top w:val="nil"/>
              <w:left w:val="single" w:sz="8" w:space="0" w:color="auto"/>
              <w:bottom w:val="nil"/>
              <w:right w:val="single" w:sz="8" w:space="0" w:color="auto"/>
            </w:tcBorders>
          </w:tcPr>
          <w:p w:rsidR="00F4358D" w:rsidRDefault="00D1585A">
            <w:pPr>
              <w:spacing w:before="0" w:after="0"/>
              <w:jc w:val="center"/>
              <w:rPr>
                <w:noProof/>
                <w:szCs w:val="24"/>
              </w:rPr>
            </w:pPr>
            <w:r>
              <w:rPr>
                <w:noProof/>
              </w:rPr>
              <w:t>2</w:t>
            </w:r>
          </w:p>
        </w:tc>
      </w:tr>
      <w:tr w:rsidR="00F4358D">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F4358D" w:rsidRDefault="00D1585A">
            <w:pPr>
              <w:spacing w:before="0" w:after="0"/>
              <w:jc w:val="center"/>
              <w:rPr>
                <w:rFonts w:ascii="Calibri" w:eastAsia="Calibri" w:hAnsi="Calibri" w:cs="Calibri"/>
                <w:noProof/>
                <w:sz w:val="22"/>
              </w:rPr>
            </w:pPr>
            <w:r>
              <w:rPr>
                <w:noProof/>
              </w:rPr>
              <w:t>AD6</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F4358D" w:rsidRDefault="00F4358D">
            <w:pPr>
              <w:spacing w:before="0" w:after="0"/>
              <w:jc w:val="center"/>
              <w:rPr>
                <w:noProof/>
                <w:szCs w:val="24"/>
              </w:rPr>
            </w:pPr>
          </w:p>
        </w:tc>
        <w:tc>
          <w:tcPr>
            <w:tcW w:w="606" w:type="pct"/>
            <w:tcBorders>
              <w:top w:val="nil"/>
              <w:left w:val="single" w:sz="8" w:space="0" w:color="auto"/>
              <w:bottom w:val="nil"/>
              <w:right w:val="single" w:sz="8" w:space="0" w:color="auto"/>
            </w:tcBorders>
            <w:vAlign w:val="center"/>
          </w:tcPr>
          <w:p w:rsidR="00F4358D" w:rsidRDefault="00F4358D">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F4358D" w:rsidRDefault="00D1585A">
            <w:pPr>
              <w:spacing w:before="0" w:after="0"/>
              <w:jc w:val="center"/>
              <w:rPr>
                <w:noProof/>
                <w:szCs w:val="24"/>
              </w:rPr>
            </w:pPr>
            <w:r>
              <w:rPr>
                <w:noProof/>
              </w:rPr>
              <w:t>3</w:t>
            </w:r>
          </w:p>
        </w:tc>
        <w:tc>
          <w:tcPr>
            <w:tcW w:w="621" w:type="pct"/>
            <w:tcBorders>
              <w:top w:val="nil"/>
              <w:left w:val="single" w:sz="8" w:space="0" w:color="auto"/>
              <w:bottom w:val="nil"/>
              <w:right w:val="single" w:sz="8" w:space="0" w:color="auto"/>
            </w:tcBorders>
            <w:vAlign w:val="center"/>
          </w:tcPr>
          <w:p w:rsidR="00F4358D" w:rsidRDefault="00D1585A">
            <w:pPr>
              <w:spacing w:before="0" w:after="0"/>
              <w:jc w:val="center"/>
              <w:rPr>
                <w:noProof/>
                <w:szCs w:val="24"/>
              </w:rPr>
            </w:pPr>
            <w:r>
              <w:rPr>
                <w:noProof/>
              </w:rPr>
              <w:t>3</w:t>
            </w:r>
          </w:p>
        </w:tc>
        <w:tc>
          <w:tcPr>
            <w:tcW w:w="735" w:type="pct"/>
            <w:tcBorders>
              <w:top w:val="nil"/>
              <w:left w:val="single" w:sz="8" w:space="0" w:color="auto"/>
              <w:bottom w:val="nil"/>
              <w:right w:val="single" w:sz="8" w:space="0" w:color="auto"/>
            </w:tcBorders>
          </w:tcPr>
          <w:p w:rsidR="00F4358D" w:rsidRDefault="00F4358D">
            <w:pPr>
              <w:spacing w:before="0" w:after="0"/>
              <w:jc w:val="center"/>
              <w:rPr>
                <w:noProof/>
                <w:szCs w:val="24"/>
              </w:rPr>
            </w:pPr>
          </w:p>
        </w:tc>
      </w:tr>
      <w:tr w:rsidR="00F4358D">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F4358D" w:rsidRDefault="00D1585A">
            <w:pPr>
              <w:spacing w:before="0" w:after="0"/>
              <w:jc w:val="center"/>
              <w:rPr>
                <w:rFonts w:ascii="Calibri" w:eastAsia="Calibri" w:hAnsi="Calibri" w:cs="Calibri"/>
                <w:noProof/>
                <w:sz w:val="22"/>
              </w:rPr>
            </w:pPr>
            <w:r>
              <w:rPr>
                <w:noProof/>
              </w:rPr>
              <w:t>AD5</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F4358D" w:rsidRDefault="00F4358D">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F4358D" w:rsidRDefault="00F4358D">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F4358D" w:rsidRDefault="00F4358D">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F4358D" w:rsidRDefault="00F4358D">
            <w:pPr>
              <w:spacing w:before="0" w:after="0"/>
              <w:jc w:val="center"/>
              <w:rPr>
                <w:noProof/>
                <w:szCs w:val="24"/>
              </w:rPr>
            </w:pPr>
          </w:p>
        </w:tc>
        <w:tc>
          <w:tcPr>
            <w:tcW w:w="735" w:type="pct"/>
            <w:tcBorders>
              <w:top w:val="nil"/>
              <w:left w:val="single" w:sz="8" w:space="0" w:color="auto"/>
              <w:bottom w:val="nil"/>
              <w:right w:val="single" w:sz="8" w:space="0" w:color="auto"/>
            </w:tcBorders>
          </w:tcPr>
          <w:p w:rsidR="00F4358D" w:rsidRDefault="00F4358D">
            <w:pPr>
              <w:spacing w:before="0" w:after="0"/>
              <w:jc w:val="center"/>
              <w:rPr>
                <w:noProof/>
                <w:szCs w:val="24"/>
              </w:rPr>
            </w:pPr>
          </w:p>
        </w:tc>
      </w:tr>
      <w:tr w:rsidR="00F4358D">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F4358D" w:rsidRDefault="00F4358D">
            <w:pPr>
              <w:spacing w:before="0" w:after="0"/>
              <w:jc w:val="center"/>
              <w:rPr>
                <w:rFonts w:ascii="Calibri" w:eastAsia="Calibri" w:hAnsi="Calibri" w:cs="Calibri"/>
                <w:noProof/>
                <w:sz w:val="22"/>
              </w:rPr>
            </w:pP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F4358D" w:rsidRDefault="00F4358D">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F4358D" w:rsidRDefault="00F4358D">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F4358D" w:rsidRDefault="00F4358D">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F4358D" w:rsidRDefault="00F4358D">
            <w:pPr>
              <w:spacing w:before="0" w:after="0"/>
              <w:jc w:val="center"/>
              <w:rPr>
                <w:noProof/>
                <w:szCs w:val="24"/>
              </w:rPr>
            </w:pPr>
          </w:p>
        </w:tc>
        <w:tc>
          <w:tcPr>
            <w:tcW w:w="735" w:type="pct"/>
            <w:tcBorders>
              <w:top w:val="nil"/>
              <w:left w:val="single" w:sz="8" w:space="0" w:color="auto"/>
              <w:bottom w:val="nil"/>
              <w:right w:val="single" w:sz="8" w:space="0" w:color="auto"/>
            </w:tcBorders>
          </w:tcPr>
          <w:p w:rsidR="00F4358D" w:rsidRDefault="00F4358D">
            <w:pPr>
              <w:spacing w:before="0" w:after="0"/>
              <w:jc w:val="center"/>
              <w:rPr>
                <w:noProof/>
                <w:szCs w:val="24"/>
              </w:rPr>
            </w:pPr>
          </w:p>
        </w:tc>
      </w:tr>
      <w:tr w:rsidR="00F4358D">
        <w:trPr>
          <w:trHeight w:val="300"/>
        </w:trPr>
        <w:tc>
          <w:tcPr>
            <w:tcW w:w="1463" w:type="pct"/>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rsidR="00F4358D" w:rsidRDefault="00D1585A">
            <w:pPr>
              <w:spacing w:before="0" w:after="0"/>
              <w:jc w:val="center"/>
              <w:rPr>
                <w:rFonts w:ascii="Calibri" w:eastAsia="Calibri" w:hAnsi="Calibri" w:cs="Calibri"/>
                <w:noProof/>
                <w:sz w:val="22"/>
              </w:rPr>
            </w:pPr>
            <w:r>
              <w:rPr>
                <w:noProof/>
              </w:rPr>
              <w:t>AD kokku</w:t>
            </w:r>
          </w:p>
        </w:tc>
        <w:tc>
          <w:tcPr>
            <w:tcW w:w="933" w:type="pct"/>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4358D" w:rsidRDefault="00D1585A">
            <w:pPr>
              <w:spacing w:before="0" w:after="0"/>
              <w:jc w:val="center"/>
              <w:rPr>
                <w:noProof/>
                <w:szCs w:val="24"/>
              </w:rPr>
            </w:pPr>
            <w:r>
              <w:rPr>
                <w:noProof/>
              </w:rPr>
              <w:t>34</w:t>
            </w:r>
          </w:p>
        </w:tc>
        <w:tc>
          <w:tcPr>
            <w:tcW w:w="606" w:type="pct"/>
            <w:tcBorders>
              <w:top w:val="single" w:sz="8" w:space="0" w:color="auto"/>
              <w:left w:val="single" w:sz="8" w:space="0" w:color="auto"/>
              <w:bottom w:val="single" w:sz="8" w:space="0" w:color="auto"/>
              <w:right w:val="single" w:sz="8" w:space="0" w:color="auto"/>
            </w:tcBorders>
            <w:vAlign w:val="center"/>
          </w:tcPr>
          <w:p w:rsidR="00F4358D" w:rsidRDefault="00D1585A">
            <w:pPr>
              <w:spacing w:before="0" w:after="0"/>
              <w:jc w:val="center"/>
              <w:rPr>
                <w:noProof/>
                <w:szCs w:val="24"/>
              </w:rPr>
            </w:pPr>
            <w:r>
              <w:rPr>
                <w:noProof/>
              </w:rPr>
              <w:t>9</w:t>
            </w:r>
          </w:p>
        </w:tc>
        <w:tc>
          <w:tcPr>
            <w:tcW w:w="642" w:type="pct"/>
            <w:tcBorders>
              <w:top w:val="single" w:sz="8" w:space="0" w:color="auto"/>
              <w:left w:val="single" w:sz="8" w:space="0" w:color="auto"/>
              <w:bottom w:val="single" w:sz="8" w:space="0" w:color="auto"/>
              <w:right w:val="single" w:sz="8" w:space="0" w:color="auto"/>
            </w:tcBorders>
            <w:vAlign w:val="center"/>
          </w:tcPr>
          <w:p w:rsidR="00F4358D" w:rsidRDefault="00D1585A">
            <w:pPr>
              <w:spacing w:before="0" w:after="0"/>
              <w:jc w:val="center"/>
              <w:rPr>
                <w:noProof/>
                <w:szCs w:val="24"/>
              </w:rPr>
            </w:pPr>
            <w:r>
              <w:rPr>
                <w:noProof/>
              </w:rPr>
              <w:t>8</w:t>
            </w:r>
          </w:p>
        </w:tc>
        <w:tc>
          <w:tcPr>
            <w:tcW w:w="621" w:type="pct"/>
            <w:tcBorders>
              <w:top w:val="single" w:sz="8" w:space="0" w:color="auto"/>
              <w:left w:val="single" w:sz="8" w:space="0" w:color="auto"/>
              <w:bottom w:val="single" w:sz="8" w:space="0" w:color="auto"/>
              <w:right w:val="single" w:sz="8" w:space="0" w:color="auto"/>
            </w:tcBorders>
            <w:vAlign w:val="center"/>
          </w:tcPr>
          <w:p w:rsidR="00F4358D" w:rsidRDefault="00D1585A">
            <w:pPr>
              <w:spacing w:before="0" w:after="0"/>
              <w:jc w:val="center"/>
              <w:rPr>
                <w:noProof/>
                <w:szCs w:val="24"/>
              </w:rPr>
            </w:pPr>
            <w:r>
              <w:rPr>
                <w:noProof/>
              </w:rPr>
              <w:t>6</w:t>
            </w:r>
          </w:p>
        </w:tc>
        <w:tc>
          <w:tcPr>
            <w:tcW w:w="735" w:type="pct"/>
            <w:tcBorders>
              <w:top w:val="single" w:sz="8" w:space="0" w:color="auto"/>
              <w:left w:val="single" w:sz="8" w:space="0" w:color="auto"/>
              <w:bottom w:val="single" w:sz="8" w:space="0" w:color="auto"/>
              <w:right w:val="single" w:sz="8" w:space="0" w:color="auto"/>
            </w:tcBorders>
          </w:tcPr>
          <w:p w:rsidR="00F4358D" w:rsidRDefault="00D1585A">
            <w:pPr>
              <w:spacing w:before="0" w:after="0"/>
              <w:jc w:val="center"/>
              <w:rPr>
                <w:noProof/>
                <w:szCs w:val="24"/>
              </w:rPr>
            </w:pPr>
            <w:r>
              <w:rPr>
                <w:noProof/>
              </w:rPr>
              <w:t>3</w:t>
            </w:r>
          </w:p>
        </w:tc>
      </w:tr>
      <w:tr w:rsidR="00F4358D">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F4358D" w:rsidRDefault="00D1585A">
            <w:pPr>
              <w:spacing w:before="0" w:after="0"/>
              <w:jc w:val="center"/>
              <w:rPr>
                <w:rFonts w:ascii="Calibri" w:eastAsia="Calibri" w:hAnsi="Calibri" w:cs="Calibri"/>
                <w:noProof/>
                <w:sz w:val="22"/>
              </w:rPr>
            </w:pPr>
            <w:r>
              <w:rPr>
                <w:noProof/>
              </w:rPr>
              <w:t>AST11</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F4358D" w:rsidRDefault="00F4358D">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F4358D" w:rsidRDefault="00F4358D">
            <w:pPr>
              <w:spacing w:before="0" w:after="0"/>
              <w:jc w:val="center"/>
              <w:rPr>
                <w:noProof/>
              </w:rPr>
            </w:pPr>
          </w:p>
        </w:tc>
        <w:tc>
          <w:tcPr>
            <w:tcW w:w="642" w:type="pct"/>
            <w:tcBorders>
              <w:top w:val="nil"/>
              <w:left w:val="single" w:sz="8" w:space="0" w:color="auto"/>
              <w:bottom w:val="nil"/>
              <w:right w:val="single" w:sz="8" w:space="0" w:color="auto"/>
            </w:tcBorders>
            <w:vAlign w:val="center"/>
          </w:tcPr>
          <w:p w:rsidR="00F4358D" w:rsidRDefault="00F4358D">
            <w:pPr>
              <w:spacing w:before="0" w:after="0"/>
              <w:jc w:val="center"/>
              <w:rPr>
                <w:noProof/>
              </w:rPr>
            </w:pPr>
          </w:p>
        </w:tc>
        <w:tc>
          <w:tcPr>
            <w:tcW w:w="621" w:type="pct"/>
            <w:tcBorders>
              <w:top w:val="nil"/>
              <w:left w:val="single" w:sz="8" w:space="0" w:color="auto"/>
              <w:bottom w:val="nil"/>
              <w:right w:val="single" w:sz="8" w:space="0" w:color="auto"/>
            </w:tcBorders>
            <w:vAlign w:val="center"/>
          </w:tcPr>
          <w:p w:rsidR="00F4358D" w:rsidRDefault="00F4358D">
            <w:pPr>
              <w:spacing w:before="0" w:after="0"/>
              <w:jc w:val="center"/>
              <w:rPr>
                <w:noProof/>
              </w:rPr>
            </w:pPr>
          </w:p>
        </w:tc>
        <w:tc>
          <w:tcPr>
            <w:tcW w:w="735" w:type="pct"/>
            <w:tcBorders>
              <w:top w:val="nil"/>
              <w:left w:val="single" w:sz="8" w:space="0" w:color="auto"/>
              <w:bottom w:val="nil"/>
              <w:right w:val="single" w:sz="8" w:space="0" w:color="auto"/>
            </w:tcBorders>
          </w:tcPr>
          <w:p w:rsidR="00F4358D" w:rsidRDefault="00F4358D">
            <w:pPr>
              <w:spacing w:before="0" w:after="0"/>
              <w:jc w:val="center"/>
              <w:rPr>
                <w:noProof/>
              </w:rPr>
            </w:pPr>
          </w:p>
        </w:tc>
      </w:tr>
      <w:tr w:rsidR="00F4358D">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F4358D" w:rsidRDefault="00D1585A">
            <w:pPr>
              <w:spacing w:before="0" w:after="0"/>
              <w:jc w:val="center"/>
              <w:rPr>
                <w:rFonts w:ascii="Calibri" w:eastAsia="Calibri" w:hAnsi="Calibri" w:cs="Calibri"/>
                <w:noProof/>
                <w:sz w:val="22"/>
              </w:rPr>
            </w:pPr>
            <w:r>
              <w:rPr>
                <w:noProof/>
              </w:rPr>
              <w:t>AST10</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F4358D" w:rsidRDefault="00F4358D">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F4358D" w:rsidRDefault="00F4358D">
            <w:pPr>
              <w:spacing w:before="0" w:after="0"/>
              <w:jc w:val="center"/>
              <w:rPr>
                <w:noProof/>
              </w:rPr>
            </w:pPr>
          </w:p>
        </w:tc>
        <w:tc>
          <w:tcPr>
            <w:tcW w:w="642" w:type="pct"/>
            <w:tcBorders>
              <w:top w:val="nil"/>
              <w:left w:val="single" w:sz="8" w:space="0" w:color="auto"/>
              <w:bottom w:val="nil"/>
              <w:right w:val="single" w:sz="8" w:space="0" w:color="auto"/>
            </w:tcBorders>
            <w:vAlign w:val="center"/>
          </w:tcPr>
          <w:p w:rsidR="00F4358D" w:rsidRDefault="00F4358D">
            <w:pPr>
              <w:spacing w:before="0" w:after="0"/>
              <w:jc w:val="center"/>
              <w:rPr>
                <w:noProof/>
              </w:rPr>
            </w:pPr>
          </w:p>
        </w:tc>
        <w:tc>
          <w:tcPr>
            <w:tcW w:w="621" w:type="pct"/>
            <w:tcBorders>
              <w:top w:val="nil"/>
              <w:left w:val="single" w:sz="8" w:space="0" w:color="auto"/>
              <w:bottom w:val="nil"/>
              <w:right w:val="single" w:sz="8" w:space="0" w:color="auto"/>
            </w:tcBorders>
            <w:vAlign w:val="center"/>
          </w:tcPr>
          <w:p w:rsidR="00F4358D" w:rsidRDefault="00F4358D">
            <w:pPr>
              <w:spacing w:before="0" w:after="0"/>
              <w:jc w:val="center"/>
              <w:rPr>
                <w:noProof/>
              </w:rPr>
            </w:pPr>
          </w:p>
        </w:tc>
        <w:tc>
          <w:tcPr>
            <w:tcW w:w="735" w:type="pct"/>
            <w:tcBorders>
              <w:top w:val="nil"/>
              <w:left w:val="single" w:sz="8" w:space="0" w:color="auto"/>
              <w:bottom w:val="nil"/>
              <w:right w:val="single" w:sz="8" w:space="0" w:color="auto"/>
            </w:tcBorders>
          </w:tcPr>
          <w:p w:rsidR="00F4358D" w:rsidRDefault="00F4358D">
            <w:pPr>
              <w:spacing w:before="0" w:after="0"/>
              <w:jc w:val="center"/>
              <w:rPr>
                <w:noProof/>
              </w:rPr>
            </w:pPr>
          </w:p>
        </w:tc>
      </w:tr>
      <w:tr w:rsidR="00F4358D">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tcPr>
          <w:p w:rsidR="00F4358D" w:rsidRDefault="00D1585A">
            <w:pPr>
              <w:spacing w:before="0" w:after="0"/>
              <w:jc w:val="center"/>
              <w:rPr>
                <w:rFonts w:ascii="Calibri" w:eastAsia="Calibri" w:hAnsi="Calibri" w:cs="Calibri"/>
                <w:noProof/>
                <w:sz w:val="22"/>
              </w:rPr>
            </w:pPr>
            <w:r>
              <w:rPr>
                <w:noProof/>
              </w:rPr>
              <w:t>AST9</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F4358D" w:rsidRDefault="00F4358D">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F4358D" w:rsidRDefault="00F4358D">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F4358D" w:rsidRDefault="00F4358D">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F4358D" w:rsidRDefault="00F4358D">
            <w:pPr>
              <w:spacing w:before="0" w:after="0"/>
              <w:jc w:val="center"/>
              <w:rPr>
                <w:noProof/>
                <w:szCs w:val="24"/>
              </w:rPr>
            </w:pPr>
          </w:p>
        </w:tc>
        <w:tc>
          <w:tcPr>
            <w:tcW w:w="735" w:type="pct"/>
            <w:tcBorders>
              <w:top w:val="nil"/>
              <w:left w:val="single" w:sz="8" w:space="0" w:color="auto"/>
              <w:bottom w:val="nil"/>
              <w:right w:val="single" w:sz="8" w:space="0" w:color="auto"/>
            </w:tcBorders>
          </w:tcPr>
          <w:p w:rsidR="00F4358D" w:rsidRDefault="00F4358D">
            <w:pPr>
              <w:spacing w:before="0" w:after="0"/>
              <w:jc w:val="center"/>
              <w:rPr>
                <w:noProof/>
                <w:szCs w:val="24"/>
              </w:rPr>
            </w:pPr>
          </w:p>
        </w:tc>
      </w:tr>
      <w:tr w:rsidR="00F4358D">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F4358D" w:rsidRDefault="00D1585A">
            <w:pPr>
              <w:spacing w:before="0" w:after="0"/>
              <w:jc w:val="center"/>
              <w:rPr>
                <w:rFonts w:ascii="Calibri" w:eastAsia="Calibri" w:hAnsi="Calibri" w:cs="Calibri"/>
                <w:noProof/>
                <w:sz w:val="22"/>
              </w:rPr>
            </w:pPr>
            <w:r>
              <w:rPr>
                <w:noProof/>
              </w:rPr>
              <w:t>AST8</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F4358D" w:rsidRDefault="00F4358D">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F4358D" w:rsidRDefault="00F4358D">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F4358D" w:rsidRDefault="00F4358D">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F4358D" w:rsidRDefault="00F4358D">
            <w:pPr>
              <w:spacing w:before="0" w:after="0"/>
              <w:jc w:val="center"/>
              <w:rPr>
                <w:noProof/>
                <w:szCs w:val="24"/>
              </w:rPr>
            </w:pPr>
          </w:p>
        </w:tc>
        <w:tc>
          <w:tcPr>
            <w:tcW w:w="735" w:type="pct"/>
            <w:tcBorders>
              <w:top w:val="nil"/>
              <w:left w:val="single" w:sz="8" w:space="0" w:color="auto"/>
              <w:bottom w:val="nil"/>
              <w:right w:val="single" w:sz="8" w:space="0" w:color="auto"/>
            </w:tcBorders>
          </w:tcPr>
          <w:p w:rsidR="00F4358D" w:rsidRDefault="00F4358D">
            <w:pPr>
              <w:spacing w:before="0" w:after="0"/>
              <w:jc w:val="center"/>
              <w:rPr>
                <w:noProof/>
                <w:szCs w:val="24"/>
              </w:rPr>
            </w:pPr>
          </w:p>
        </w:tc>
      </w:tr>
      <w:tr w:rsidR="00F4358D">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F4358D" w:rsidRDefault="00D1585A">
            <w:pPr>
              <w:spacing w:before="0" w:after="0"/>
              <w:jc w:val="center"/>
              <w:rPr>
                <w:rFonts w:ascii="Calibri" w:eastAsia="Calibri" w:hAnsi="Calibri" w:cs="Calibri"/>
                <w:noProof/>
                <w:sz w:val="22"/>
              </w:rPr>
            </w:pPr>
            <w:r>
              <w:rPr>
                <w:noProof/>
              </w:rPr>
              <w:t>AST7</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F4358D" w:rsidRDefault="00D1585A">
            <w:pPr>
              <w:spacing w:before="0" w:after="0"/>
              <w:jc w:val="center"/>
              <w:rPr>
                <w:rFonts w:eastAsia="Calibri"/>
                <w:noProof/>
                <w:szCs w:val="24"/>
              </w:rPr>
            </w:pPr>
            <w:r>
              <w:rPr>
                <w:noProof/>
              </w:rPr>
              <w:t>2</w:t>
            </w:r>
          </w:p>
        </w:tc>
        <w:tc>
          <w:tcPr>
            <w:tcW w:w="606" w:type="pct"/>
            <w:tcBorders>
              <w:top w:val="nil"/>
              <w:left w:val="single" w:sz="8" w:space="0" w:color="auto"/>
              <w:bottom w:val="nil"/>
              <w:right w:val="single" w:sz="8" w:space="0" w:color="auto"/>
            </w:tcBorders>
            <w:vAlign w:val="center"/>
          </w:tcPr>
          <w:p w:rsidR="00F4358D" w:rsidRDefault="00D1585A">
            <w:pPr>
              <w:spacing w:before="0" w:after="0"/>
              <w:jc w:val="center"/>
              <w:rPr>
                <w:noProof/>
                <w:szCs w:val="24"/>
              </w:rPr>
            </w:pPr>
            <w:r>
              <w:rPr>
                <w:noProof/>
              </w:rPr>
              <w:t>1</w:t>
            </w:r>
          </w:p>
        </w:tc>
        <w:tc>
          <w:tcPr>
            <w:tcW w:w="642" w:type="pct"/>
            <w:tcBorders>
              <w:top w:val="nil"/>
              <w:left w:val="single" w:sz="8" w:space="0" w:color="auto"/>
              <w:bottom w:val="nil"/>
              <w:right w:val="single" w:sz="8" w:space="0" w:color="auto"/>
            </w:tcBorders>
            <w:vAlign w:val="center"/>
          </w:tcPr>
          <w:p w:rsidR="00F4358D" w:rsidRDefault="00D1585A">
            <w:pPr>
              <w:spacing w:before="0" w:after="0"/>
              <w:jc w:val="center"/>
              <w:rPr>
                <w:noProof/>
                <w:szCs w:val="24"/>
              </w:rPr>
            </w:pPr>
            <w:r>
              <w:rPr>
                <w:noProof/>
              </w:rPr>
              <w:t>1</w:t>
            </w:r>
          </w:p>
        </w:tc>
        <w:tc>
          <w:tcPr>
            <w:tcW w:w="621" w:type="pct"/>
            <w:tcBorders>
              <w:top w:val="nil"/>
              <w:left w:val="single" w:sz="8" w:space="0" w:color="auto"/>
              <w:bottom w:val="nil"/>
              <w:right w:val="single" w:sz="8" w:space="0" w:color="auto"/>
            </w:tcBorders>
            <w:vAlign w:val="center"/>
          </w:tcPr>
          <w:p w:rsidR="00F4358D" w:rsidRDefault="00D1585A">
            <w:pPr>
              <w:spacing w:before="0" w:after="0"/>
              <w:jc w:val="center"/>
              <w:rPr>
                <w:noProof/>
                <w:szCs w:val="24"/>
              </w:rPr>
            </w:pPr>
            <w:r>
              <w:rPr>
                <w:noProof/>
              </w:rPr>
              <w:t>1</w:t>
            </w:r>
          </w:p>
        </w:tc>
        <w:tc>
          <w:tcPr>
            <w:tcW w:w="735" w:type="pct"/>
            <w:tcBorders>
              <w:top w:val="nil"/>
              <w:left w:val="single" w:sz="8" w:space="0" w:color="auto"/>
              <w:bottom w:val="nil"/>
              <w:right w:val="single" w:sz="8" w:space="0" w:color="auto"/>
            </w:tcBorders>
          </w:tcPr>
          <w:p w:rsidR="00F4358D" w:rsidRDefault="00F4358D">
            <w:pPr>
              <w:spacing w:before="0" w:after="0"/>
              <w:jc w:val="center"/>
              <w:rPr>
                <w:noProof/>
                <w:szCs w:val="24"/>
              </w:rPr>
            </w:pPr>
          </w:p>
        </w:tc>
      </w:tr>
      <w:tr w:rsidR="00F4358D">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F4358D" w:rsidRDefault="00D1585A">
            <w:pPr>
              <w:spacing w:before="0" w:after="0"/>
              <w:jc w:val="center"/>
              <w:rPr>
                <w:rFonts w:ascii="Calibri" w:eastAsia="Calibri" w:hAnsi="Calibri" w:cs="Calibri"/>
                <w:noProof/>
                <w:sz w:val="22"/>
              </w:rPr>
            </w:pPr>
            <w:r>
              <w:rPr>
                <w:noProof/>
              </w:rPr>
              <w:t>AST6</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F4358D" w:rsidRDefault="00D1585A">
            <w:pPr>
              <w:spacing w:before="0" w:after="0"/>
              <w:jc w:val="center"/>
              <w:rPr>
                <w:rFonts w:eastAsia="Calibri"/>
                <w:noProof/>
                <w:szCs w:val="24"/>
              </w:rPr>
            </w:pPr>
            <w:r>
              <w:rPr>
                <w:noProof/>
              </w:rPr>
              <w:t>5</w:t>
            </w:r>
          </w:p>
        </w:tc>
        <w:tc>
          <w:tcPr>
            <w:tcW w:w="606" w:type="pct"/>
            <w:tcBorders>
              <w:top w:val="nil"/>
              <w:left w:val="single" w:sz="8" w:space="0" w:color="auto"/>
              <w:bottom w:val="nil"/>
              <w:right w:val="single" w:sz="8" w:space="0" w:color="auto"/>
            </w:tcBorders>
            <w:vAlign w:val="center"/>
          </w:tcPr>
          <w:p w:rsidR="00F4358D" w:rsidRDefault="00D1585A">
            <w:pPr>
              <w:spacing w:before="0" w:after="0"/>
              <w:jc w:val="center"/>
              <w:rPr>
                <w:noProof/>
                <w:szCs w:val="24"/>
              </w:rPr>
            </w:pPr>
            <w:r>
              <w:rPr>
                <w:noProof/>
              </w:rPr>
              <w:t>2</w:t>
            </w:r>
          </w:p>
        </w:tc>
        <w:tc>
          <w:tcPr>
            <w:tcW w:w="642" w:type="pct"/>
            <w:tcBorders>
              <w:top w:val="nil"/>
              <w:left w:val="single" w:sz="8" w:space="0" w:color="auto"/>
              <w:bottom w:val="nil"/>
              <w:right w:val="single" w:sz="8" w:space="0" w:color="auto"/>
            </w:tcBorders>
            <w:vAlign w:val="center"/>
          </w:tcPr>
          <w:p w:rsidR="00F4358D" w:rsidRDefault="00D1585A">
            <w:pPr>
              <w:spacing w:before="0" w:after="0"/>
              <w:jc w:val="center"/>
              <w:rPr>
                <w:noProof/>
                <w:szCs w:val="24"/>
              </w:rPr>
            </w:pPr>
            <w:r>
              <w:rPr>
                <w:noProof/>
              </w:rPr>
              <w:t>1</w:t>
            </w:r>
          </w:p>
        </w:tc>
        <w:tc>
          <w:tcPr>
            <w:tcW w:w="621" w:type="pct"/>
            <w:tcBorders>
              <w:top w:val="nil"/>
              <w:left w:val="single" w:sz="8" w:space="0" w:color="auto"/>
              <w:bottom w:val="nil"/>
              <w:right w:val="single" w:sz="8" w:space="0" w:color="auto"/>
            </w:tcBorders>
            <w:vAlign w:val="center"/>
          </w:tcPr>
          <w:p w:rsidR="00F4358D" w:rsidRDefault="00F4358D">
            <w:pPr>
              <w:spacing w:before="0" w:after="0"/>
              <w:jc w:val="center"/>
              <w:rPr>
                <w:noProof/>
                <w:szCs w:val="24"/>
              </w:rPr>
            </w:pPr>
          </w:p>
        </w:tc>
        <w:tc>
          <w:tcPr>
            <w:tcW w:w="735" w:type="pct"/>
            <w:tcBorders>
              <w:top w:val="nil"/>
              <w:left w:val="single" w:sz="8" w:space="0" w:color="auto"/>
              <w:bottom w:val="nil"/>
              <w:right w:val="single" w:sz="8" w:space="0" w:color="auto"/>
            </w:tcBorders>
          </w:tcPr>
          <w:p w:rsidR="00F4358D" w:rsidRDefault="00F4358D">
            <w:pPr>
              <w:spacing w:before="0" w:after="0"/>
              <w:jc w:val="center"/>
              <w:rPr>
                <w:noProof/>
                <w:szCs w:val="24"/>
              </w:rPr>
            </w:pPr>
          </w:p>
        </w:tc>
      </w:tr>
      <w:tr w:rsidR="00F4358D">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F4358D" w:rsidRDefault="00D1585A">
            <w:pPr>
              <w:spacing w:before="0" w:after="0"/>
              <w:jc w:val="center"/>
              <w:rPr>
                <w:rFonts w:ascii="Calibri" w:eastAsia="Calibri" w:hAnsi="Calibri" w:cs="Calibri"/>
                <w:noProof/>
                <w:sz w:val="22"/>
              </w:rPr>
            </w:pPr>
            <w:r>
              <w:rPr>
                <w:noProof/>
              </w:rPr>
              <w:t>AST5</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F4358D" w:rsidRDefault="00D1585A">
            <w:pPr>
              <w:spacing w:before="0" w:after="0"/>
              <w:jc w:val="center"/>
              <w:rPr>
                <w:rFonts w:eastAsia="Calibri"/>
                <w:noProof/>
                <w:szCs w:val="24"/>
              </w:rPr>
            </w:pPr>
            <w:r>
              <w:rPr>
                <w:noProof/>
              </w:rPr>
              <w:t>5</w:t>
            </w:r>
          </w:p>
        </w:tc>
        <w:tc>
          <w:tcPr>
            <w:tcW w:w="606" w:type="pct"/>
            <w:tcBorders>
              <w:top w:val="nil"/>
              <w:left w:val="single" w:sz="8" w:space="0" w:color="auto"/>
              <w:bottom w:val="nil"/>
              <w:right w:val="single" w:sz="8" w:space="0" w:color="auto"/>
            </w:tcBorders>
            <w:vAlign w:val="center"/>
          </w:tcPr>
          <w:p w:rsidR="00F4358D" w:rsidRDefault="00F4358D">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F4358D" w:rsidRDefault="00F4358D">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F4358D" w:rsidRDefault="00F4358D">
            <w:pPr>
              <w:spacing w:before="0" w:after="0"/>
              <w:jc w:val="center"/>
              <w:rPr>
                <w:noProof/>
                <w:szCs w:val="24"/>
              </w:rPr>
            </w:pPr>
          </w:p>
        </w:tc>
        <w:tc>
          <w:tcPr>
            <w:tcW w:w="735" w:type="pct"/>
            <w:tcBorders>
              <w:top w:val="nil"/>
              <w:left w:val="single" w:sz="8" w:space="0" w:color="auto"/>
              <w:bottom w:val="nil"/>
              <w:right w:val="single" w:sz="8" w:space="0" w:color="auto"/>
            </w:tcBorders>
          </w:tcPr>
          <w:p w:rsidR="00F4358D" w:rsidRDefault="00F4358D">
            <w:pPr>
              <w:spacing w:before="0" w:after="0"/>
              <w:jc w:val="center"/>
              <w:rPr>
                <w:noProof/>
                <w:szCs w:val="24"/>
              </w:rPr>
            </w:pPr>
          </w:p>
        </w:tc>
      </w:tr>
      <w:tr w:rsidR="00F4358D">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F4358D" w:rsidRDefault="00D1585A">
            <w:pPr>
              <w:spacing w:before="0" w:after="0"/>
              <w:jc w:val="center"/>
              <w:rPr>
                <w:rFonts w:ascii="Calibri" w:eastAsia="Calibri" w:hAnsi="Calibri" w:cs="Calibri"/>
                <w:noProof/>
                <w:sz w:val="22"/>
              </w:rPr>
            </w:pPr>
            <w:r>
              <w:rPr>
                <w:noProof/>
              </w:rPr>
              <w:t>AST4</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F4358D" w:rsidRDefault="00D1585A">
            <w:pPr>
              <w:spacing w:before="0" w:after="0"/>
              <w:jc w:val="center"/>
              <w:rPr>
                <w:rFonts w:eastAsia="Calibri"/>
                <w:noProof/>
                <w:szCs w:val="24"/>
              </w:rPr>
            </w:pPr>
            <w:r>
              <w:rPr>
                <w:noProof/>
              </w:rPr>
              <w:t>2</w:t>
            </w:r>
          </w:p>
        </w:tc>
        <w:tc>
          <w:tcPr>
            <w:tcW w:w="606" w:type="pct"/>
            <w:tcBorders>
              <w:top w:val="nil"/>
              <w:left w:val="single" w:sz="8" w:space="0" w:color="auto"/>
              <w:bottom w:val="nil"/>
              <w:right w:val="single" w:sz="8" w:space="0" w:color="auto"/>
            </w:tcBorders>
            <w:vAlign w:val="center"/>
          </w:tcPr>
          <w:p w:rsidR="00F4358D" w:rsidRDefault="00F4358D">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F4358D" w:rsidRDefault="00F4358D">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F4358D" w:rsidRDefault="00F4358D">
            <w:pPr>
              <w:spacing w:before="0" w:after="0"/>
              <w:jc w:val="center"/>
              <w:rPr>
                <w:noProof/>
                <w:szCs w:val="24"/>
              </w:rPr>
            </w:pPr>
          </w:p>
        </w:tc>
        <w:tc>
          <w:tcPr>
            <w:tcW w:w="735" w:type="pct"/>
            <w:tcBorders>
              <w:top w:val="nil"/>
              <w:left w:val="single" w:sz="8" w:space="0" w:color="auto"/>
              <w:bottom w:val="nil"/>
              <w:right w:val="single" w:sz="8" w:space="0" w:color="auto"/>
            </w:tcBorders>
          </w:tcPr>
          <w:p w:rsidR="00F4358D" w:rsidRDefault="00F4358D">
            <w:pPr>
              <w:spacing w:before="0" w:after="0"/>
              <w:jc w:val="center"/>
              <w:rPr>
                <w:noProof/>
                <w:szCs w:val="24"/>
              </w:rPr>
            </w:pPr>
          </w:p>
        </w:tc>
      </w:tr>
      <w:tr w:rsidR="00F4358D">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F4358D" w:rsidRDefault="00D1585A">
            <w:pPr>
              <w:spacing w:before="0" w:after="0"/>
              <w:jc w:val="center"/>
              <w:rPr>
                <w:rFonts w:ascii="Calibri" w:eastAsia="Calibri" w:hAnsi="Calibri" w:cs="Calibri"/>
                <w:noProof/>
                <w:sz w:val="22"/>
              </w:rPr>
            </w:pPr>
            <w:r>
              <w:rPr>
                <w:noProof/>
              </w:rPr>
              <w:t>AST3</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F4358D" w:rsidRDefault="00F4358D">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F4358D" w:rsidRDefault="00F4358D">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F4358D" w:rsidRDefault="00F4358D">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F4358D" w:rsidRDefault="00F4358D">
            <w:pPr>
              <w:spacing w:before="0" w:after="0"/>
              <w:jc w:val="center"/>
              <w:rPr>
                <w:noProof/>
                <w:szCs w:val="24"/>
              </w:rPr>
            </w:pPr>
          </w:p>
        </w:tc>
        <w:tc>
          <w:tcPr>
            <w:tcW w:w="735" w:type="pct"/>
            <w:tcBorders>
              <w:top w:val="nil"/>
              <w:left w:val="single" w:sz="8" w:space="0" w:color="auto"/>
              <w:bottom w:val="nil"/>
              <w:right w:val="single" w:sz="8" w:space="0" w:color="auto"/>
            </w:tcBorders>
          </w:tcPr>
          <w:p w:rsidR="00F4358D" w:rsidRDefault="00F4358D">
            <w:pPr>
              <w:spacing w:before="0" w:after="0"/>
              <w:jc w:val="center"/>
              <w:rPr>
                <w:noProof/>
                <w:szCs w:val="24"/>
              </w:rPr>
            </w:pPr>
          </w:p>
        </w:tc>
      </w:tr>
      <w:tr w:rsidR="00F4358D">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F4358D" w:rsidRDefault="00D1585A">
            <w:pPr>
              <w:spacing w:before="0" w:after="0"/>
              <w:jc w:val="center"/>
              <w:rPr>
                <w:rFonts w:ascii="Calibri" w:eastAsia="Calibri" w:hAnsi="Calibri" w:cs="Calibri"/>
                <w:noProof/>
                <w:sz w:val="22"/>
              </w:rPr>
            </w:pPr>
            <w:r>
              <w:rPr>
                <w:noProof/>
              </w:rPr>
              <w:t>AST2</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F4358D" w:rsidRDefault="00F4358D">
            <w:pPr>
              <w:spacing w:before="0" w:after="0"/>
              <w:jc w:val="center"/>
              <w:rPr>
                <w:noProof/>
                <w:szCs w:val="24"/>
              </w:rPr>
            </w:pPr>
          </w:p>
        </w:tc>
        <w:tc>
          <w:tcPr>
            <w:tcW w:w="606" w:type="pct"/>
            <w:tcBorders>
              <w:top w:val="nil"/>
              <w:left w:val="single" w:sz="8" w:space="0" w:color="auto"/>
              <w:bottom w:val="nil"/>
              <w:right w:val="single" w:sz="8" w:space="0" w:color="auto"/>
            </w:tcBorders>
            <w:vAlign w:val="center"/>
          </w:tcPr>
          <w:p w:rsidR="00F4358D" w:rsidRDefault="00F4358D">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F4358D" w:rsidRDefault="00F4358D">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F4358D" w:rsidRDefault="00F4358D">
            <w:pPr>
              <w:spacing w:before="0" w:after="0"/>
              <w:jc w:val="center"/>
              <w:rPr>
                <w:noProof/>
                <w:szCs w:val="24"/>
              </w:rPr>
            </w:pPr>
          </w:p>
        </w:tc>
        <w:tc>
          <w:tcPr>
            <w:tcW w:w="735" w:type="pct"/>
            <w:tcBorders>
              <w:top w:val="nil"/>
              <w:left w:val="single" w:sz="8" w:space="0" w:color="auto"/>
              <w:bottom w:val="nil"/>
              <w:right w:val="single" w:sz="8" w:space="0" w:color="auto"/>
            </w:tcBorders>
          </w:tcPr>
          <w:p w:rsidR="00F4358D" w:rsidRDefault="00F4358D">
            <w:pPr>
              <w:spacing w:before="0" w:after="0"/>
              <w:jc w:val="center"/>
              <w:rPr>
                <w:noProof/>
                <w:szCs w:val="24"/>
              </w:rPr>
            </w:pPr>
          </w:p>
        </w:tc>
      </w:tr>
      <w:tr w:rsidR="00F4358D">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F4358D" w:rsidRDefault="00D1585A">
            <w:pPr>
              <w:spacing w:before="0" w:after="0"/>
              <w:jc w:val="center"/>
              <w:rPr>
                <w:rFonts w:ascii="Calibri" w:eastAsia="Calibri" w:hAnsi="Calibri" w:cs="Calibri"/>
                <w:noProof/>
                <w:sz w:val="22"/>
              </w:rPr>
            </w:pPr>
            <w:r>
              <w:rPr>
                <w:noProof/>
              </w:rPr>
              <w:t>AST1</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F4358D" w:rsidRDefault="00F4358D">
            <w:pPr>
              <w:spacing w:before="0" w:after="0"/>
              <w:jc w:val="center"/>
              <w:rPr>
                <w:noProof/>
                <w:szCs w:val="24"/>
              </w:rPr>
            </w:pPr>
          </w:p>
        </w:tc>
        <w:tc>
          <w:tcPr>
            <w:tcW w:w="606" w:type="pct"/>
            <w:tcBorders>
              <w:top w:val="nil"/>
              <w:left w:val="single" w:sz="8" w:space="0" w:color="auto"/>
              <w:bottom w:val="nil"/>
              <w:right w:val="single" w:sz="8" w:space="0" w:color="auto"/>
            </w:tcBorders>
            <w:vAlign w:val="center"/>
          </w:tcPr>
          <w:p w:rsidR="00F4358D" w:rsidRDefault="00F4358D">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F4358D" w:rsidRDefault="00F4358D">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F4358D" w:rsidRDefault="00F4358D">
            <w:pPr>
              <w:spacing w:before="0" w:after="0"/>
              <w:jc w:val="center"/>
              <w:rPr>
                <w:noProof/>
                <w:szCs w:val="24"/>
              </w:rPr>
            </w:pPr>
          </w:p>
        </w:tc>
        <w:tc>
          <w:tcPr>
            <w:tcW w:w="735" w:type="pct"/>
            <w:tcBorders>
              <w:top w:val="nil"/>
              <w:left w:val="single" w:sz="8" w:space="0" w:color="auto"/>
              <w:bottom w:val="nil"/>
              <w:right w:val="single" w:sz="8" w:space="0" w:color="auto"/>
            </w:tcBorders>
          </w:tcPr>
          <w:p w:rsidR="00F4358D" w:rsidRDefault="00F4358D">
            <w:pPr>
              <w:spacing w:before="0" w:after="0"/>
              <w:jc w:val="center"/>
              <w:rPr>
                <w:noProof/>
                <w:szCs w:val="24"/>
              </w:rPr>
            </w:pPr>
          </w:p>
        </w:tc>
      </w:tr>
      <w:tr w:rsidR="00F4358D">
        <w:trPr>
          <w:trHeight w:val="300"/>
        </w:trPr>
        <w:tc>
          <w:tcPr>
            <w:tcW w:w="1463" w:type="pct"/>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rsidR="00F4358D" w:rsidRDefault="00D1585A">
            <w:pPr>
              <w:spacing w:before="0" w:after="0"/>
              <w:jc w:val="center"/>
              <w:rPr>
                <w:rFonts w:ascii="Calibri" w:eastAsia="Calibri" w:hAnsi="Calibri" w:cs="Calibri"/>
                <w:noProof/>
                <w:sz w:val="22"/>
              </w:rPr>
            </w:pPr>
            <w:r>
              <w:rPr>
                <w:noProof/>
              </w:rPr>
              <w:t>AST kokku</w:t>
            </w:r>
          </w:p>
        </w:tc>
        <w:tc>
          <w:tcPr>
            <w:tcW w:w="933"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4358D" w:rsidRDefault="00D1585A">
            <w:pPr>
              <w:spacing w:before="0" w:after="0"/>
              <w:jc w:val="center"/>
              <w:rPr>
                <w:noProof/>
                <w:szCs w:val="24"/>
              </w:rPr>
            </w:pPr>
            <w:r>
              <w:rPr>
                <w:noProof/>
              </w:rPr>
              <w:t>14</w:t>
            </w:r>
          </w:p>
        </w:tc>
        <w:tc>
          <w:tcPr>
            <w:tcW w:w="606" w:type="pct"/>
            <w:tcBorders>
              <w:top w:val="single" w:sz="8" w:space="0" w:color="auto"/>
              <w:left w:val="single" w:sz="8" w:space="0" w:color="auto"/>
              <w:bottom w:val="single" w:sz="8" w:space="0" w:color="auto"/>
              <w:right w:val="single" w:sz="8" w:space="0" w:color="auto"/>
            </w:tcBorders>
            <w:vAlign w:val="center"/>
          </w:tcPr>
          <w:p w:rsidR="00F4358D" w:rsidRDefault="00D1585A">
            <w:pPr>
              <w:spacing w:before="0" w:after="0"/>
              <w:jc w:val="center"/>
              <w:rPr>
                <w:noProof/>
                <w:szCs w:val="24"/>
              </w:rPr>
            </w:pPr>
            <w:r>
              <w:rPr>
                <w:noProof/>
              </w:rPr>
              <w:t>3</w:t>
            </w:r>
          </w:p>
        </w:tc>
        <w:tc>
          <w:tcPr>
            <w:tcW w:w="642" w:type="pct"/>
            <w:tcBorders>
              <w:top w:val="single" w:sz="8" w:space="0" w:color="auto"/>
              <w:left w:val="single" w:sz="8" w:space="0" w:color="auto"/>
              <w:bottom w:val="single" w:sz="8" w:space="0" w:color="auto"/>
              <w:right w:val="single" w:sz="8" w:space="0" w:color="auto"/>
            </w:tcBorders>
            <w:vAlign w:val="center"/>
          </w:tcPr>
          <w:p w:rsidR="00F4358D" w:rsidRDefault="00D1585A">
            <w:pPr>
              <w:spacing w:before="0" w:after="0"/>
              <w:jc w:val="center"/>
              <w:rPr>
                <w:noProof/>
                <w:szCs w:val="24"/>
              </w:rPr>
            </w:pPr>
            <w:r>
              <w:rPr>
                <w:noProof/>
              </w:rPr>
              <w:t>2</w:t>
            </w:r>
          </w:p>
        </w:tc>
        <w:tc>
          <w:tcPr>
            <w:tcW w:w="621" w:type="pct"/>
            <w:tcBorders>
              <w:top w:val="single" w:sz="8" w:space="0" w:color="auto"/>
              <w:left w:val="single" w:sz="8" w:space="0" w:color="auto"/>
              <w:bottom w:val="single" w:sz="8" w:space="0" w:color="auto"/>
              <w:right w:val="single" w:sz="8" w:space="0" w:color="auto"/>
            </w:tcBorders>
            <w:vAlign w:val="center"/>
          </w:tcPr>
          <w:p w:rsidR="00F4358D" w:rsidRDefault="00D1585A">
            <w:pPr>
              <w:spacing w:before="0" w:after="0"/>
              <w:jc w:val="center"/>
              <w:rPr>
                <w:noProof/>
                <w:szCs w:val="24"/>
              </w:rPr>
            </w:pPr>
            <w:r>
              <w:rPr>
                <w:noProof/>
              </w:rPr>
              <w:t>1</w:t>
            </w:r>
          </w:p>
        </w:tc>
        <w:tc>
          <w:tcPr>
            <w:tcW w:w="735" w:type="pct"/>
            <w:tcBorders>
              <w:top w:val="single" w:sz="8" w:space="0" w:color="auto"/>
              <w:left w:val="single" w:sz="8" w:space="0" w:color="auto"/>
              <w:bottom w:val="single" w:sz="8" w:space="0" w:color="auto"/>
              <w:right w:val="single" w:sz="8" w:space="0" w:color="auto"/>
            </w:tcBorders>
          </w:tcPr>
          <w:p w:rsidR="00F4358D" w:rsidRDefault="00F4358D">
            <w:pPr>
              <w:spacing w:before="0" w:after="0"/>
              <w:jc w:val="center"/>
              <w:rPr>
                <w:noProof/>
                <w:szCs w:val="24"/>
              </w:rPr>
            </w:pPr>
          </w:p>
        </w:tc>
      </w:tr>
      <w:tr w:rsidR="00F4358D">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F4358D" w:rsidRDefault="00D1585A">
            <w:pPr>
              <w:spacing w:before="0" w:after="0"/>
              <w:jc w:val="center"/>
              <w:rPr>
                <w:rFonts w:ascii="Calibri" w:eastAsia="Calibri" w:hAnsi="Calibri" w:cs="Calibri"/>
                <w:noProof/>
                <w:sz w:val="22"/>
              </w:rPr>
            </w:pPr>
            <w:r>
              <w:rPr>
                <w:noProof/>
              </w:rPr>
              <w:t>AST/SC 6</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F4358D" w:rsidRDefault="00F4358D">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F4358D" w:rsidRDefault="00F4358D">
            <w:pPr>
              <w:spacing w:before="0" w:after="0"/>
              <w:jc w:val="center"/>
              <w:rPr>
                <w:noProof/>
              </w:rPr>
            </w:pPr>
          </w:p>
        </w:tc>
        <w:tc>
          <w:tcPr>
            <w:tcW w:w="642" w:type="pct"/>
            <w:tcBorders>
              <w:top w:val="nil"/>
              <w:left w:val="single" w:sz="8" w:space="0" w:color="auto"/>
              <w:bottom w:val="nil"/>
              <w:right w:val="single" w:sz="8" w:space="0" w:color="auto"/>
            </w:tcBorders>
            <w:vAlign w:val="center"/>
          </w:tcPr>
          <w:p w:rsidR="00F4358D" w:rsidRDefault="00F4358D">
            <w:pPr>
              <w:spacing w:before="0" w:after="0"/>
              <w:jc w:val="center"/>
              <w:rPr>
                <w:noProof/>
              </w:rPr>
            </w:pPr>
          </w:p>
        </w:tc>
        <w:tc>
          <w:tcPr>
            <w:tcW w:w="621" w:type="pct"/>
            <w:tcBorders>
              <w:top w:val="nil"/>
              <w:left w:val="single" w:sz="8" w:space="0" w:color="auto"/>
              <w:bottom w:val="nil"/>
              <w:right w:val="single" w:sz="8" w:space="0" w:color="auto"/>
            </w:tcBorders>
            <w:vAlign w:val="center"/>
          </w:tcPr>
          <w:p w:rsidR="00F4358D" w:rsidRDefault="00F4358D">
            <w:pPr>
              <w:spacing w:before="0" w:after="0"/>
              <w:jc w:val="center"/>
              <w:rPr>
                <w:noProof/>
              </w:rPr>
            </w:pPr>
          </w:p>
        </w:tc>
        <w:tc>
          <w:tcPr>
            <w:tcW w:w="735" w:type="pct"/>
            <w:tcBorders>
              <w:top w:val="nil"/>
              <w:left w:val="single" w:sz="8" w:space="0" w:color="auto"/>
              <w:bottom w:val="nil"/>
              <w:right w:val="single" w:sz="8" w:space="0" w:color="auto"/>
            </w:tcBorders>
          </w:tcPr>
          <w:p w:rsidR="00F4358D" w:rsidRDefault="00F4358D">
            <w:pPr>
              <w:spacing w:before="0" w:after="0"/>
              <w:jc w:val="center"/>
              <w:rPr>
                <w:noProof/>
              </w:rPr>
            </w:pPr>
          </w:p>
        </w:tc>
      </w:tr>
      <w:tr w:rsidR="00F4358D">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F4358D" w:rsidRDefault="00D1585A">
            <w:pPr>
              <w:spacing w:before="0" w:after="0"/>
              <w:jc w:val="center"/>
              <w:rPr>
                <w:rFonts w:ascii="Calibri" w:eastAsia="Calibri" w:hAnsi="Calibri" w:cs="Calibri"/>
                <w:noProof/>
                <w:sz w:val="22"/>
              </w:rPr>
            </w:pPr>
            <w:r>
              <w:rPr>
                <w:noProof/>
              </w:rPr>
              <w:t>AST/SC 5</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F4358D" w:rsidRDefault="00F4358D">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F4358D" w:rsidRDefault="00F4358D">
            <w:pPr>
              <w:spacing w:before="0" w:after="0"/>
              <w:jc w:val="center"/>
              <w:rPr>
                <w:noProof/>
              </w:rPr>
            </w:pPr>
          </w:p>
        </w:tc>
        <w:tc>
          <w:tcPr>
            <w:tcW w:w="642" w:type="pct"/>
            <w:tcBorders>
              <w:top w:val="nil"/>
              <w:left w:val="single" w:sz="8" w:space="0" w:color="auto"/>
              <w:bottom w:val="nil"/>
              <w:right w:val="single" w:sz="8" w:space="0" w:color="auto"/>
            </w:tcBorders>
            <w:vAlign w:val="center"/>
          </w:tcPr>
          <w:p w:rsidR="00F4358D" w:rsidRDefault="00F4358D">
            <w:pPr>
              <w:spacing w:before="0" w:after="0"/>
              <w:jc w:val="center"/>
              <w:rPr>
                <w:noProof/>
              </w:rPr>
            </w:pPr>
          </w:p>
        </w:tc>
        <w:tc>
          <w:tcPr>
            <w:tcW w:w="621" w:type="pct"/>
            <w:tcBorders>
              <w:top w:val="nil"/>
              <w:left w:val="single" w:sz="8" w:space="0" w:color="auto"/>
              <w:bottom w:val="nil"/>
              <w:right w:val="single" w:sz="8" w:space="0" w:color="auto"/>
            </w:tcBorders>
            <w:vAlign w:val="center"/>
          </w:tcPr>
          <w:p w:rsidR="00F4358D" w:rsidRDefault="00F4358D">
            <w:pPr>
              <w:spacing w:before="0" w:after="0"/>
              <w:jc w:val="center"/>
              <w:rPr>
                <w:noProof/>
              </w:rPr>
            </w:pPr>
          </w:p>
        </w:tc>
        <w:tc>
          <w:tcPr>
            <w:tcW w:w="735" w:type="pct"/>
            <w:tcBorders>
              <w:top w:val="nil"/>
              <w:left w:val="single" w:sz="8" w:space="0" w:color="auto"/>
              <w:bottom w:val="nil"/>
              <w:right w:val="single" w:sz="8" w:space="0" w:color="auto"/>
            </w:tcBorders>
          </w:tcPr>
          <w:p w:rsidR="00F4358D" w:rsidRDefault="00F4358D">
            <w:pPr>
              <w:spacing w:before="0" w:after="0"/>
              <w:jc w:val="center"/>
              <w:rPr>
                <w:noProof/>
              </w:rPr>
            </w:pPr>
          </w:p>
        </w:tc>
      </w:tr>
      <w:tr w:rsidR="00F4358D">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tcPr>
          <w:p w:rsidR="00F4358D" w:rsidRDefault="00D1585A">
            <w:pPr>
              <w:spacing w:before="0" w:after="0"/>
              <w:jc w:val="center"/>
              <w:rPr>
                <w:rFonts w:ascii="Calibri" w:eastAsia="Calibri" w:hAnsi="Calibri" w:cs="Calibri"/>
                <w:noProof/>
                <w:sz w:val="22"/>
              </w:rPr>
            </w:pPr>
            <w:r>
              <w:rPr>
                <w:noProof/>
              </w:rPr>
              <w:t>AST/SC 4</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F4358D" w:rsidRDefault="00F4358D">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F4358D" w:rsidRDefault="00F4358D">
            <w:pPr>
              <w:spacing w:before="0" w:after="0"/>
              <w:jc w:val="center"/>
              <w:rPr>
                <w:noProof/>
              </w:rPr>
            </w:pPr>
          </w:p>
        </w:tc>
        <w:tc>
          <w:tcPr>
            <w:tcW w:w="642" w:type="pct"/>
            <w:tcBorders>
              <w:top w:val="nil"/>
              <w:left w:val="single" w:sz="8" w:space="0" w:color="auto"/>
              <w:bottom w:val="nil"/>
              <w:right w:val="single" w:sz="8" w:space="0" w:color="auto"/>
            </w:tcBorders>
            <w:vAlign w:val="center"/>
          </w:tcPr>
          <w:p w:rsidR="00F4358D" w:rsidRDefault="00F4358D">
            <w:pPr>
              <w:spacing w:before="0" w:after="0"/>
              <w:jc w:val="center"/>
              <w:rPr>
                <w:noProof/>
              </w:rPr>
            </w:pPr>
          </w:p>
        </w:tc>
        <w:tc>
          <w:tcPr>
            <w:tcW w:w="621" w:type="pct"/>
            <w:tcBorders>
              <w:top w:val="nil"/>
              <w:left w:val="single" w:sz="8" w:space="0" w:color="auto"/>
              <w:bottom w:val="nil"/>
              <w:right w:val="single" w:sz="8" w:space="0" w:color="auto"/>
            </w:tcBorders>
            <w:vAlign w:val="center"/>
          </w:tcPr>
          <w:p w:rsidR="00F4358D" w:rsidRDefault="00F4358D">
            <w:pPr>
              <w:spacing w:before="0" w:after="0"/>
              <w:jc w:val="center"/>
              <w:rPr>
                <w:noProof/>
              </w:rPr>
            </w:pPr>
          </w:p>
        </w:tc>
        <w:tc>
          <w:tcPr>
            <w:tcW w:w="735" w:type="pct"/>
            <w:tcBorders>
              <w:top w:val="nil"/>
              <w:left w:val="single" w:sz="8" w:space="0" w:color="auto"/>
              <w:bottom w:val="nil"/>
              <w:right w:val="single" w:sz="8" w:space="0" w:color="auto"/>
            </w:tcBorders>
          </w:tcPr>
          <w:p w:rsidR="00F4358D" w:rsidRDefault="00F4358D">
            <w:pPr>
              <w:spacing w:before="0" w:after="0"/>
              <w:jc w:val="center"/>
              <w:rPr>
                <w:noProof/>
              </w:rPr>
            </w:pPr>
          </w:p>
        </w:tc>
      </w:tr>
      <w:tr w:rsidR="00F4358D">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F4358D" w:rsidRDefault="00D1585A">
            <w:pPr>
              <w:spacing w:before="0" w:after="0"/>
              <w:jc w:val="center"/>
              <w:rPr>
                <w:rFonts w:ascii="Calibri" w:eastAsia="Calibri" w:hAnsi="Calibri" w:cs="Calibri"/>
                <w:noProof/>
                <w:sz w:val="22"/>
              </w:rPr>
            </w:pPr>
            <w:r>
              <w:rPr>
                <w:noProof/>
              </w:rPr>
              <w:t>AST/SC 3</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F4358D" w:rsidRDefault="00F4358D">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F4358D" w:rsidRDefault="00F4358D">
            <w:pPr>
              <w:spacing w:before="0" w:after="0"/>
              <w:jc w:val="center"/>
              <w:rPr>
                <w:noProof/>
              </w:rPr>
            </w:pPr>
          </w:p>
        </w:tc>
        <w:tc>
          <w:tcPr>
            <w:tcW w:w="642" w:type="pct"/>
            <w:tcBorders>
              <w:top w:val="nil"/>
              <w:left w:val="single" w:sz="8" w:space="0" w:color="auto"/>
              <w:bottom w:val="nil"/>
              <w:right w:val="single" w:sz="8" w:space="0" w:color="auto"/>
            </w:tcBorders>
            <w:vAlign w:val="center"/>
          </w:tcPr>
          <w:p w:rsidR="00F4358D" w:rsidRDefault="00F4358D">
            <w:pPr>
              <w:spacing w:before="0" w:after="0"/>
              <w:jc w:val="center"/>
              <w:rPr>
                <w:noProof/>
              </w:rPr>
            </w:pPr>
          </w:p>
        </w:tc>
        <w:tc>
          <w:tcPr>
            <w:tcW w:w="621" w:type="pct"/>
            <w:tcBorders>
              <w:top w:val="nil"/>
              <w:left w:val="single" w:sz="8" w:space="0" w:color="auto"/>
              <w:bottom w:val="nil"/>
              <w:right w:val="single" w:sz="8" w:space="0" w:color="auto"/>
            </w:tcBorders>
            <w:vAlign w:val="center"/>
          </w:tcPr>
          <w:p w:rsidR="00F4358D" w:rsidRDefault="00F4358D">
            <w:pPr>
              <w:spacing w:before="0" w:after="0"/>
              <w:jc w:val="center"/>
              <w:rPr>
                <w:noProof/>
              </w:rPr>
            </w:pPr>
          </w:p>
        </w:tc>
        <w:tc>
          <w:tcPr>
            <w:tcW w:w="735" w:type="pct"/>
            <w:tcBorders>
              <w:top w:val="nil"/>
              <w:left w:val="single" w:sz="8" w:space="0" w:color="auto"/>
              <w:bottom w:val="nil"/>
              <w:right w:val="single" w:sz="8" w:space="0" w:color="auto"/>
            </w:tcBorders>
          </w:tcPr>
          <w:p w:rsidR="00F4358D" w:rsidRDefault="00F4358D">
            <w:pPr>
              <w:spacing w:before="0" w:after="0"/>
              <w:jc w:val="center"/>
              <w:rPr>
                <w:noProof/>
              </w:rPr>
            </w:pPr>
          </w:p>
        </w:tc>
      </w:tr>
      <w:tr w:rsidR="00F4358D">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F4358D" w:rsidRDefault="00D1585A">
            <w:pPr>
              <w:spacing w:before="0" w:after="0"/>
              <w:jc w:val="center"/>
              <w:rPr>
                <w:rFonts w:ascii="Calibri" w:eastAsia="Calibri" w:hAnsi="Calibri" w:cs="Calibri"/>
                <w:noProof/>
                <w:sz w:val="22"/>
              </w:rPr>
            </w:pPr>
            <w:r>
              <w:rPr>
                <w:noProof/>
              </w:rPr>
              <w:t>AST/SC 2</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F4358D" w:rsidRDefault="00F4358D">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F4358D" w:rsidRDefault="00F4358D">
            <w:pPr>
              <w:spacing w:before="0" w:after="0"/>
              <w:jc w:val="center"/>
              <w:rPr>
                <w:noProof/>
              </w:rPr>
            </w:pPr>
          </w:p>
        </w:tc>
        <w:tc>
          <w:tcPr>
            <w:tcW w:w="642" w:type="pct"/>
            <w:tcBorders>
              <w:top w:val="nil"/>
              <w:left w:val="single" w:sz="8" w:space="0" w:color="auto"/>
              <w:bottom w:val="nil"/>
              <w:right w:val="single" w:sz="8" w:space="0" w:color="auto"/>
            </w:tcBorders>
            <w:vAlign w:val="center"/>
          </w:tcPr>
          <w:p w:rsidR="00F4358D" w:rsidRDefault="00F4358D">
            <w:pPr>
              <w:spacing w:before="0" w:after="0"/>
              <w:jc w:val="center"/>
              <w:rPr>
                <w:noProof/>
              </w:rPr>
            </w:pPr>
          </w:p>
        </w:tc>
        <w:tc>
          <w:tcPr>
            <w:tcW w:w="621" w:type="pct"/>
            <w:tcBorders>
              <w:top w:val="nil"/>
              <w:left w:val="single" w:sz="8" w:space="0" w:color="auto"/>
              <w:bottom w:val="nil"/>
              <w:right w:val="single" w:sz="8" w:space="0" w:color="auto"/>
            </w:tcBorders>
            <w:vAlign w:val="center"/>
          </w:tcPr>
          <w:p w:rsidR="00F4358D" w:rsidRDefault="00F4358D">
            <w:pPr>
              <w:spacing w:before="0" w:after="0"/>
              <w:jc w:val="center"/>
              <w:rPr>
                <w:noProof/>
              </w:rPr>
            </w:pPr>
          </w:p>
        </w:tc>
        <w:tc>
          <w:tcPr>
            <w:tcW w:w="735" w:type="pct"/>
            <w:tcBorders>
              <w:top w:val="nil"/>
              <w:left w:val="single" w:sz="8" w:space="0" w:color="auto"/>
              <w:bottom w:val="nil"/>
              <w:right w:val="single" w:sz="8" w:space="0" w:color="auto"/>
            </w:tcBorders>
          </w:tcPr>
          <w:p w:rsidR="00F4358D" w:rsidRDefault="00F4358D">
            <w:pPr>
              <w:spacing w:before="0" w:after="0"/>
              <w:jc w:val="center"/>
              <w:rPr>
                <w:noProof/>
              </w:rPr>
            </w:pPr>
          </w:p>
        </w:tc>
      </w:tr>
      <w:tr w:rsidR="00F4358D">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F4358D" w:rsidRDefault="00D1585A">
            <w:pPr>
              <w:spacing w:before="0" w:after="0"/>
              <w:jc w:val="center"/>
              <w:rPr>
                <w:rFonts w:ascii="Calibri" w:eastAsia="Calibri" w:hAnsi="Calibri" w:cs="Calibri"/>
                <w:noProof/>
                <w:sz w:val="22"/>
              </w:rPr>
            </w:pPr>
            <w:r>
              <w:rPr>
                <w:noProof/>
              </w:rPr>
              <w:t>AST/SC 1</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F4358D" w:rsidRDefault="00F4358D">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F4358D" w:rsidRDefault="00F4358D">
            <w:pPr>
              <w:spacing w:before="0" w:after="0"/>
              <w:jc w:val="center"/>
              <w:rPr>
                <w:noProof/>
              </w:rPr>
            </w:pPr>
          </w:p>
        </w:tc>
        <w:tc>
          <w:tcPr>
            <w:tcW w:w="642" w:type="pct"/>
            <w:tcBorders>
              <w:top w:val="nil"/>
              <w:left w:val="single" w:sz="8" w:space="0" w:color="auto"/>
              <w:bottom w:val="nil"/>
              <w:right w:val="single" w:sz="8" w:space="0" w:color="auto"/>
            </w:tcBorders>
            <w:vAlign w:val="center"/>
          </w:tcPr>
          <w:p w:rsidR="00F4358D" w:rsidRDefault="00F4358D">
            <w:pPr>
              <w:spacing w:before="0" w:after="0"/>
              <w:jc w:val="center"/>
              <w:rPr>
                <w:noProof/>
              </w:rPr>
            </w:pPr>
          </w:p>
        </w:tc>
        <w:tc>
          <w:tcPr>
            <w:tcW w:w="621" w:type="pct"/>
            <w:tcBorders>
              <w:top w:val="nil"/>
              <w:left w:val="single" w:sz="8" w:space="0" w:color="auto"/>
              <w:bottom w:val="nil"/>
              <w:right w:val="single" w:sz="8" w:space="0" w:color="auto"/>
            </w:tcBorders>
            <w:vAlign w:val="center"/>
          </w:tcPr>
          <w:p w:rsidR="00F4358D" w:rsidRDefault="00F4358D">
            <w:pPr>
              <w:spacing w:before="0" w:after="0"/>
              <w:jc w:val="center"/>
              <w:rPr>
                <w:noProof/>
              </w:rPr>
            </w:pPr>
          </w:p>
        </w:tc>
        <w:tc>
          <w:tcPr>
            <w:tcW w:w="735" w:type="pct"/>
            <w:tcBorders>
              <w:top w:val="nil"/>
              <w:left w:val="single" w:sz="8" w:space="0" w:color="auto"/>
              <w:bottom w:val="nil"/>
              <w:right w:val="single" w:sz="8" w:space="0" w:color="auto"/>
            </w:tcBorders>
          </w:tcPr>
          <w:p w:rsidR="00F4358D" w:rsidRDefault="00F4358D">
            <w:pPr>
              <w:spacing w:before="0" w:after="0"/>
              <w:jc w:val="center"/>
              <w:rPr>
                <w:noProof/>
              </w:rPr>
            </w:pPr>
          </w:p>
        </w:tc>
      </w:tr>
      <w:tr w:rsidR="00F4358D">
        <w:trPr>
          <w:trHeight w:val="300"/>
        </w:trPr>
        <w:tc>
          <w:tcPr>
            <w:tcW w:w="1463" w:type="pct"/>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rsidR="00F4358D" w:rsidRDefault="00D1585A">
            <w:pPr>
              <w:spacing w:before="0" w:after="0"/>
              <w:jc w:val="center"/>
              <w:rPr>
                <w:rFonts w:ascii="Calibri" w:eastAsia="Calibri" w:hAnsi="Calibri" w:cs="Calibri"/>
                <w:noProof/>
                <w:sz w:val="22"/>
              </w:rPr>
            </w:pPr>
            <w:r>
              <w:rPr>
                <w:noProof/>
              </w:rPr>
              <w:t>AST/SC kokku</w:t>
            </w:r>
          </w:p>
        </w:tc>
        <w:tc>
          <w:tcPr>
            <w:tcW w:w="933"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4358D" w:rsidRDefault="00F4358D">
            <w:pPr>
              <w:spacing w:before="0" w:after="0"/>
              <w:jc w:val="center"/>
              <w:rPr>
                <w:noProof/>
                <w:sz w:val="20"/>
                <w:szCs w:val="20"/>
              </w:rPr>
            </w:pPr>
          </w:p>
        </w:tc>
        <w:tc>
          <w:tcPr>
            <w:tcW w:w="606" w:type="pct"/>
            <w:tcBorders>
              <w:top w:val="single" w:sz="8" w:space="0" w:color="auto"/>
              <w:left w:val="single" w:sz="8" w:space="0" w:color="auto"/>
              <w:bottom w:val="single" w:sz="8" w:space="0" w:color="auto"/>
              <w:right w:val="single" w:sz="8" w:space="0" w:color="auto"/>
            </w:tcBorders>
            <w:vAlign w:val="center"/>
          </w:tcPr>
          <w:p w:rsidR="00F4358D" w:rsidRDefault="00F4358D">
            <w:pPr>
              <w:spacing w:before="0" w:after="0"/>
              <w:jc w:val="center"/>
              <w:rPr>
                <w:noProof/>
                <w:sz w:val="20"/>
                <w:szCs w:val="20"/>
              </w:rPr>
            </w:pPr>
          </w:p>
        </w:tc>
        <w:tc>
          <w:tcPr>
            <w:tcW w:w="642" w:type="pct"/>
            <w:tcBorders>
              <w:top w:val="single" w:sz="8" w:space="0" w:color="auto"/>
              <w:left w:val="single" w:sz="8" w:space="0" w:color="auto"/>
              <w:bottom w:val="single" w:sz="8" w:space="0" w:color="auto"/>
              <w:right w:val="single" w:sz="8" w:space="0" w:color="auto"/>
            </w:tcBorders>
            <w:vAlign w:val="center"/>
          </w:tcPr>
          <w:p w:rsidR="00F4358D" w:rsidRDefault="00F4358D">
            <w:pPr>
              <w:spacing w:before="0" w:after="0"/>
              <w:jc w:val="center"/>
              <w:rPr>
                <w:noProof/>
                <w:sz w:val="20"/>
                <w:szCs w:val="20"/>
              </w:rPr>
            </w:pPr>
          </w:p>
        </w:tc>
        <w:tc>
          <w:tcPr>
            <w:tcW w:w="621" w:type="pct"/>
            <w:tcBorders>
              <w:top w:val="single" w:sz="8" w:space="0" w:color="auto"/>
              <w:left w:val="single" w:sz="8" w:space="0" w:color="auto"/>
              <w:bottom w:val="single" w:sz="8" w:space="0" w:color="auto"/>
              <w:right w:val="single" w:sz="8" w:space="0" w:color="auto"/>
            </w:tcBorders>
            <w:vAlign w:val="center"/>
          </w:tcPr>
          <w:p w:rsidR="00F4358D" w:rsidRDefault="00F4358D">
            <w:pPr>
              <w:spacing w:before="0" w:after="0"/>
              <w:jc w:val="center"/>
              <w:rPr>
                <w:noProof/>
                <w:sz w:val="20"/>
                <w:szCs w:val="20"/>
              </w:rPr>
            </w:pPr>
          </w:p>
        </w:tc>
        <w:tc>
          <w:tcPr>
            <w:tcW w:w="735" w:type="pct"/>
            <w:tcBorders>
              <w:top w:val="single" w:sz="8" w:space="0" w:color="auto"/>
              <w:left w:val="single" w:sz="8" w:space="0" w:color="auto"/>
              <w:bottom w:val="single" w:sz="8" w:space="0" w:color="auto"/>
              <w:right w:val="single" w:sz="8" w:space="0" w:color="auto"/>
            </w:tcBorders>
          </w:tcPr>
          <w:p w:rsidR="00F4358D" w:rsidRDefault="00F4358D">
            <w:pPr>
              <w:spacing w:before="0" w:after="0"/>
              <w:jc w:val="center"/>
              <w:rPr>
                <w:noProof/>
                <w:sz w:val="20"/>
                <w:szCs w:val="20"/>
              </w:rPr>
            </w:pPr>
          </w:p>
        </w:tc>
      </w:tr>
      <w:tr w:rsidR="00F4358D">
        <w:trPr>
          <w:trHeight w:val="300"/>
        </w:trPr>
        <w:tc>
          <w:tcPr>
            <w:tcW w:w="1463" w:type="pct"/>
            <w:tcBorders>
              <w:top w:val="single" w:sz="8" w:space="0" w:color="auto"/>
              <w:left w:val="single" w:sz="8" w:space="0" w:color="auto"/>
              <w:bottom w:val="single" w:sz="8" w:space="0" w:color="auto"/>
              <w:right w:val="nil"/>
            </w:tcBorders>
            <w:shd w:val="clear" w:color="auto" w:fill="BFBFBF" w:themeFill="background1" w:themeFillShade="BF"/>
            <w:noWrap/>
            <w:tcMar>
              <w:top w:w="0" w:type="dxa"/>
              <w:left w:w="108" w:type="dxa"/>
              <w:bottom w:w="0" w:type="dxa"/>
              <w:right w:w="108" w:type="dxa"/>
            </w:tcMar>
            <w:vAlign w:val="center"/>
          </w:tcPr>
          <w:p w:rsidR="00F4358D" w:rsidRDefault="00D1585A">
            <w:pPr>
              <w:spacing w:before="0" w:after="0"/>
              <w:jc w:val="center"/>
              <w:rPr>
                <w:noProof/>
              </w:rPr>
            </w:pPr>
            <w:r>
              <w:rPr>
                <w:noProof/>
              </w:rPr>
              <w:t>KÕIK KOKKU</w:t>
            </w:r>
          </w:p>
        </w:tc>
        <w:tc>
          <w:tcPr>
            <w:tcW w:w="933" w:type="pct"/>
            <w:tcBorders>
              <w:top w:val="single" w:sz="8" w:space="0" w:color="auto"/>
              <w:left w:val="single" w:sz="8" w:space="0" w:color="auto"/>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center"/>
          </w:tcPr>
          <w:p w:rsidR="00F4358D" w:rsidRDefault="00D1585A">
            <w:pPr>
              <w:spacing w:before="0" w:after="0"/>
              <w:jc w:val="center"/>
              <w:rPr>
                <w:noProof/>
                <w:szCs w:val="20"/>
              </w:rPr>
            </w:pPr>
            <w:r>
              <w:rPr>
                <w:noProof/>
              </w:rPr>
              <w:t>48</w:t>
            </w:r>
          </w:p>
        </w:tc>
        <w:tc>
          <w:tcPr>
            <w:tcW w:w="606"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F4358D" w:rsidRDefault="00D1585A">
            <w:pPr>
              <w:spacing w:before="0" w:after="0"/>
              <w:jc w:val="center"/>
              <w:rPr>
                <w:noProof/>
                <w:szCs w:val="20"/>
              </w:rPr>
            </w:pPr>
            <w:r>
              <w:rPr>
                <w:noProof/>
              </w:rPr>
              <w:t>12</w:t>
            </w:r>
          </w:p>
        </w:tc>
        <w:tc>
          <w:tcPr>
            <w:tcW w:w="642"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F4358D" w:rsidRDefault="00D1585A">
            <w:pPr>
              <w:spacing w:before="0" w:after="0"/>
              <w:jc w:val="center"/>
              <w:rPr>
                <w:noProof/>
                <w:szCs w:val="20"/>
              </w:rPr>
            </w:pPr>
            <w:r>
              <w:rPr>
                <w:noProof/>
              </w:rPr>
              <w:t>10</w:t>
            </w:r>
          </w:p>
        </w:tc>
        <w:tc>
          <w:tcPr>
            <w:tcW w:w="621"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F4358D" w:rsidRDefault="00D1585A">
            <w:pPr>
              <w:spacing w:before="0" w:after="0"/>
              <w:jc w:val="center"/>
              <w:rPr>
                <w:noProof/>
                <w:szCs w:val="20"/>
              </w:rPr>
            </w:pPr>
            <w:r>
              <w:rPr>
                <w:noProof/>
              </w:rPr>
              <w:t>7</w:t>
            </w:r>
          </w:p>
        </w:tc>
        <w:tc>
          <w:tcPr>
            <w:tcW w:w="735"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F4358D" w:rsidRDefault="00D1585A">
            <w:pPr>
              <w:spacing w:before="0" w:after="0"/>
              <w:jc w:val="center"/>
              <w:rPr>
                <w:noProof/>
                <w:szCs w:val="20"/>
              </w:rPr>
            </w:pPr>
            <w:r>
              <w:rPr>
                <w:noProof/>
              </w:rPr>
              <w:t>3</w:t>
            </w:r>
          </w:p>
        </w:tc>
      </w:tr>
    </w:tbl>
    <w:p w:rsidR="00F4358D" w:rsidRDefault="00F4358D">
      <w:pPr>
        <w:rPr>
          <w:noProof/>
        </w:rPr>
      </w:pPr>
    </w:p>
    <w:p w:rsidR="00F4358D" w:rsidRDefault="00D1585A">
      <w:pPr>
        <w:spacing w:before="0" w:after="0"/>
        <w:rPr>
          <w:noProof/>
        </w:rPr>
      </w:pPr>
      <w:r>
        <w:rPr>
          <w:noProof/>
        </w:rPr>
        <w:t xml:space="preserve">Palgaastme AD/AST täiendavate töötajate ülesanded instrumendi eesmärkide saavutamiseks, nagu on kirjeldatud jaotises 1.4.2: </w:t>
      </w:r>
    </w:p>
    <w:p w:rsidR="00F4358D" w:rsidRDefault="00F4358D">
      <w:pPr>
        <w:spacing w:before="0" w:after="0"/>
        <w:jc w:val="left"/>
        <w:rPr>
          <w:noProof/>
        </w:rPr>
      </w:pPr>
    </w:p>
    <w:tbl>
      <w:tblPr>
        <w:tblStyle w:val="TableGrid"/>
        <w:tblW w:w="0" w:type="auto"/>
        <w:tblInd w:w="108" w:type="dxa"/>
        <w:tblLayout w:type="fixed"/>
        <w:tblLook w:val="04A0" w:firstRow="1" w:lastRow="0" w:firstColumn="1" w:lastColumn="0" w:noHBand="0" w:noVBand="1"/>
      </w:tblPr>
      <w:tblGrid>
        <w:gridCol w:w="4253"/>
        <w:gridCol w:w="992"/>
        <w:gridCol w:w="992"/>
        <w:gridCol w:w="851"/>
        <w:gridCol w:w="1384"/>
      </w:tblGrid>
      <w:tr w:rsidR="00F4358D">
        <w:tc>
          <w:tcPr>
            <w:tcW w:w="4253" w:type="dxa"/>
          </w:tcPr>
          <w:p w:rsidR="00F4358D" w:rsidRDefault="00D1585A">
            <w:pPr>
              <w:spacing w:before="0" w:after="0"/>
              <w:jc w:val="center"/>
              <w:rPr>
                <w:b/>
                <w:noProof/>
              </w:rPr>
            </w:pPr>
            <w:r>
              <w:rPr>
                <w:b/>
                <w:noProof/>
              </w:rPr>
              <w:t>Ülesanded</w:t>
            </w:r>
          </w:p>
        </w:tc>
        <w:tc>
          <w:tcPr>
            <w:tcW w:w="992" w:type="dxa"/>
          </w:tcPr>
          <w:p w:rsidR="00F4358D" w:rsidRDefault="00D1585A">
            <w:pPr>
              <w:spacing w:before="0" w:after="0"/>
              <w:jc w:val="center"/>
              <w:rPr>
                <w:noProof/>
              </w:rPr>
            </w:pPr>
            <w:r>
              <w:rPr>
                <w:noProof/>
              </w:rPr>
              <w:t>AD</w:t>
            </w:r>
          </w:p>
        </w:tc>
        <w:tc>
          <w:tcPr>
            <w:tcW w:w="992" w:type="dxa"/>
          </w:tcPr>
          <w:p w:rsidR="00F4358D" w:rsidRDefault="00D1585A">
            <w:pPr>
              <w:spacing w:before="0" w:after="0"/>
              <w:jc w:val="center"/>
              <w:rPr>
                <w:noProof/>
              </w:rPr>
            </w:pPr>
            <w:r>
              <w:rPr>
                <w:noProof/>
              </w:rPr>
              <w:t>AST</w:t>
            </w:r>
          </w:p>
        </w:tc>
        <w:tc>
          <w:tcPr>
            <w:tcW w:w="851" w:type="dxa"/>
          </w:tcPr>
          <w:p w:rsidR="00F4358D" w:rsidRDefault="00D1585A">
            <w:pPr>
              <w:spacing w:before="0" w:after="0"/>
              <w:jc w:val="center"/>
              <w:rPr>
                <w:noProof/>
              </w:rPr>
            </w:pPr>
            <w:r>
              <w:rPr>
                <w:noProof/>
              </w:rPr>
              <w:t>Riikide lähetatud eksperdid</w:t>
            </w:r>
          </w:p>
        </w:tc>
        <w:tc>
          <w:tcPr>
            <w:tcW w:w="1384" w:type="dxa"/>
          </w:tcPr>
          <w:p w:rsidR="00F4358D" w:rsidRDefault="00D1585A">
            <w:pPr>
              <w:spacing w:before="0" w:after="0"/>
              <w:jc w:val="center"/>
              <w:rPr>
                <w:noProof/>
              </w:rPr>
            </w:pPr>
            <w:r>
              <w:rPr>
                <w:noProof/>
              </w:rPr>
              <w:t xml:space="preserve">Kokku </w:t>
            </w:r>
          </w:p>
        </w:tc>
      </w:tr>
      <w:tr w:rsidR="00F4358D">
        <w:tc>
          <w:tcPr>
            <w:tcW w:w="4253" w:type="dxa"/>
          </w:tcPr>
          <w:p w:rsidR="00F4358D" w:rsidRDefault="00D1585A">
            <w:pPr>
              <w:spacing w:before="0" w:after="0"/>
              <w:jc w:val="left"/>
              <w:rPr>
                <w:noProof/>
              </w:rPr>
            </w:pPr>
            <w:r>
              <w:rPr>
                <w:noProof/>
              </w:rPr>
              <w:t xml:space="preserve">Põhimõtted ja suutlikkuse arendamine </w:t>
            </w:r>
          </w:p>
        </w:tc>
        <w:tc>
          <w:tcPr>
            <w:tcW w:w="992" w:type="dxa"/>
          </w:tcPr>
          <w:p w:rsidR="00F4358D" w:rsidRDefault="00D1585A">
            <w:pPr>
              <w:spacing w:before="0" w:after="0"/>
              <w:jc w:val="center"/>
              <w:rPr>
                <w:noProof/>
              </w:rPr>
            </w:pPr>
            <w:r>
              <w:rPr>
                <w:noProof/>
              </w:rPr>
              <w:t>8</w:t>
            </w:r>
          </w:p>
        </w:tc>
        <w:tc>
          <w:tcPr>
            <w:tcW w:w="992" w:type="dxa"/>
          </w:tcPr>
          <w:p w:rsidR="00F4358D" w:rsidRDefault="00D1585A">
            <w:pPr>
              <w:spacing w:before="0" w:after="0"/>
              <w:jc w:val="center"/>
              <w:rPr>
                <w:noProof/>
              </w:rPr>
            </w:pPr>
            <w:r>
              <w:rPr>
                <w:noProof/>
              </w:rPr>
              <w:t>1</w:t>
            </w:r>
          </w:p>
        </w:tc>
        <w:tc>
          <w:tcPr>
            <w:tcW w:w="851" w:type="dxa"/>
          </w:tcPr>
          <w:p w:rsidR="00F4358D" w:rsidRDefault="00F4358D">
            <w:pPr>
              <w:spacing w:before="0" w:after="0"/>
              <w:jc w:val="center"/>
              <w:rPr>
                <w:noProof/>
              </w:rPr>
            </w:pPr>
          </w:p>
        </w:tc>
        <w:tc>
          <w:tcPr>
            <w:tcW w:w="1384" w:type="dxa"/>
          </w:tcPr>
          <w:p w:rsidR="00F4358D" w:rsidRDefault="00D1585A">
            <w:pPr>
              <w:spacing w:before="0" w:after="0"/>
              <w:jc w:val="center"/>
              <w:rPr>
                <w:noProof/>
              </w:rPr>
            </w:pPr>
            <w:r>
              <w:rPr>
                <w:noProof/>
              </w:rPr>
              <w:t>9</w:t>
            </w:r>
          </w:p>
        </w:tc>
      </w:tr>
      <w:tr w:rsidR="00F4358D">
        <w:tc>
          <w:tcPr>
            <w:tcW w:w="4253" w:type="dxa"/>
          </w:tcPr>
          <w:p w:rsidR="00F4358D" w:rsidRDefault="00D1585A">
            <w:pPr>
              <w:spacing w:before="0" w:after="0"/>
              <w:jc w:val="left"/>
              <w:rPr>
                <w:noProof/>
              </w:rPr>
            </w:pPr>
            <w:r>
              <w:rPr>
                <w:noProof/>
              </w:rPr>
              <w:t>Operatiivkoostöö</w:t>
            </w:r>
          </w:p>
        </w:tc>
        <w:tc>
          <w:tcPr>
            <w:tcW w:w="992" w:type="dxa"/>
          </w:tcPr>
          <w:p w:rsidR="00F4358D" w:rsidRDefault="00D1585A">
            <w:pPr>
              <w:spacing w:before="0" w:after="0"/>
              <w:jc w:val="center"/>
              <w:rPr>
                <w:noProof/>
              </w:rPr>
            </w:pPr>
            <w:r>
              <w:rPr>
                <w:noProof/>
              </w:rPr>
              <w:t>8</w:t>
            </w:r>
          </w:p>
        </w:tc>
        <w:tc>
          <w:tcPr>
            <w:tcW w:w="992" w:type="dxa"/>
          </w:tcPr>
          <w:p w:rsidR="00F4358D" w:rsidRDefault="00D1585A">
            <w:pPr>
              <w:spacing w:before="0" w:after="0"/>
              <w:jc w:val="center"/>
              <w:rPr>
                <w:noProof/>
              </w:rPr>
            </w:pPr>
            <w:r>
              <w:rPr>
                <w:noProof/>
              </w:rPr>
              <w:t>1</w:t>
            </w:r>
          </w:p>
        </w:tc>
        <w:tc>
          <w:tcPr>
            <w:tcW w:w="851" w:type="dxa"/>
          </w:tcPr>
          <w:p w:rsidR="00F4358D" w:rsidRDefault="00D1585A">
            <w:pPr>
              <w:spacing w:before="0" w:after="0"/>
              <w:jc w:val="center"/>
              <w:rPr>
                <w:noProof/>
              </w:rPr>
            </w:pPr>
            <w:r>
              <w:rPr>
                <w:noProof/>
              </w:rPr>
              <w:t>7</w:t>
            </w:r>
          </w:p>
        </w:tc>
        <w:tc>
          <w:tcPr>
            <w:tcW w:w="1384" w:type="dxa"/>
          </w:tcPr>
          <w:p w:rsidR="00F4358D" w:rsidRDefault="00D1585A">
            <w:pPr>
              <w:spacing w:before="0" w:after="0"/>
              <w:jc w:val="center"/>
              <w:rPr>
                <w:noProof/>
              </w:rPr>
            </w:pPr>
            <w:r>
              <w:rPr>
                <w:noProof/>
              </w:rPr>
              <w:t>16</w:t>
            </w:r>
          </w:p>
        </w:tc>
      </w:tr>
      <w:tr w:rsidR="00F4358D">
        <w:tc>
          <w:tcPr>
            <w:tcW w:w="4253" w:type="dxa"/>
          </w:tcPr>
          <w:p w:rsidR="00F4358D" w:rsidRDefault="00D1585A">
            <w:pPr>
              <w:spacing w:before="0" w:after="0"/>
              <w:jc w:val="left"/>
              <w:rPr>
                <w:noProof/>
              </w:rPr>
            </w:pPr>
            <w:r>
              <w:rPr>
                <w:noProof/>
              </w:rPr>
              <w:t>Sertifitseerimine (turuga seotud ülesanded)</w:t>
            </w:r>
          </w:p>
        </w:tc>
        <w:tc>
          <w:tcPr>
            <w:tcW w:w="992" w:type="dxa"/>
          </w:tcPr>
          <w:p w:rsidR="00F4358D" w:rsidRDefault="00D1585A">
            <w:pPr>
              <w:spacing w:before="0" w:after="0"/>
              <w:jc w:val="center"/>
              <w:rPr>
                <w:noProof/>
              </w:rPr>
            </w:pPr>
            <w:r>
              <w:rPr>
                <w:noProof/>
              </w:rPr>
              <w:t>9</w:t>
            </w:r>
          </w:p>
        </w:tc>
        <w:tc>
          <w:tcPr>
            <w:tcW w:w="992" w:type="dxa"/>
          </w:tcPr>
          <w:p w:rsidR="00F4358D" w:rsidRDefault="00D1585A">
            <w:pPr>
              <w:spacing w:before="0" w:after="0"/>
              <w:jc w:val="center"/>
              <w:rPr>
                <w:noProof/>
              </w:rPr>
            </w:pPr>
            <w:r>
              <w:rPr>
                <w:noProof/>
              </w:rPr>
              <w:t>3</w:t>
            </w:r>
          </w:p>
        </w:tc>
        <w:tc>
          <w:tcPr>
            <w:tcW w:w="851" w:type="dxa"/>
          </w:tcPr>
          <w:p w:rsidR="00F4358D" w:rsidRDefault="00D1585A">
            <w:pPr>
              <w:spacing w:before="0" w:after="0"/>
              <w:jc w:val="center"/>
              <w:rPr>
                <w:noProof/>
              </w:rPr>
            </w:pPr>
            <w:r>
              <w:rPr>
                <w:noProof/>
              </w:rPr>
              <w:t>2</w:t>
            </w:r>
          </w:p>
        </w:tc>
        <w:tc>
          <w:tcPr>
            <w:tcW w:w="1384" w:type="dxa"/>
          </w:tcPr>
          <w:p w:rsidR="00F4358D" w:rsidRDefault="00D1585A">
            <w:pPr>
              <w:spacing w:before="0" w:after="0"/>
              <w:jc w:val="center"/>
              <w:rPr>
                <w:noProof/>
              </w:rPr>
            </w:pPr>
            <w:r>
              <w:rPr>
                <w:noProof/>
              </w:rPr>
              <w:t>14</w:t>
            </w:r>
          </w:p>
        </w:tc>
      </w:tr>
      <w:tr w:rsidR="00F4358D">
        <w:tc>
          <w:tcPr>
            <w:tcW w:w="4253" w:type="dxa"/>
          </w:tcPr>
          <w:p w:rsidR="00F4358D" w:rsidRDefault="00D1585A">
            <w:pPr>
              <w:spacing w:before="0" w:after="0"/>
              <w:jc w:val="left"/>
              <w:rPr>
                <w:noProof/>
              </w:rPr>
            </w:pPr>
            <w:r>
              <w:rPr>
                <w:noProof/>
              </w:rPr>
              <w:t xml:space="preserve">Teadmised, teave ja teadlikkus </w:t>
            </w:r>
          </w:p>
        </w:tc>
        <w:tc>
          <w:tcPr>
            <w:tcW w:w="992" w:type="dxa"/>
          </w:tcPr>
          <w:p w:rsidR="00F4358D" w:rsidRDefault="00D1585A">
            <w:pPr>
              <w:spacing w:before="0" w:after="0"/>
              <w:jc w:val="center"/>
              <w:rPr>
                <w:noProof/>
              </w:rPr>
            </w:pPr>
            <w:r>
              <w:rPr>
                <w:noProof/>
              </w:rPr>
              <w:t>1</w:t>
            </w:r>
          </w:p>
        </w:tc>
        <w:tc>
          <w:tcPr>
            <w:tcW w:w="992" w:type="dxa"/>
          </w:tcPr>
          <w:p w:rsidR="00F4358D" w:rsidRDefault="00D1585A">
            <w:pPr>
              <w:spacing w:before="0" w:after="0"/>
              <w:jc w:val="center"/>
              <w:rPr>
                <w:noProof/>
              </w:rPr>
            </w:pPr>
            <w:r>
              <w:rPr>
                <w:noProof/>
              </w:rPr>
              <w:t>1</w:t>
            </w:r>
          </w:p>
        </w:tc>
        <w:tc>
          <w:tcPr>
            <w:tcW w:w="851" w:type="dxa"/>
          </w:tcPr>
          <w:p w:rsidR="00F4358D" w:rsidRDefault="00F4358D">
            <w:pPr>
              <w:spacing w:before="0" w:after="0"/>
              <w:jc w:val="center"/>
              <w:rPr>
                <w:noProof/>
              </w:rPr>
            </w:pPr>
          </w:p>
        </w:tc>
        <w:tc>
          <w:tcPr>
            <w:tcW w:w="1384" w:type="dxa"/>
          </w:tcPr>
          <w:p w:rsidR="00F4358D" w:rsidRDefault="00D1585A">
            <w:pPr>
              <w:spacing w:before="0" w:after="0"/>
              <w:jc w:val="center"/>
              <w:rPr>
                <w:noProof/>
              </w:rPr>
            </w:pPr>
            <w:r>
              <w:rPr>
                <w:noProof/>
              </w:rPr>
              <w:t>2</w:t>
            </w:r>
          </w:p>
        </w:tc>
      </w:tr>
      <w:tr w:rsidR="00F4358D">
        <w:tc>
          <w:tcPr>
            <w:tcW w:w="4253" w:type="dxa"/>
            <w:shd w:val="clear" w:color="auto" w:fill="BFBFBF" w:themeFill="background1" w:themeFillShade="BF"/>
          </w:tcPr>
          <w:p w:rsidR="00F4358D" w:rsidRDefault="00D1585A">
            <w:pPr>
              <w:spacing w:before="0" w:after="0"/>
              <w:jc w:val="left"/>
              <w:rPr>
                <w:noProof/>
              </w:rPr>
            </w:pPr>
            <w:r>
              <w:rPr>
                <w:noProof/>
              </w:rPr>
              <w:t xml:space="preserve">KOKKU </w:t>
            </w:r>
          </w:p>
        </w:tc>
        <w:tc>
          <w:tcPr>
            <w:tcW w:w="992" w:type="dxa"/>
            <w:shd w:val="clear" w:color="auto" w:fill="BFBFBF" w:themeFill="background1" w:themeFillShade="BF"/>
          </w:tcPr>
          <w:p w:rsidR="00F4358D" w:rsidRDefault="00D1585A">
            <w:pPr>
              <w:spacing w:before="0" w:after="0"/>
              <w:jc w:val="center"/>
              <w:rPr>
                <w:noProof/>
              </w:rPr>
            </w:pPr>
            <w:r>
              <w:rPr>
                <w:noProof/>
              </w:rPr>
              <w:t>26</w:t>
            </w:r>
          </w:p>
        </w:tc>
        <w:tc>
          <w:tcPr>
            <w:tcW w:w="992" w:type="dxa"/>
            <w:shd w:val="clear" w:color="auto" w:fill="BFBFBF" w:themeFill="background1" w:themeFillShade="BF"/>
          </w:tcPr>
          <w:p w:rsidR="00F4358D" w:rsidRDefault="00D1585A">
            <w:pPr>
              <w:spacing w:before="0" w:after="0"/>
              <w:jc w:val="center"/>
              <w:rPr>
                <w:noProof/>
              </w:rPr>
            </w:pPr>
            <w:r>
              <w:rPr>
                <w:noProof/>
              </w:rPr>
              <w:t>6</w:t>
            </w:r>
          </w:p>
        </w:tc>
        <w:tc>
          <w:tcPr>
            <w:tcW w:w="851" w:type="dxa"/>
            <w:shd w:val="clear" w:color="auto" w:fill="BFBFBF" w:themeFill="background1" w:themeFillShade="BF"/>
          </w:tcPr>
          <w:p w:rsidR="00F4358D" w:rsidRDefault="00D1585A">
            <w:pPr>
              <w:spacing w:before="0" w:after="0"/>
              <w:jc w:val="center"/>
              <w:rPr>
                <w:noProof/>
              </w:rPr>
            </w:pPr>
            <w:r>
              <w:rPr>
                <w:noProof/>
              </w:rPr>
              <w:t>9</w:t>
            </w:r>
          </w:p>
        </w:tc>
        <w:tc>
          <w:tcPr>
            <w:tcW w:w="1384" w:type="dxa"/>
            <w:shd w:val="clear" w:color="auto" w:fill="BFBFBF" w:themeFill="background1" w:themeFillShade="BF"/>
          </w:tcPr>
          <w:p w:rsidR="00F4358D" w:rsidRDefault="00D1585A">
            <w:pPr>
              <w:spacing w:before="0" w:after="0"/>
              <w:jc w:val="center"/>
              <w:rPr>
                <w:noProof/>
              </w:rPr>
            </w:pPr>
            <w:r>
              <w:rPr>
                <w:noProof/>
              </w:rPr>
              <w:t>41</w:t>
            </w:r>
          </w:p>
        </w:tc>
      </w:tr>
    </w:tbl>
    <w:p w:rsidR="00F4358D" w:rsidRDefault="00F4358D">
      <w:pPr>
        <w:spacing w:before="0" w:after="0"/>
        <w:jc w:val="left"/>
        <w:rPr>
          <w:noProof/>
        </w:rPr>
      </w:pPr>
    </w:p>
    <w:p w:rsidR="00F4358D" w:rsidRDefault="00D1585A">
      <w:pPr>
        <w:rPr>
          <w:noProof/>
        </w:rPr>
      </w:pPr>
      <w:r>
        <w:rPr>
          <w:noProof/>
        </w:rPr>
        <w:t>Ülesannete kirjeldus:</w:t>
      </w:r>
    </w:p>
    <w:p w:rsidR="00F4358D" w:rsidRDefault="00F4358D">
      <w:pPr>
        <w:spacing w:before="0" w:after="0"/>
        <w:jc w:val="left"/>
        <w:rPr>
          <w:noProof/>
        </w:rPr>
      </w:pPr>
    </w:p>
    <w:tbl>
      <w:tblPr>
        <w:tblStyle w:val="TableGrid"/>
        <w:tblW w:w="4942" w:type="pct"/>
        <w:tblInd w:w="108" w:type="dxa"/>
        <w:tblLook w:val="04A0" w:firstRow="1" w:lastRow="0" w:firstColumn="1" w:lastColumn="0" w:noHBand="0" w:noVBand="1"/>
      </w:tblPr>
      <w:tblGrid>
        <w:gridCol w:w="4138"/>
        <w:gridCol w:w="5041"/>
      </w:tblGrid>
      <w:tr w:rsidR="00F4358D">
        <w:tc>
          <w:tcPr>
            <w:tcW w:w="2254" w:type="pct"/>
          </w:tcPr>
          <w:p w:rsidR="00F4358D" w:rsidRDefault="00D1585A">
            <w:pPr>
              <w:rPr>
                <w:b/>
                <w:noProof/>
              </w:rPr>
            </w:pPr>
            <w:r>
              <w:rPr>
                <w:b/>
                <w:noProof/>
              </w:rPr>
              <w:t>Ülesanded</w:t>
            </w:r>
          </w:p>
        </w:tc>
        <w:tc>
          <w:tcPr>
            <w:tcW w:w="2746" w:type="pct"/>
          </w:tcPr>
          <w:p w:rsidR="00F4358D" w:rsidRDefault="00D1585A">
            <w:pPr>
              <w:rPr>
                <w:b/>
                <w:noProof/>
              </w:rPr>
            </w:pPr>
            <w:r>
              <w:rPr>
                <w:b/>
                <w:noProof/>
              </w:rPr>
              <w:t>Vajalikud lisaressursid</w:t>
            </w:r>
          </w:p>
        </w:tc>
      </w:tr>
      <w:tr w:rsidR="00F4358D">
        <w:tc>
          <w:tcPr>
            <w:tcW w:w="2254" w:type="pct"/>
          </w:tcPr>
          <w:p w:rsidR="00F4358D" w:rsidRDefault="00D1585A">
            <w:pPr>
              <w:rPr>
                <w:noProof/>
              </w:rPr>
            </w:pPr>
            <w:r>
              <w:rPr>
                <w:b/>
                <w:noProof/>
              </w:rPr>
              <w:t>ELi põhimõtete arendamine ja rakendamine ning suutlikkuse arendamine</w:t>
            </w:r>
          </w:p>
          <w:p w:rsidR="00F4358D" w:rsidRDefault="00F4358D">
            <w:pPr>
              <w:rPr>
                <w:noProof/>
              </w:rPr>
            </w:pPr>
          </w:p>
        </w:tc>
        <w:tc>
          <w:tcPr>
            <w:tcW w:w="2746" w:type="pct"/>
          </w:tcPr>
          <w:p w:rsidR="00F4358D" w:rsidRDefault="00D1585A">
            <w:pPr>
              <w:rPr>
                <w:noProof/>
              </w:rPr>
            </w:pPr>
            <w:r>
              <w:rPr>
                <w:noProof/>
              </w:rPr>
              <w:t xml:space="preserve">Ülesanded hõlmaksid koostöörühma abistamist, võrgu- ja infoturbe piiriülese järjepideva rakendamise toetamist, korrapärast aruandlust ELi õigusraamistiku rakendamise olukorra kohta, valdkondlike küberturvalisuse algatuste nõustamist ja koordineerimist muu </w:t>
            </w:r>
            <w:r>
              <w:rPr>
                <w:noProof/>
              </w:rPr>
              <w:t xml:space="preserve">hulgas energeetika, transpordi (näiteks lennundus, auto- ja merevedu, ühendatud sõidukid), tervishoiu ja rahanduse valdkonnas ning erinevates valdkondades teabe jagamise ja analüüsimise keskuste (ISACide) loomise toetamist. </w:t>
            </w:r>
          </w:p>
        </w:tc>
      </w:tr>
      <w:tr w:rsidR="00F4358D">
        <w:tc>
          <w:tcPr>
            <w:tcW w:w="2254" w:type="pct"/>
          </w:tcPr>
          <w:p w:rsidR="00F4358D" w:rsidRDefault="00D1585A">
            <w:pPr>
              <w:rPr>
                <w:b/>
                <w:noProof/>
              </w:rPr>
            </w:pPr>
            <w:r>
              <w:rPr>
                <w:b/>
                <w:noProof/>
              </w:rPr>
              <w:t>Operatiivkoostöö ja kriisiohja</w:t>
            </w:r>
            <w:r>
              <w:rPr>
                <w:b/>
                <w:noProof/>
              </w:rPr>
              <w:t>mine</w:t>
            </w:r>
            <w:r>
              <w:rPr>
                <w:noProof/>
              </w:rPr>
              <w:t xml:space="preserve"> </w:t>
            </w:r>
          </w:p>
        </w:tc>
        <w:tc>
          <w:tcPr>
            <w:tcW w:w="2746" w:type="pct"/>
          </w:tcPr>
          <w:p w:rsidR="00F4358D" w:rsidRDefault="00D1585A">
            <w:pPr>
              <w:rPr>
                <w:noProof/>
              </w:rPr>
            </w:pPr>
            <w:r>
              <w:rPr>
                <w:b/>
                <w:noProof/>
              </w:rPr>
              <w:t xml:space="preserve">Ülesanded hõlmaksid järgmist. </w:t>
            </w:r>
          </w:p>
          <w:p w:rsidR="00F4358D" w:rsidRDefault="00D1585A">
            <w:pPr>
              <w:rPr>
                <w:noProof/>
              </w:rPr>
            </w:pPr>
            <w:r>
              <w:rPr>
                <w:noProof/>
              </w:rPr>
              <w:t xml:space="preserve">CSIRTide võrgustikule sekretariaaditeenuste võimaldamine, millega tagatakse muu hulgas CSIRTide võrgustiku IT taristu ja sidekanalite hea toimimine. Struktureeritud koostöö tagamine CERT-EU, küberkuritegevuse vastase </w:t>
            </w:r>
            <w:r>
              <w:rPr>
                <w:noProof/>
              </w:rPr>
              <w:t>võitluse Euroopa keskuse ja teiste asjaomaste ELi asutustega.</w:t>
            </w:r>
          </w:p>
          <w:p w:rsidR="00F4358D" w:rsidRDefault="00D1585A">
            <w:pPr>
              <w:rPr>
                <w:noProof/>
              </w:rPr>
            </w:pPr>
            <w:r>
              <w:rPr>
                <w:b/>
                <w:noProof/>
              </w:rPr>
              <w:t>Õppuste Cyber Europe</w:t>
            </w:r>
            <w:r>
              <w:rPr>
                <w:rStyle w:val="FootnoteReference"/>
                <w:noProof/>
              </w:rPr>
              <w:footnoteReference w:id="57"/>
            </w:r>
            <w:r>
              <w:rPr>
                <w:noProof/>
              </w:rPr>
              <w:t xml:space="preserve"> korraldamine – ülesanded, mille abil muudetakse õppus iga kahe aasta tagant toimuvast üritusest kord aastas toimuvaks ürituseks ja veendutakse, et õppuse käigus käsitletaks</w:t>
            </w:r>
            <w:r>
              <w:rPr>
                <w:noProof/>
              </w:rPr>
              <w:t>e intsidenti selle algusest kuni lõpuni.</w:t>
            </w:r>
          </w:p>
          <w:p w:rsidR="00F4358D" w:rsidRDefault="00D1585A">
            <w:pPr>
              <w:rPr>
                <w:noProof/>
              </w:rPr>
            </w:pPr>
            <w:r>
              <w:rPr>
                <w:b/>
                <w:noProof/>
              </w:rPr>
              <w:t>Tehniline abi</w:t>
            </w:r>
            <w:r>
              <w:rPr>
                <w:noProof/>
              </w:rPr>
              <w:t xml:space="preserve"> – ülesanded hõlmaksid struktureeritud koostööd CERT-EUga, et anda tehnilist abi oluliste intsidentide puhul ja toetada intsidentide analüüsi. See hõlmaks liikmesriikidele abi andmist, et tegeleda intsi</w:t>
            </w:r>
            <w:r>
              <w:rPr>
                <w:noProof/>
              </w:rPr>
              <w:t>dentidega ja analüüsida nõrkusi, moonutusi ja intsidente. Hädaolukordadele reageerimise käigus individuaalsete liikmesriikide vahelise koostöö edendamine, analüüsides ja koondades riiklikke olukorraaruandeid lähtuvalt teabest, mille liikmesriigid ja muud ü</w:t>
            </w:r>
            <w:r>
              <w:rPr>
                <w:noProof/>
              </w:rPr>
              <w:t>ksused on ametile esitanud.</w:t>
            </w:r>
          </w:p>
          <w:p w:rsidR="00F4358D" w:rsidRDefault="00D1585A">
            <w:pPr>
              <w:rPr>
                <w:noProof/>
              </w:rPr>
            </w:pPr>
            <w:r>
              <w:rPr>
                <w:b/>
                <w:noProof/>
              </w:rPr>
              <w:t>Suuremahulistele piiriülestele küberintsidentidele koordineeritud reageerimise tegevuskava</w:t>
            </w:r>
            <w:r>
              <w:rPr>
                <w:noProof/>
              </w:rPr>
              <w:t xml:space="preserve"> – amet aitab töötada liidu ja liikmesriikide tasandil välja koostööl põhinevat reageerimist küberturvalisusega seotud suuremahulistele pi</w:t>
            </w:r>
            <w:r>
              <w:rPr>
                <w:noProof/>
              </w:rPr>
              <w:t>iriülestele intsidentidele või kriisidele, täites mitmeid ülesandeid alates liidu tasandil olukorrateadlikkuse saavutamisele kaasa aitamisest kuni intsidentide puhul kasutatavate koostööplaanide katsetamiseni.</w:t>
            </w:r>
          </w:p>
          <w:p w:rsidR="00F4358D" w:rsidRDefault="00D1585A">
            <w:pPr>
              <w:spacing w:before="0" w:after="0"/>
              <w:rPr>
                <w:noProof/>
              </w:rPr>
            </w:pPr>
            <w:r>
              <w:rPr>
                <w:b/>
                <w:noProof/>
              </w:rPr>
              <w:t>Intsidentide tehnilised järeluurimised</w:t>
            </w:r>
            <w:r>
              <w:rPr>
                <w:noProof/>
              </w:rPr>
              <w:t xml:space="preserve"> – amet </w:t>
            </w:r>
            <w:r>
              <w:rPr>
                <w:noProof/>
              </w:rPr>
              <w:t>teeb või aitab teha intsidentide tehnilisi järeluurimisi koostöös CSIRTide võrgustikuga, et avaldada edasiste intsidentide parema ärahoidmise eesmärgil avalikke aruandeid, milles esitatakse soovitusi ja millega arendatakse suutlikkust.</w:t>
            </w:r>
          </w:p>
          <w:p w:rsidR="00F4358D" w:rsidRDefault="00F4358D">
            <w:pPr>
              <w:spacing w:before="0" w:after="0"/>
              <w:rPr>
                <w:noProof/>
              </w:rPr>
            </w:pPr>
          </w:p>
          <w:p w:rsidR="00F4358D" w:rsidRDefault="00F4358D">
            <w:pPr>
              <w:spacing w:before="0" w:after="0"/>
              <w:rPr>
                <w:noProof/>
              </w:rPr>
            </w:pPr>
          </w:p>
        </w:tc>
      </w:tr>
      <w:tr w:rsidR="00F4358D">
        <w:tc>
          <w:tcPr>
            <w:tcW w:w="2254" w:type="pct"/>
          </w:tcPr>
          <w:p w:rsidR="00F4358D" w:rsidRDefault="00D1585A">
            <w:pPr>
              <w:rPr>
                <w:b/>
                <w:noProof/>
              </w:rPr>
            </w:pPr>
            <w:r>
              <w:rPr>
                <w:b/>
                <w:noProof/>
              </w:rPr>
              <w:t>Turuga seotud üle</w:t>
            </w:r>
            <w:r>
              <w:rPr>
                <w:b/>
                <w:noProof/>
              </w:rPr>
              <w:t xml:space="preserve">sanded (standardimine ja sertifitseerimine) </w:t>
            </w:r>
          </w:p>
        </w:tc>
        <w:tc>
          <w:tcPr>
            <w:tcW w:w="2746" w:type="pct"/>
          </w:tcPr>
          <w:p w:rsidR="00F4358D" w:rsidRDefault="00D1585A">
            <w:pPr>
              <w:spacing w:before="0" w:after="0"/>
              <w:rPr>
                <w:noProof/>
              </w:rPr>
            </w:pPr>
            <w:r>
              <w:rPr>
                <w:noProof/>
              </w:rPr>
              <w:t>Ülesanded hõlmaksid sertifitseerimisraamistiku alusel tehtava töö aktiivset toetamist, sealhulgas tehniliste erialateadmiste andmist, et koostada ettevalmistavad küberturvalisuse sertifitseerimise Euroopa kavad.</w:t>
            </w:r>
            <w:r>
              <w:rPr>
                <w:noProof/>
              </w:rPr>
              <w:t xml:space="preserve"> Ülesanded hõlmavad ka standardimist, sertifitseerimist ja turu vaatlusrühma käsitlevate liidu põhimõtete väljatöötamist ja rakendamist, milleks on vaja edendada elektroonikatoodete, võrkude ja teenuste riskijuhtimise standardite kasutuselevõttu ning anda </w:t>
            </w:r>
            <w:r>
              <w:rPr>
                <w:noProof/>
              </w:rPr>
              <w:t>elutähtsate teenuste operaatoritele ja digitaalteenuste osutajatele nõuandeid tehnilistest turvanõuete valdkonnas. Ülesanded hõlmavad ka analüüsi esitamist küberturvalisuse turu peamiste suundumuste kohta.</w:t>
            </w:r>
          </w:p>
        </w:tc>
      </w:tr>
      <w:tr w:rsidR="00F4358D">
        <w:tc>
          <w:tcPr>
            <w:tcW w:w="2254" w:type="pct"/>
          </w:tcPr>
          <w:p w:rsidR="00F4358D" w:rsidRDefault="00D1585A">
            <w:pPr>
              <w:rPr>
                <w:noProof/>
              </w:rPr>
            </w:pPr>
            <w:r>
              <w:rPr>
                <w:b/>
                <w:noProof/>
              </w:rPr>
              <w:t>Teadmised, teave ja teadlikkuse suurendamine</w:t>
            </w:r>
            <w:r>
              <w:rPr>
                <w:noProof/>
              </w:rPr>
              <w:t xml:space="preserve"> </w:t>
            </w:r>
          </w:p>
        </w:tc>
        <w:tc>
          <w:tcPr>
            <w:tcW w:w="2746" w:type="pct"/>
          </w:tcPr>
          <w:p w:rsidR="00F4358D" w:rsidRDefault="00D1585A">
            <w:pPr>
              <w:spacing w:before="0" w:after="0"/>
              <w:rPr>
                <w:noProof/>
              </w:rPr>
            </w:pPr>
            <w:r>
              <w:rPr>
                <w:noProof/>
              </w:rPr>
              <w:t xml:space="preserve">Et </w:t>
            </w:r>
            <w:r>
              <w:rPr>
                <w:noProof/>
              </w:rPr>
              <w:t>tagada lihtsam juurdepääs küberturvalisuse riske ja võimalikke lahendusi käsitlevale paremini struktureeritud teabele, antakse käesoleva ettepanekuga ametile uus ülesanne töötada välja liidu teabekeskus ja seda hallata. Ülesanded hõlmaksid selle teabe koon</w:t>
            </w:r>
            <w:r>
              <w:rPr>
                <w:noProof/>
              </w:rPr>
              <w:t>damist, korraldamist ja avalikkusele spetsiaalse portaali kaudu kättesaadavaks tegemist, mille ELi institutsioonid, ametid ja organid on võrgu- ja infosüsteemide turvalisuse ning eelkõige küberturvalisuse kohta esitanud. Ülesanded hõlmaksid ka ENISA tegevu</w:t>
            </w:r>
            <w:r>
              <w:rPr>
                <w:noProof/>
              </w:rPr>
              <w:t>se toetamist teadlikkuse suurendamise valdkonnas, et amet saaks tehtavaid jõupingutusi suurendada.</w:t>
            </w:r>
          </w:p>
        </w:tc>
      </w:tr>
    </w:tbl>
    <w:p w:rsidR="00F4358D" w:rsidRDefault="00D1585A">
      <w:pPr>
        <w:spacing w:before="0" w:after="0"/>
        <w:jc w:val="left"/>
        <w:rPr>
          <w:noProof/>
        </w:rPr>
      </w:pPr>
      <w:r>
        <w:rPr>
          <w:noProof/>
        </w:rPr>
        <w:br w:type="page"/>
      </w:r>
    </w:p>
    <w:p w:rsidR="00F4358D" w:rsidRDefault="00F4358D">
      <w:pPr>
        <w:rPr>
          <w:noProof/>
        </w:rPr>
      </w:pPr>
    </w:p>
    <w:p w:rsidR="00F4358D" w:rsidRDefault="00D1585A">
      <w:pPr>
        <w:pStyle w:val="ManualHeading4"/>
        <w:rPr>
          <w:bCs/>
          <w:noProof/>
          <w:szCs w:val="24"/>
        </w:rPr>
      </w:pPr>
      <w:r>
        <w:t>3.2.3.2.</w:t>
      </w:r>
      <w:r>
        <w:tab/>
      </w:r>
      <w:r>
        <w:rPr>
          <w:noProof/>
        </w:rPr>
        <w:t>Vastutava peadirektoraadi hinnanguline personalivajadus</w:t>
      </w:r>
    </w:p>
    <w:p w:rsidR="00F4358D" w:rsidRDefault="00D1585A">
      <w:pPr>
        <w:pStyle w:val="Tiret1"/>
        <w:rPr>
          <w:noProof/>
        </w:rPr>
      </w:pPr>
      <w:r>
        <w:rPr>
          <w:noProof/>
        </w:rPr>
        <w:sym w:font="Wingdings" w:char="F0A8"/>
      </w:r>
      <w:r>
        <w:rPr>
          <w:noProof/>
        </w:rPr>
        <w:tab/>
        <w:t xml:space="preserve">Ettepanek/algatus ei hõlma personali kasutamist </w:t>
      </w:r>
    </w:p>
    <w:p w:rsidR="00F4358D" w:rsidRDefault="00D1585A">
      <w:pPr>
        <w:pStyle w:val="Tiret1"/>
        <w:rPr>
          <w:noProof/>
        </w:rPr>
      </w:pPr>
      <w:r>
        <w:rPr>
          <w:noProof/>
        </w:rPr>
        <w:sym w:font="Wingdings" w:char="F078"/>
      </w:r>
      <w:r>
        <w:rPr>
          <w:noProof/>
        </w:rPr>
        <w:tab/>
        <w:t xml:space="preserve">Ettepanek/algatus hõlmab personali </w:t>
      </w:r>
      <w:r>
        <w:rPr>
          <w:noProof/>
        </w:rPr>
        <w:t>kasutamist, mis toimub järgmiselt:</w:t>
      </w:r>
    </w:p>
    <w:p w:rsidR="00F4358D" w:rsidRDefault="00F4358D">
      <w:pPr>
        <w:rPr>
          <w:noProof/>
        </w:rPr>
      </w:pPr>
    </w:p>
    <w:p w:rsidR="00F4358D" w:rsidRDefault="00D1585A">
      <w:pPr>
        <w:spacing w:after="60"/>
        <w:jc w:val="right"/>
        <w:rPr>
          <w:i/>
          <w:noProof/>
          <w:sz w:val="20"/>
        </w:rPr>
      </w:pPr>
      <w:r>
        <w:rPr>
          <w:i/>
          <w:noProof/>
          <w:sz w:val="20"/>
        </w:rPr>
        <w:t>hinnanguline väärtus täisarvuna (või maksimaalselt ühe kohaga pärast koma)</w:t>
      </w:r>
    </w:p>
    <w:tbl>
      <w:tblPr>
        <w:tblW w:w="4689" w:type="pct"/>
        <w:jc w:val="center"/>
        <w:tblInd w:w="-5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938"/>
        <w:gridCol w:w="991"/>
        <w:gridCol w:w="1136"/>
        <w:gridCol w:w="1136"/>
        <w:gridCol w:w="1273"/>
        <w:gridCol w:w="1235"/>
      </w:tblGrid>
      <w:tr w:rsidR="00F4358D">
        <w:trPr>
          <w:trHeight w:val="289"/>
          <w:jc w:val="center"/>
        </w:trPr>
        <w:tc>
          <w:tcPr>
            <w:tcW w:w="1687" w:type="pct"/>
            <w:shd w:val="clear" w:color="auto" w:fill="auto"/>
            <w:vAlign w:val="center"/>
          </w:tcPr>
          <w:p w:rsidR="00F4358D" w:rsidRDefault="00F4358D">
            <w:pPr>
              <w:pStyle w:val="Text1"/>
              <w:spacing w:before="40" w:after="40"/>
              <w:ind w:left="0"/>
              <w:jc w:val="center"/>
              <w:rPr>
                <w:i/>
                <w:noProof/>
                <w:sz w:val="20"/>
              </w:rPr>
            </w:pPr>
          </w:p>
        </w:tc>
        <w:tc>
          <w:tcPr>
            <w:tcW w:w="569" w:type="pct"/>
            <w:vAlign w:val="center"/>
          </w:tcPr>
          <w:p w:rsidR="00F4358D" w:rsidRDefault="00F4358D">
            <w:pPr>
              <w:spacing w:before="0" w:after="0"/>
              <w:jc w:val="center"/>
              <w:rPr>
                <w:rFonts w:eastAsia="Calibri"/>
                <w:noProof/>
                <w:sz w:val="22"/>
              </w:rPr>
            </w:pPr>
          </w:p>
        </w:tc>
        <w:tc>
          <w:tcPr>
            <w:tcW w:w="2744" w:type="pct"/>
            <w:gridSpan w:val="4"/>
            <w:shd w:val="clear" w:color="auto" w:fill="auto"/>
            <w:vAlign w:val="center"/>
          </w:tcPr>
          <w:p w:rsidR="00F4358D" w:rsidRDefault="00D1585A">
            <w:pPr>
              <w:spacing w:before="20" w:after="20"/>
              <w:jc w:val="center"/>
              <w:rPr>
                <w:rFonts w:eastAsia="Calibri"/>
                <w:noProof/>
                <w:sz w:val="22"/>
              </w:rPr>
            </w:pPr>
            <w:r>
              <w:rPr>
                <w:noProof/>
                <w:sz w:val="22"/>
              </w:rPr>
              <w:t xml:space="preserve">Lisatöötajad </w:t>
            </w:r>
          </w:p>
        </w:tc>
      </w:tr>
      <w:tr w:rsidR="00F4358D">
        <w:trPr>
          <w:trHeight w:val="289"/>
          <w:jc w:val="center"/>
        </w:trPr>
        <w:tc>
          <w:tcPr>
            <w:tcW w:w="1687" w:type="pct"/>
            <w:shd w:val="clear" w:color="auto" w:fill="auto"/>
            <w:vAlign w:val="center"/>
          </w:tcPr>
          <w:p w:rsidR="00F4358D" w:rsidRDefault="00F4358D">
            <w:pPr>
              <w:pStyle w:val="Text1"/>
              <w:spacing w:before="40" w:after="40"/>
              <w:ind w:left="0"/>
              <w:jc w:val="center"/>
              <w:rPr>
                <w:i/>
                <w:noProof/>
                <w:sz w:val="20"/>
              </w:rPr>
            </w:pPr>
          </w:p>
        </w:tc>
        <w:tc>
          <w:tcPr>
            <w:tcW w:w="569" w:type="pct"/>
            <w:vAlign w:val="center"/>
          </w:tcPr>
          <w:p w:rsidR="00F4358D" w:rsidRDefault="00D1585A">
            <w:pPr>
              <w:spacing w:before="0" w:after="0"/>
              <w:jc w:val="center"/>
              <w:rPr>
                <w:rFonts w:eastAsia="Calibri"/>
                <w:noProof/>
                <w:sz w:val="22"/>
              </w:rPr>
            </w:pPr>
            <w:r>
              <w:rPr>
                <w:noProof/>
                <w:sz w:val="22"/>
              </w:rPr>
              <w:t>Lähteolukord 2017</w:t>
            </w:r>
          </w:p>
        </w:tc>
        <w:tc>
          <w:tcPr>
            <w:tcW w:w="652" w:type="pct"/>
            <w:shd w:val="clear" w:color="auto" w:fill="auto"/>
            <w:vAlign w:val="center"/>
          </w:tcPr>
          <w:p w:rsidR="00F4358D" w:rsidRDefault="00D1585A">
            <w:pPr>
              <w:spacing w:before="20" w:after="20"/>
              <w:jc w:val="center"/>
              <w:rPr>
                <w:rFonts w:eastAsia="Calibri"/>
                <w:noProof/>
                <w:sz w:val="22"/>
              </w:rPr>
            </w:pPr>
            <w:r>
              <w:rPr>
                <w:noProof/>
                <w:sz w:val="22"/>
              </w:rPr>
              <w:t>Kolmas ja neljas kvartal</w:t>
            </w:r>
          </w:p>
          <w:p w:rsidR="00F4358D" w:rsidRDefault="00D1585A">
            <w:pPr>
              <w:spacing w:before="20" w:after="20"/>
              <w:jc w:val="center"/>
              <w:rPr>
                <w:noProof/>
                <w:sz w:val="20"/>
              </w:rPr>
            </w:pPr>
            <w:r>
              <w:rPr>
                <w:noProof/>
                <w:sz w:val="22"/>
              </w:rPr>
              <w:t>2019</w:t>
            </w:r>
          </w:p>
        </w:tc>
        <w:tc>
          <w:tcPr>
            <w:tcW w:w="652" w:type="pct"/>
            <w:shd w:val="clear" w:color="auto" w:fill="auto"/>
            <w:vAlign w:val="center"/>
          </w:tcPr>
          <w:p w:rsidR="00F4358D" w:rsidRDefault="00D1585A">
            <w:pPr>
              <w:spacing w:before="20" w:after="20"/>
              <w:jc w:val="center"/>
              <w:rPr>
                <w:noProof/>
                <w:sz w:val="20"/>
              </w:rPr>
            </w:pPr>
            <w:r>
              <w:rPr>
                <w:noProof/>
                <w:sz w:val="22"/>
              </w:rPr>
              <w:t>2020</w:t>
            </w:r>
          </w:p>
        </w:tc>
        <w:tc>
          <w:tcPr>
            <w:tcW w:w="731" w:type="pct"/>
            <w:shd w:val="clear" w:color="auto" w:fill="auto"/>
            <w:vAlign w:val="center"/>
          </w:tcPr>
          <w:p w:rsidR="00F4358D" w:rsidRDefault="00D1585A">
            <w:pPr>
              <w:spacing w:before="20" w:after="20"/>
              <w:jc w:val="center"/>
              <w:rPr>
                <w:noProof/>
                <w:sz w:val="20"/>
              </w:rPr>
            </w:pPr>
            <w:r>
              <w:rPr>
                <w:noProof/>
                <w:sz w:val="22"/>
              </w:rPr>
              <w:t>2021</w:t>
            </w:r>
          </w:p>
        </w:tc>
        <w:tc>
          <w:tcPr>
            <w:tcW w:w="709" w:type="pct"/>
            <w:vAlign w:val="center"/>
          </w:tcPr>
          <w:p w:rsidR="00F4358D" w:rsidRDefault="00D1585A">
            <w:pPr>
              <w:spacing w:before="20" w:after="20"/>
              <w:jc w:val="center"/>
              <w:rPr>
                <w:rFonts w:eastAsia="Calibri"/>
                <w:noProof/>
                <w:sz w:val="22"/>
              </w:rPr>
            </w:pPr>
            <w:r>
              <w:rPr>
                <w:noProof/>
                <w:sz w:val="22"/>
              </w:rPr>
              <w:t>2020</w:t>
            </w:r>
          </w:p>
        </w:tc>
      </w:tr>
      <w:tr w:rsidR="00F4358D">
        <w:trPr>
          <w:trHeight w:val="289"/>
          <w:jc w:val="center"/>
        </w:trPr>
        <w:tc>
          <w:tcPr>
            <w:tcW w:w="1687" w:type="pct"/>
            <w:shd w:val="clear" w:color="auto" w:fill="auto"/>
            <w:vAlign w:val="center"/>
          </w:tcPr>
          <w:p w:rsidR="00F4358D" w:rsidRDefault="00D1585A">
            <w:pPr>
              <w:pStyle w:val="Text1"/>
              <w:numPr>
                <w:ilvl w:val="0"/>
                <w:numId w:val="13"/>
              </w:numPr>
              <w:tabs>
                <w:tab w:val="left" w:pos="208"/>
              </w:tabs>
              <w:spacing w:beforeLines="20" w:before="48" w:afterLines="20" w:after="48"/>
              <w:ind w:left="208" w:hanging="120"/>
              <w:jc w:val="left"/>
              <w:rPr>
                <w:b/>
                <w:noProof/>
                <w:sz w:val="20"/>
              </w:rPr>
            </w:pPr>
            <w:r>
              <w:rPr>
                <w:b/>
                <w:noProof/>
                <w:sz w:val="20"/>
              </w:rPr>
              <w:t xml:space="preserve">Ametikohtade loeteluga ette nähtud ametikohad (ametnikud ja </w:t>
            </w:r>
            <w:r>
              <w:rPr>
                <w:b/>
                <w:noProof/>
                <w:sz w:val="20"/>
              </w:rPr>
              <w:t>ajutised töötajad)</w:t>
            </w:r>
          </w:p>
        </w:tc>
        <w:tc>
          <w:tcPr>
            <w:tcW w:w="569" w:type="pct"/>
            <w:shd w:val="clear" w:color="auto" w:fill="D9D9D9" w:themeFill="background1" w:themeFillShade="D9"/>
          </w:tcPr>
          <w:p w:rsidR="00F4358D" w:rsidRDefault="00F4358D">
            <w:pPr>
              <w:spacing w:beforeLines="20" w:before="48" w:afterLines="20" w:after="48"/>
              <w:jc w:val="center"/>
              <w:rPr>
                <w:noProof/>
                <w:sz w:val="20"/>
              </w:rPr>
            </w:pPr>
          </w:p>
        </w:tc>
        <w:tc>
          <w:tcPr>
            <w:tcW w:w="652" w:type="pct"/>
            <w:shd w:val="clear" w:color="auto" w:fill="auto"/>
            <w:vAlign w:val="center"/>
          </w:tcPr>
          <w:p w:rsidR="00F4358D" w:rsidRDefault="00F4358D">
            <w:pPr>
              <w:spacing w:beforeLines="20" w:before="48" w:afterLines="20" w:after="48"/>
              <w:jc w:val="center"/>
              <w:rPr>
                <w:noProof/>
                <w:sz w:val="20"/>
              </w:rPr>
            </w:pPr>
          </w:p>
        </w:tc>
        <w:tc>
          <w:tcPr>
            <w:tcW w:w="652" w:type="pct"/>
            <w:shd w:val="clear" w:color="auto" w:fill="auto"/>
            <w:vAlign w:val="center"/>
          </w:tcPr>
          <w:p w:rsidR="00F4358D" w:rsidRDefault="00F4358D">
            <w:pPr>
              <w:spacing w:beforeLines="20" w:before="48" w:afterLines="20" w:after="48"/>
              <w:jc w:val="center"/>
              <w:rPr>
                <w:noProof/>
                <w:sz w:val="20"/>
              </w:rPr>
            </w:pPr>
          </w:p>
        </w:tc>
        <w:tc>
          <w:tcPr>
            <w:tcW w:w="731" w:type="pct"/>
            <w:shd w:val="clear" w:color="auto" w:fill="auto"/>
            <w:vAlign w:val="center"/>
          </w:tcPr>
          <w:p w:rsidR="00F4358D" w:rsidRDefault="00F4358D">
            <w:pPr>
              <w:spacing w:beforeLines="20" w:before="48" w:afterLines="20" w:after="48"/>
              <w:jc w:val="center"/>
              <w:rPr>
                <w:noProof/>
                <w:sz w:val="20"/>
              </w:rPr>
            </w:pPr>
          </w:p>
        </w:tc>
        <w:tc>
          <w:tcPr>
            <w:tcW w:w="709" w:type="pct"/>
          </w:tcPr>
          <w:p w:rsidR="00F4358D" w:rsidRDefault="00F4358D">
            <w:pPr>
              <w:spacing w:beforeLines="20" w:before="48" w:afterLines="20" w:after="48"/>
              <w:jc w:val="center"/>
              <w:rPr>
                <w:noProof/>
                <w:sz w:val="20"/>
              </w:rPr>
            </w:pPr>
          </w:p>
        </w:tc>
      </w:tr>
      <w:tr w:rsidR="00F4358D">
        <w:trPr>
          <w:trHeight w:val="289"/>
          <w:jc w:val="center"/>
        </w:trPr>
        <w:tc>
          <w:tcPr>
            <w:tcW w:w="1687" w:type="pct"/>
            <w:shd w:val="clear" w:color="auto" w:fill="auto"/>
            <w:vAlign w:val="center"/>
          </w:tcPr>
          <w:p w:rsidR="00F4358D" w:rsidRDefault="00D1585A">
            <w:pPr>
              <w:pStyle w:val="Text1"/>
              <w:spacing w:beforeLines="20" w:before="48" w:afterLines="20" w:after="48"/>
              <w:ind w:left="984"/>
              <w:jc w:val="left"/>
              <w:rPr>
                <w:b/>
                <w:noProof/>
                <w:sz w:val="20"/>
              </w:rPr>
            </w:pPr>
            <w:r>
              <w:rPr>
                <w:noProof/>
                <w:sz w:val="20"/>
              </w:rPr>
              <w:t>09 01 01 01 (komisjoni peakorteris ja esindustes)</w:t>
            </w:r>
          </w:p>
        </w:tc>
        <w:tc>
          <w:tcPr>
            <w:tcW w:w="569" w:type="pct"/>
            <w:shd w:val="clear" w:color="auto" w:fill="D9D9D9" w:themeFill="background1" w:themeFillShade="D9"/>
            <w:vAlign w:val="center"/>
          </w:tcPr>
          <w:p w:rsidR="00F4358D" w:rsidRDefault="00F4358D">
            <w:pPr>
              <w:spacing w:before="0" w:after="0"/>
              <w:jc w:val="center"/>
              <w:rPr>
                <w:noProof/>
                <w:sz w:val="20"/>
              </w:rPr>
            </w:pPr>
          </w:p>
          <w:p w:rsidR="00F4358D" w:rsidRDefault="00D1585A">
            <w:pPr>
              <w:spacing w:before="0" w:after="0"/>
              <w:jc w:val="center"/>
              <w:rPr>
                <w:noProof/>
                <w:sz w:val="20"/>
              </w:rPr>
            </w:pPr>
            <w:r>
              <w:rPr>
                <w:noProof/>
                <w:sz w:val="20"/>
              </w:rPr>
              <w:t>1</w:t>
            </w:r>
          </w:p>
        </w:tc>
        <w:tc>
          <w:tcPr>
            <w:tcW w:w="652" w:type="pct"/>
            <w:shd w:val="clear" w:color="auto" w:fill="auto"/>
            <w:vAlign w:val="center"/>
          </w:tcPr>
          <w:p w:rsidR="00F4358D" w:rsidRDefault="00D1585A">
            <w:pPr>
              <w:spacing w:before="0" w:after="0"/>
              <w:jc w:val="center"/>
              <w:rPr>
                <w:noProof/>
                <w:sz w:val="20"/>
              </w:rPr>
            </w:pPr>
            <w:r>
              <w:rPr>
                <w:noProof/>
                <w:sz w:val="20"/>
              </w:rPr>
              <w:t>2</w:t>
            </w:r>
          </w:p>
        </w:tc>
        <w:tc>
          <w:tcPr>
            <w:tcW w:w="652" w:type="pct"/>
            <w:shd w:val="clear" w:color="auto" w:fill="auto"/>
            <w:vAlign w:val="center"/>
          </w:tcPr>
          <w:p w:rsidR="00F4358D" w:rsidRDefault="00D1585A">
            <w:pPr>
              <w:spacing w:before="0" w:after="0"/>
              <w:jc w:val="center"/>
              <w:rPr>
                <w:noProof/>
                <w:sz w:val="20"/>
              </w:rPr>
            </w:pPr>
            <w:r>
              <w:rPr>
                <w:noProof/>
                <w:sz w:val="20"/>
              </w:rPr>
              <w:t>3</w:t>
            </w:r>
          </w:p>
        </w:tc>
        <w:tc>
          <w:tcPr>
            <w:tcW w:w="731" w:type="pct"/>
            <w:shd w:val="clear" w:color="auto" w:fill="auto"/>
            <w:vAlign w:val="center"/>
          </w:tcPr>
          <w:p w:rsidR="00F4358D" w:rsidRDefault="00F4358D">
            <w:pPr>
              <w:spacing w:before="0" w:after="0"/>
              <w:jc w:val="center"/>
              <w:rPr>
                <w:noProof/>
                <w:sz w:val="20"/>
              </w:rPr>
            </w:pPr>
          </w:p>
        </w:tc>
        <w:tc>
          <w:tcPr>
            <w:tcW w:w="709" w:type="pct"/>
            <w:vAlign w:val="center"/>
          </w:tcPr>
          <w:p w:rsidR="00F4358D" w:rsidRDefault="00F4358D">
            <w:pPr>
              <w:spacing w:before="0" w:after="0"/>
              <w:jc w:val="center"/>
              <w:rPr>
                <w:noProof/>
                <w:sz w:val="20"/>
              </w:rPr>
            </w:pPr>
          </w:p>
        </w:tc>
      </w:tr>
      <w:tr w:rsidR="00F4358D">
        <w:trPr>
          <w:trHeight w:val="289"/>
          <w:jc w:val="center"/>
        </w:trPr>
        <w:tc>
          <w:tcPr>
            <w:tcW w:w="1687" w:type="pct"/>
            <w:shd w:val="clear" w:color="auto" w:fill="auto"/>
            <w:vAlign w:val="center"/>
          </w:tcPr>
          <w:p w:rsidR="00F4358D" w:rsidRDefault="00D1585A">
            <w:pPr>
              <w:pStyle w:val="Text1"/>
              <w:spacing w:beforeLines="20" w:before="48" w:afterLines="20" w:after="48"/>
              <w:ind w:left="208" w:hanging="120"/>
              <w:jc w:val="left"/>
              <w:rPr>
                <w:noProof/>
                <w:sz w:val="20"/>
              </w:rPr>
            </w:pPr>
            <w:r>
              <w:rPr>
                <w:b/>
                <w:noProof/>
                <w:sz w:val="20"/>
              </w:rPr>
              <w:sym w:font="Wingdings" w:char="F09F"/>
            </w:r>
            <w:r>
              <w:rPr>
                <w:b/>
                <w:noProof/>
                <w:sz w:val="20"/>
              </w:rPr>
              <w:t xml:space="preserve"> Koosseisuväline personal (täistööajale taandatud töötajad)</w:t>
            </w:r>
            <w:r>
              <w:rPr>
                <w:rStyle w:val="FootnoteReference"/>
                <w:noProof/>
              </w:rPr>
              <w:footnoteReference w:id="58"/>
            </w:r>
          </w:p>
        </w:tc>
        <w:tc>
          <w:tcPr>
            <w:tcW w:w="569" w:type="pct"/>
            <w:shd w:val="clear" w:color="auto" w:fill="D9D9D9" w:themeFill="background1" w:themeFillShade="D9"/>
            <w:vAlign w:val="center"/>
          </w:tcPr>
          <w:p w:rsidR="00F4358D" w:rsidRDefault="00F4358D">
            <w:pPr>
              <w:spacing w:before="0" w:after="0"/>
              <w:jc w:val="center"/>
              <w:rPr>
                <w:noProof/>
                <w:sz w:val="20"/>
              </w:rPr>
            </w:pPr>
          </w:p>
        </w:tc>
        <w:tc>
          <w:tcPr>
            <w:tcW w:w="652" w:type="pct"/>
            <w:shd w:val="clear" w:color="auto" w:fill="auto"/>
            <w:vAlign w:val="center"/>
          </w:tcPr>
          <w:p w:rsidR="00F4358D" w:rsidRDefault="00F4358D">
            <w:pPr>
              <w:spacing w:before="0" w:after="0"/>
              <w:jc w:val="center"/>
              <w:rPr>
                <w:noProof/>
                <w:sz w:val="20"/>
              </w:rPr>
            </w:pPr>
          </w:p>
        </w:tc>
        <w:tc>
          <w:tcPr>
            <w:tcW w:w="652" w:type="pct"/>
            <w:shd w:val="clear" w:color="auto" w:fill="auto"/>
            <w:vAlign w:val="center"/>
          </w:tcPr>
          <w:p w:rsidR="00F4358D" w:rsidRDefault="00F4358D">
            <w:pPr>
              <w:spacing w:before="0" w:after="0"/>
              <w:jc w:val="center"/>
              <w:rPr>
                <w:noProof/>
                <w:sz w:val="20"/>
              </w:rPr>
            </w:pPr>
          </w:p>
        </w:tc>
        <w:tc>
          <w:tcPr>
            <w:tcW w:w="731" w:type="pct"/>
            <w:shd w:val="clear" w:color="auto" w:fill="auto"/>
            <w:vAlign w:val="center"/>
          </w:tcPr>
          <w:p w:rsidR="00F4358D" w:rsidRDefault="00F4358D">
            <w:pPr>
              <w:spacing w:before="0" w:after="0"/>
              <w:jc w:val="center"/>
              <w:rPr>
                <w:noProof/>
                <w:sz w:val="20"/>
              </w:rPr>
            </w:pPr>
          </w:p>
        </w:tc>
        <w:tc>
          <w:tcPr>
            <w:tcW w:w="709" w:type="pct"/>
            <w:vAlign w:val="center"/>
          </w:tcPr>
          <w:p w:rsidR="00F4358D" w:rsidRDefault="00F4358D">
            <w:pPr>
              <w:spacing w:before="0" w:after="0"/>
              <w:jc w:val="center"/>
              <w:rPr>
                <w:noProof/>
                <w:sz w:val="20"/>
              </w:rPr>
            </w:pPr>
          </w:p>
        </w:tc>
      </w:tr>
      <w:tr w:rsidR="00F4358D">
        <w:trPr>
          <w:trHeight w:val="289"/>
          <w:jc w:val="center"/>
        </w:trPr>
        <w:tc>
          <w:tcPr>
            <w:tcW w:w="1687" w:type="pct"/>
            <w:shd w:val="clear" w:color="auto" w:fill="auto"/>
            <w:vAlign w:val="center"/>
          </w:tcPr>
          <w:p w:rsidR="00F4358D" w:rsidRDefault="00D1585A">
            <w:pPr>
              <w:pStyle w:val="Text1"/>
              <w:spacing w:beforeLines="20" w:before="48" w:afterLines="20" w:after="48"/>
              <w:ind w:left="986"/>
              <w:jc w:val="left"/>
              <w:rPr>
                <w:b/>
                <w:noProof/>
                <w:sz w:val="20"/>
              </w:rPr>
            </w:pPr>
            <w:r>
              <w:rPr>
                <w:noProof/>
                <w:sz w:val="20"/>
              </w:rPr>
              <w:t xml:space="preserve">09 01 02 01 (üldvahenditest rahastatavad lepingulised töötajad, riikide lähetatud eksperdid, </w:t>
            </w:r>
            <w:r>
              <w:rPr>
                <w:noProof/>
                <w:sz w:val="20"/>
              </w:rPr>
              <w:t>renditööjõud)</w:t>
            </w:r>
          </w:p>
        </w:tc>
        <w:tc>
          <w:tcPr>
            <w:tcW w:w="569" w:type="pct"/>
            <w:shd w:val="clear" w:color="auto" w:fill="D9D9D9" w:themeFill="background1" w:themeFillShade="D9"/>
            <w:vAlign w:val="center"/>
          </w:tcPr>
          <w:p w:rsidR="00F4358D" w:rsidRDefault="00F4358D">
            <w:pPr>
              <w:spacing w:before="0" w:after="0"/>
              <w:jc w:val="center"/>
              <w:rPr>
                <w:noProof/>
                <w:sz w:val="20"/>
              </w:rPr>
            </w:pPr>
          </w:p>
          <w:p w:rsidR="00F4358D" w:rsidRDefault="00D1585A">
            <w:pPr>
              <w:spacing w:before="0" w:after="0"/>
              <w:jc w:val="center"/>
              <w:rPr>
                <w:noProof/>
                <w:sz w:val="20"/>
              </w:rPr>
            </w:pPr>
            <w:r>
              <w:rPr>
                <w:noProof/>
                <w:sz w:val="20"/>
              </w:rPr>
              <w:t>1</w:t>
            </w:r>
          </w:p>
          <w:p w:rsidR="00F4358D" w:rsidRDefault="00F4358D">
            <w:pPr>
              <w:spacing w:before="0" w:after="0"/>
              <w:jc w:val="center"/>
              <w:rPr>
                <w:noProof/>
                <w:sz w:val="20"/>
              </w:rPr>
            </w:pPr>
          </w:p>
        </w:tc>
        <w:tc>
          <w:tcPr>
            <w:tcW w:w="652" w:type="pct"/>
            <w:shd w:val="clear" w:color="auto" w:fill="auto"/>
            <w:vAlign w:val="center"/>
          </w:tcPr>
          <w:p w:rsidR="00F4358D" w:rsidRDefault="00D1585A">
            <w:pPr>
              <w:spacing w:before="0" w:after="0"/>
              <w:jc w:val="center"/>
              <w:rPr>
                <w:noProof/>
                <w:sz w:val="20"/>
              </w:rPr>
            </w:pPr>
            <w:r>
              <w:rPr>
                <w:noProof/>
                <w:sz w:val="20"/>
              </w:rPr>
              <w:t>2</w:t>
            </w:r>
          </w:p>
        </w:tc>
        <w:tc>
          <w:tcPr>
            <w:tcW w:w="652" w:type="pct"/>
            <w:shd w:val="clear" w:color="auto" w:fill="auto"/>
            <w:vAlign w:val="center"/>
          </w:tcPr>
          <w:p w:rsidR="00F4358D" w:rsidRDefault="00F4358D">
            <w:pPr>
              <w:spacing w:before="0" w:after="0"/>
              <w:jc w:val="center"/>
              <w:rPr>
                <w:noProof/>
                <w:sz w:val="20"/>
              </w:rPr>
            </w:pPr>
          </w:p>
        </w:tc>
        <w:tc>
          <w:tcPr>
            <w:tcW w:w="731" w:type="pct"/>
            <w:shd w:val="clear" w:color="auto" w:fill="auto"/>
            <w:vAlign w:val="center"/>
          </w:tcPr>
          <w:p w:rsidR="00F4358D" w:rsidRDefault="00F4358D">
            <w:pPr>
              <w:spacing w:before="0" w:after="0"/>
              <w:jc w:val="center"/>
              <w:rPr>
                <w:noProof/>
                <w:sz w:val="20"/>
              </w:rPr>
            </w:pPr>
          </w:p>
        </w:tc>
        <w:tc>
          <w:tcPr>
            <w:tcW w:w="709" w:type="pct"/>
            <w:vAlign w:val="center"/>
          </w:tcPr>
          <w:p w:rsidR="00F4358D" w:rsidRDefault="00F4358D">
            <w:pPr>
              <w:spacing w:before="0" w:after="0"/>
              <w:jc w:val="center"/>
              <w:rPr>
                <w:noProof/>
                <w:sz w:val="20"/>
              </w:rPr>
            </w:pPr>
          </w:p>
        </w:tc>
      </w:tr>
      <w:tr w:rsidR="00F4358D">
        <w:trPr>
          <w:trHeight w:val="289"/>
          <w:jc w:val="center"/>
        </w:trPr>
        <w:tc>
          <w:tcPr>
            <w:tcW w:w="1687" w:type="pct"/>
            <w:tcBorders>
              <w:top w:val="double" w:sz="4" w:space="0" w:color="auto"/>
            </w:tcBorders>
            <w:shd w:val="clear" w:color="auto" w:fill="auto"/>
            <w:vAlign w:val="center"/>
          </w:tcPr>
          <w:p w:rsidR="00F4358D" w:rsidRDefault="00D1585A">
            <w:pPr>
              <w:pStyle w:val="Text1"/>
              <w:spacing w:beforeLines="20" w:before="48" w:afterLines="20" w:after="48"/>
              <w:ind w:left="986"/>
              <w:jc w:val="left"/>
              <w:rPr>
                <w:noProof/>
                <w:sz w:val="20"/>
              </w:rPr>
            </w:pPr>
            <w:r>
              <w:rPr>
                <w:b/>
                <w:noProof/>
                <w:sz w:val="20"/>
              </w:rPr>
              <w:t>KOKKU</w:t>
            </w:r>
          </w:p>
        </w:tc>
        <w:tc>
          <w:tcPr>
            <w:tcW w:w="569" w:type="pct"/>
            <w:tcBorders>
              <w:top w:val="double" w:sz="4" w:space="0" w:color="auto"/>
            </w:tcBorders>
            <w:shd w:val="clear" w:color="auto" w:fill="D9D9D9" w:themeFill="background1" w:themeFillShade="D9"/>
            <w:vAlign w:val="center"/>
          </w:tcPr>
          <w:p w:rsidR="00F4358D" w:rsidRDefault="00F4358D">
            <w:pPr>
              <w:spacing w:before="0" w:after="0"/>
              <w:jc w:val="center"/>
              <w:rPr>
                <w:b/>
                <w:noProof/>
                <w:sz w:val="20"/>
              </w:rPr>
            </w:pPr>
          </w:p>
        </w:tc>
        <w:tc>
          <w:tcPr>
            <w:tcW w:w="652" w:type="pct"/>
            <w:tcBorders>
              <w:top w:val="double" w:sz="4" w:space="0" w:color="auto"/>
            </w:tcBorders>
            <w:shd w:val="clear" w:color="auto" w:fill="auto"/>
            <w:vAlign w:val="center"/>
          </w:tcPr>
          <w:p w:rsidR="00F4358D" w:rsidRDefault="00D1585A">
            <w:pPr>
              <w:spacing w:before="0" w:after="0"/>
              <w:jc w:val="center"/>
              <w:rPr>
                <w:b/>
                <w:noProof/>
                <w:sz w:val="20"/>
              </w:rPr>
            </w:pPr>
            <w:r>
              <w:rPr>
                <w:b/>
                <w:noProof/>
                <w:sz w:val="20"/>
              </w:rPr>
              <w:t>4</w:t>
            </w:r>
          </w:p>
        </w:tc>
        <w:tc>
          <w:tcPr>
            <w:tcW w:w="652" w:type="pct"/>
            <w:tcBorders>
              <w:top w:val="double" w:sz="4" w:space="0" w:color="auto"/>
            </w:tcBorders>
            <w:shd w:val="clear" w:color="auto" w:fill="auto"/>
            <w:vAlign w:val="center"/>
          </w:tcPr>
          <w:p w:rsidR="00F4358D" w:rsidRDefault="00D1585A">
            <w:pPr>
              <w:spacing w:before="0" w:after="0"/>
              <w:jc w:val="center"/>
              <w:rPr>
                <w:b/>
                <w:noProof/>
                <w:sz w:val="20"/>
              </w:rPr>
            </w:pPr>
            <w:r>
              <w:rPr>
                <w:b/>
                <w:noProof/>
                <w:sz w:val="20"/>
              </w:rPr>
              <w:t>3</w:t>
            </w:r>
          </w:p>
        </w:tc>
        <w:tc>
          <w:tcPr>
            <w:tcW w:w="731" w:type="pct"/>
            <w:tcBorders>
              <w:top w:val="double" w:sz="4" w:space="0" w:color="auto"/>
            </w:tcBorders>
            <w:shd w:val="clear" w:color="auto" w:fill="auto"/>
            <w:vAlign w:val="center"/>
          </w:tcPr>
          <w:p w:rsidR="00F4358D" w:rsidRDefault="00F4358D">
            <w:pPr>
              <w:spacing w:before="0" w:after="0"/>
              <w:jc w:val="center"/>
              <w:rPr>
                <w:b/>
                <w:noProof/>
                <w:sz w:val="20"/>
              </w:rPr>
            </w:pPr>
          </w:p>
        </w:tc>
        <w:tc>
          <w:tcPr>
            <w:tcW w:w="709" w:type="pct"/>
            <w:tcBorders>
              <w:top w:val="double" w:sz="4" w:space="0" w:color="auto"/>
            </w:tcBorders>
            <w:vAlign w:val="center"/>
          </w:tcPr>
          <w:p w:rsidR="00F4358D" w:rsidRDefault="00F4358D">
            <w:pPr>
              <w:spacing w:before="0" w:after="0"/>
              <w:jc w:val="center"/>
              <w:rPr>
                <w:b/>
                <w:noProof/>
                <w:sz w:val="20"/>
              </w:rPr>
            </w:pPr>
          </w:p>
        </w:tc>
      </w:tr>
    </w:tbl>
    <w:p w:rsidR="00F4358D" w:rsidRDefault="00F4358D">
      <w:pPr>
        <w:rPr>
          <w:noProof/>
        </w:rPr>
      </w:pPr>
    </w:p>
    <w:p w:rsidR="00F4358D" w:rsidRDefault="00D1585A">
      <w:pPr>
        <w:rPr>
          <w:noProof/>
        </w:rPr>
      </w:pPr>
      <w:r>
        <w:rPr>
          <w:noProof/>
        </w:rPr>
        <w:t>Ülesannete kirjeldus:</w:t>
      </w:r>
    </w:p>
    <w:tbl>
      <w:tblPr>
        <w:tblW w:w="8221"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42"/>
        <w:gridCol w:w="6379"/>
      </w:tblGrid>
      <w:tr w:rsidR="00F4358D">
        <w:tc>
          <w:tcPr>
            <w:tcW w:w="1842" w:type="dxa"/>
            <w:vAlign w:val="center"/>
          </w:tcPr>
          <w:p w:rsidR="00F4358D" w:rsidRDefault="00D1585A">
            <w:pPr>
              <w:jc w:val="center"/>
              <w:rPr>
                <w:noProof/>
                <w:szCs w:val="24"/>
              </w:rPr>
            </w:pPr>
            <w:r>
              <w:rPr>
                <w:noProof/>
              </w:rPr>
              <w:t>Ametnikud ja ajutised töötajad</w:t>
            </w:r>
          </w:p>
        </w:tc>
        <w:tc>
          <w:tcPr>
            <w:tcW w:w="6379" w:type="dxa"/>
            <w:vAlign w:val="center"/>
          </w:tcPr>
          <w:p w:rsidR="00F4358D" w:rsidRDefault="00D1585A">
            <w:pPr>
              <w:rPr>
                <w:noProof/>
                <w:szCs w:val="24"/>
              </w:rPr>
            </w:pPr>
            <w:r>
              <w:rPr>
                <w:noProof/>
              </w:rPr>
              <w:t xml:space="preserve">Komisjoni esindamine ameti haldusnõukogus. Komisjoni arvamuse koostamine ENISA ühtse programmidokumendi kohta ja selle rakendamise jälgimine. Ameti eelarve </w:t>
            </w:r>
            <w:r>
              <w:rPr>
                <w:noProof/>
              </w:rPr>
              <w:t>koostamise kontrollimine ja selle täitmise jälgimine. Aidata ametil arendada oma tegevust kooskõlas liidu tegevuspõhimõtetega, sealhulgas osaledes asjasse puutuvatel kohtumistel.</w:t>
            </w:r>
          </w:p>
          <w:p w:rsidR="00F4358D" w:rsidRDefault="00D1585A">
            <w:pPr>
              <w:rPr>
                <w:noProof/>
                <w:szCs w:val="24"/>
              </w:rPr>
            </w:pPr>
            <w:r>
              <w:rPr>
                <w:noProof/>
              </w:rPr>
              <w:t>Teha IKT toodete ja teenuste Euroopa küberturvalisuse sertifitseerimise kavad</w:t>
            </w:r>
            <w:r>
              <w:rPr>
                <w:noProof/>
              </w:rPr>
              <w:t>e raamistiku rakendamise järelevalvet. Säilitada sertifitseerimisega seoses kontakte liikmesriikide ja teiste asjaomaste sidusrühmadega. Teha ettevalmistavate kavade asjus koostööd ENISAga. Koostada ettevalmistavad Euroopa küberturvalisuse kavad.</w:t>
            </w:r>
          </w:p>
        </w:tc>
      </w:tr>
      <w:tr w:rsidR="00F4358D">
        <w:tc>
          <w:tcPr>
            <w:tcW w:w="1842" w:type="dxa"/>
            <w:vAlign w:val="center"/>
          </w:tcPr>
          <w:p w:rsidR="00F4358D" w:rsidRDefault="00D1585A">
            <w:pPr>
              <w:spacing w:before="60" w:after="60"/>
              <w:jc w:val="center"/>
              <w:rPr>
                <w:noProof/>
                <w:szCs w:val="24"/>
              </w:rPr>
            </w:pPr>
            <w:r>
              <w:rPr>
                <w:noProof/>
              </w:rPr>
              <w:t>Koosseisuvälised töötajad</w:t>
            </w:r>
          </w:p>
        </w:tc>
        <w:tc>
          <w:tcPr>
            <w:tcW w:w="6379" w:type="dxa"/>
            <w:vAlign w:val="center"/>
          </w:tcPr>
          <w:p w:rsidR="00F4358D" w:rsidRDefault="00D1585A">
            <w:pPr>
              <w:jc w:val="left"/>
              <w:rPr>
                <w:noProof/>
                <w:szCs w:val="24"/>
              </w:rPr>
            </w:pPr>
            <w:r>
              <w:rPr>
                <w:noProof/>
              </w:rPr>
              <w:t>Vt eespool</w:t>
            </w:r>
          </w:p>
        </w:tc>
      </w:tr>
    </w:tbl>
    <w:p w:rsidR="00F4358D" w:rsidRDefault="00F4358D">
      <w:pPr>
        <w:rPr>
          <w:bCs/>
          <w:noProof/>
          <w:szCs w:val="24"/>
        </w:rPr>
      </w:pPr>
    </w:p>
    <w:p w:rsidR="00F4358D" w:rsidRDefault="00D1585A">
      <w:pPr>
        <w:pStyle w:val="ManualHeading3"/>
        <w:rPr>
          <w:bCs/>
          <w:noProof/>
          <w:szCs w:val="24"/>
        </w:rPr>
      </w:pPr>
      <w:r>
        <w:t>3.2.4.</w:t>
      </w:r>
      <w:r>
        <w:tab/>
      </w:r>
      <w:r>
        <w:rPr>
          <w:noProof/>
        </w:rPr>
        <w:t>Kooskõla kehtiva mitmeaastase finantsraamistikuga</w:t>
      </w:r>
    </w:p>
    <w:p w:rsidR="00F4358D" w:rsidRDefault="00D1585A">
      <w:pPr>
        <w:pStyle w:val="Tiret1"/>
        <w:rPr>
          <w:noProof/>
        </w:rPr>
      </w:pPr>
      <w:r>
        <w:rPr>
          <w:noProof/>
        </w:rPr>
        <w:sym w:font="Wingdings" w:char="F0A8"/>
      </w:r>
      <w:r>
        <w:rPr>
          <w:noProof/>
        </w:rPr>
        <w:tab/>
        <w:t>Ettepanek/algatus on kooskõlas kehtiva mitmeaastase finantsraamistikuga.</w:t>
      </w:r>
    </w:p>
    <w:p w:rsidR="00F4358D" w:rsidRDefault="00D1585A">
      <w:pPr>
        <w:pStyle w:val="Tiret1"/>
        <w:rPr>
          <w:noProof/>
        </w:rPr>
      </w:pPr>
      <w:r>
        <w:rPr>
          <w:noProof/>
        </w:rPr>
        <w:sym w:font="Wingdings" w:char="F078"/>
      </w:r>
      <w:r>
        <w:rPr>
          <w:noProof/>
        </w:rPr>
        <w:tab/>
        <w:t>Ettepanekuga/algatusega kaasneb mitmeaastase finantsraamistiku asjaomase rubriigi ü</w:t>
      </w:r>
      <w:r>
        <w:rPr>
          <w:noProof/>
        </w:rPr>
        <w:t>mberplaneerimine.</w:t>
      </w:r>
    </w:p>
    <w:p w:rsidR="00F4358D" w:rsidRDefault="00D1585A">
      <w:pPr>
        <w:pStyle w:val="Text1"/>
        <w:pBdr>
          <w:top w:val="single" w:sz="4" w:space="1" w:color="auto"/>
          <w:left w:val="single" w:sz="4" w:space="4" w:color="auto"/>
          <w:bottom w:val="single" w:sz="4" w:space="1" w:color="auto"/>
          <w:right w:val="single" w:sz="4" w:space="4" w:color="auto"/>
        </w:pBdr>
        <w:rPr>
          <w:noProof/>
        </w:rPr>
      </w:pPr>
      <w:r>
        <w:rPr>
          <w:noProof/>
        </w:rPr>
        <w:t>Ettepanekuga kaasneb eelarveartikli 09 02 03 ümberplaneerimine, kuna muudetakse ENISA mandaati, millega antakse ametile uued ülesanded, mis on muu hulgas seotud võrgu- ja infoturbe direktiivi rakendamisega ning Euroopa küberturvalisuse se</w:t>
      </w:r>
      <w:r>
        <w:rPr>
          <w:noProof/>
        </w:rPr>
        <w:t>rtifitseerimise raamistikuga. Vastavad summad:</w:t>
      </w:r>
    </w:p>
    <w:tbl>
      <w:tblPr>
        <w:tblStyle w:val="TableGrid"/>
        <w:tblW w:w="0" w:type="auto"/>
        <w:tblInd w:w="850" w:type="dxa"/>
        <w:tblLook w:val="04A0" w:firstRow="1" w:lastRow="0" w:firstColumn="1" w:lastColumn="0" w:noHBand="0" w:noVBand="1"/>
      </w:tblPr>
      <w:tblGrid>
        <w:gridCol w:w="1243"/>
        <w:gridCol w:w="3684"/>
        <w:gridCol w:w="3510"/>
      </w:tblGrid>
      <w:tr w:rsidR="00F4358D">
        <w:tc>
          <w:tcPr>
            <w:tcW w:w="1243" w:type="dxa"/>
          </w:tcPr>
          <w:p w:rsidR="00F4358D" w:rsidRDefault="00D1585A">
            <w:pPr>
              <w:pStyle w:val="Text1"/>
              <w:ind w:left="0"/>
              <w:rPr>
                <w:noProof/>
              </w:rPr>
            </w:pPr>
            <w:r>
              <w:rPr>
                <w:noProof/>
              </w:rPr>
              <w:t xml:space="preserve">Aasta </w:t>
            </w:r>
          </w:p>
        </w:tc>
        <w:tc>
          <w:tcPr>
            <w:tcW w:w="3684" w:type="dxa"/>
          </w:tcPr>
          <w:p w:rsidR="00F4358D" w:rsidRDefault="00D1585A">
            <w:pPr>
              <w:pStyle w:val="Text1"/>
              <w:ind w:left="0"/>
              <w:jc w:val="center"/>
              <w:rPr>
                <w:noProof/>
              </w:rPr>
            </w:pPr>
            <w:r>
              <w:rPr>
                <w:noProof/>
              </w:rPr>
              <w:t>Eeldatav</w:t>
            </w:r>
          </w:p>
        </w:tc>
        <w:tc>
          <w:tcPr>
            <w:tcW w:w="3510" w:type="dxa"/>
          </w:tcPr>
          <w:p w:rsidR="00F4358D" w:rsidRDefault="00D1585A">
            <w:pPr>
              <w:pStyle w:val="Text1"/>
              <w:ind w:left="0"/>
              <w:jc w:val="center"/>
              <w:rPr>
                <w:noProof/>
              </w:rPr>
            </w:pPr>
            <w:r>
              <w:rPr>
                <w:noProof/>
              </w:rPr>
              <w:t>Taotletud</w:t>
            </w:r>
          </w:p>
        </w:tc>
      </w:tr>
      <w:tr w:rsidR="00F4358D">
        <w:tc>
          <w:tcPr>
            <w:tcW w:w="1243" w:type="dxa"/>
          </w:tcPr>
          <w:p w:rsidR="00F4358D" w:rsidRDefault="00D1585A">
            <w:pPr>
              <w:pStyle w:val="Text1"/>
              <w:ind w:left="0"/>
              <w:rPr>
                <w:noProof/>
              </w:rPr>
            </w:pPr>
            <w:r>
              <w:rPr>
                <w:noProof/>
              </w:rPr>
              <w:t>2019</w:t>
            </w:r>
          </w:p>
        </w:tc>
        <w:tc>
          <w:tcPr>
            <w:tcW w:w="3684" w:type="dxa"/>
          </w:tcPr>
          <w:p w:rsidR="00F4358D" w:rsidRDefault="00D1585A">
            <w:pPr>
              <w:pStyle w:val="Text1"/>
              <w:ind w:left="0"/>
              <w:jc w:val="center"/>
              <w:rPr>
                <w:noProof/>
              </w:rPr>
            </w:pPr>
            <w:r>
              <w:rPr>
                <w:noProof/>
              </w:rPr>
              <w:t>10,739</w:t>
            </w:r>
          </w:p>
        </w:tc>
        <w:tc>
          <w:tcPr>
            <w:tcW w:w="3510" w:type="dxa"/>
          </w:tcPr>
          <w:p w:rsidR="00F4358D" w:rsidRDefault="00D1585A">
            <w:pPr>
              <w:pStyle w:val="Text1"/>
              <w:ind w:left="0"/>
              <w:jc w:val="center"/>
              <w:rPr>
                <w:noProof/>
              </w:rPr>
            </w:pPr>
            <w:r>
              <w:rPr>
                <w:noProof/>
              </w:rPr>
              <w:t>16,550</w:t>
            </w:r>
          </w:p>
        </w:tc>
      </w:tr>
      <w:tr w:rsidR="00F4358D">
        <w:tc>
          <w:tcPr>
            <w:tcW w:w="1243" w:type="dxa"/>
          </w:tcPr>
          <w:p w:rsidR="00F4358D" w:rsidRDefault="00D1585A">
            <w:pPr>
              <w:pStyle w:val="Text1"/>
              <w:ind w:left="0"/>
              <w:rPr>
                <w:noProof/>
              </w:rPr>
            </w:pPr>
            <w:r>
              <w:rPr>
                <w:noProof/>
              </w:rPr>
              <w:t>2020</w:t>
            </w:r>
          </w:p>
        </w:tc>
        <w:tc>
          <w:tcPr>
            <w:tcW w:w="3684" w:type="dxa"/>
          </w:tcPr>
          <w:p w:rsidR="00F4358D" w:rsidRDefault="00D1585A">
            <w:pPr>
              <w:pStyle w:val="Text1"/>
              <w:ind w:left="0"/>
              <w:jc w:val="center"/>
              <w:rPr>
                <w:noProof/>
              </w:rPr>
            </w:pPr>
            <w:r>
              <w:rPr>
                <w:noProof/>
              </w:rPr>
              <w:t>10,954</w:t>
            </w:r>
          </w:p>
        </w:tc>
        <w:tc>
          <w:tcPr>
            <w:tcW w:w="3510" w:type="dxa"/>
          </w:tcPr>
          <w:p w:rsidR="00F4358D" w:rsidRDefault="00D1585A">
            <w:pPr>
              <w:pStyle w:val="Text1"/>
              <w:rPr>
                <w:noProof/>
              </w:rPr>
            </w:pPr>
            <w:r>
              <w:rPr>
                <w:noProof/>
              </w:rPr>
              <w:t xml:space="preserve"> 20,646</w:t>
            </w:r>
          </w:p>
        </w:tc>
      </w:tr>
      <w:tr w:rsidR="00F4358D">
        <w:tc>
          <w:tcPr>
            <w:tcW w:w="1243" w:type="dxa"/>
          </w:tcPr>
          <w:p w:rsidR="00F4358D" w:rsidRDefault="00D1585A">
            <w:pPr>
              <w:pStyle w:val="Text1"/>
              <w:ind w:left="0"/>
              <w:rPr>
                <w:noProof/>
              </w:rPr>
            </w:pPr>
            <w:r>
              <w:rPr>
                <w:noProof/>
              </w:rPr>
              <w:t>2021</w:t>
            </w:r>
          </w:p>
        </w:tc>
        <w:tc>
          <w:tcPr>
            <w:tcW w:w="3684" w:type="dxa"/>
          </w:tcPr>
          <w:p w:rsidR="00F4358D" w:rsidRDefault="00D1585A">
            <w:pPr>
              <w:pStyle w:val="Text1"/>
              <w:ind w:left="0"/>
              <w:jc w:val="center"/>
              <w:rPr>
                <w:noProof/>
              </w:rPr>
            </w:pPr>
            <w:r>
              <w:rPr>
                <w:noProof/>
              </w:rPr>
              <w:t>Ei kohaldata</w:t>
            </w:r>
          </w:p>
        </w:tc>
        <w:tc>
          <w:tcPr>
            <w:tcW w:w="3510" w:type="dxa"/>
          </w:tcPr>
          <w:p w:rsidR="00F4358D" w:rsidRDefault="00D1585A">
            <w:pPr>
              <w:pStyle w:val="Text1"/>
              <w:ind w:left="0"/>
              <w:jc w:val="center"/>
              <w:rPr>
                <w:noProof/>
              </w:rPr>
            </w:pPr>
            <w:r>
              <w:rPr>
                <w:noProof/>
              </w:rPr>
              <w:t>22,248*</w:t>
            </w:r>
          </w:p>
        </w:tc>
      </w:tr>
      <w:tr w:rsidR="00F4358D">
        <w:tc>
          <w:tcPr>
            <w:tcW w:w="1243" w:type="dxa"/>
          </w:tcPr>
          <w:p w:rsidR="00F4358D" w:rsidRDefault="00D1585A">
            <w:pPr>
              <w:pStyle w:val="Text1"/>
              <w:ind w:left="0"/>
              <w:rPr>
                <w:noProof/>
              </w:rPr>
            </w:pPr>
            <w:r>
              <w:rPr>
                <w:noProof/>
              </w:rPr>
              <w:t>2022</w:t>
            </w:r>
          </w:p>
        </w:tc>
        <w:tc>
          <w:tcPr>
            <w:tcW w:w="3684" w:type="dxa"/>
          </w:tcPr>
          <w:p w:rsidR="00F4358D" w:rsidRDefault="00D1585A">
            <w:pPr>
              <w:pStyle w:val="Text1"/>
              <w:ind w:left="0"/>
              <w:jc w:val="center"/>
              <w:rPr>
                <w:noProof/>
              </w:rPr>
            </w:pPr>
            <w:r>
              <w:rPr>
                <w:noProof/>
              </w:rPr>
              <w:t>Ei kohaldata</w:t>
            </w:r>
          </w:p>
        </w:tc>
        <w:tc>
          <w:tcPr>
            <w:tcW w:w="3510" w:type="dxa"/>
          </w:tcPr>
          <w:p w:rsidR="00F4358D" w:rsidRDefault="00D1585A">
            <w:pPr>
              <w:pStyle w:val="Text1"/>
              <w:ind w:left="0"/>
              <w:jc w:val="center"/>
              <w:rPr>
                <w:noProof/>
              </w:rPr>
            </w:pPr>
            <w:r>
              <w:rPr>
                <w:noProof/>
              </w:rPr>
              <w:t>23,023*</w:t>
            </w:r>
          </w:p>
        </w:tc>
      </w:tr>
    </w:tbl>
    <w:p w:rsidR="00F4358D" w:rsidRDefault="00D1585A">
      <w:pPr>
        <w:pStyle w:val="Text1"/>
        <w:pBdr>
          <w:top w:val="single" w:sz="4" w:space="1" w:color="auto"/>
          <w:left w:val="single" w:sz="4" w:space="4" w:color="auto"/>
          <w:bottom w:val="single" w:sz="4" w:space="1" w:color="auto"/>
          <w:right w:val="single" w:sz="4" w:space="4" w:color="auto"/>
        </w:pBdr>
        <w:rPr>
          <w:noProof/>
          <w:sz w:val="20"/>
        </w:rPr>
      </w:pPr>
      <w:r>
        <w:rPr>
          <w:noProof/>
        </w:rPr>
        <w:t>* See on hinnanguline näitaja. Pärast 2020. aastat ELi poolt antavad rahalised vahendid</w:t>
      </w:r>
      <w:r>
        <w:rPr>
          <w:noProof/>
        </w:rPr>
        <w:t xml:space="preserve"> vaadatakse läbi seoses kõikide pärast 2020. aastat algavaks perioodiks esitatud ettepanekute arutamisega komisjonis. See tähendab, et kohe, kui komisjon on teinud ettepaneku järgmise mitmeaastase finantsraamistiku kohta, esitab ta muudetud finantsselgitus</w:t>
      </w:r>
      <w:r>
        <w:rPr>
          <w:noProof/>
        </w:rPr>
        <w:t>e, kus on arvesse võetud mõjuhinnangu järeldusi</w:t>
      </w:r>
      <w:r>
        <w:rPr>
          <w:rStyle w:val="FootnoteReference"/>
          <w:noProof/>
        </w:rPr>
        <w:footnoteReference w:id="59"/>
      </w:r>
      <w:r>
        <w:rPr>
          <w:noProof/>
        </w:rPr>
        <w:t>.</w:t>
      </w:r>
    </w:p>
    <w:p w:rsidR="00F4358D" w:rsidRDefault="00D1585A">
      <w:pPr>
        <w:pStyle w:val="Tiret1"/>
        <w:rPr>
          <w:noProof/>
        </w:rPr>
      </w:pPr>
      <w:r>
        <w:rPr>
          <w:noProof/>
        </w:rPr>
        <w:sym w:font="Wingdings" w:char="F0A8"/>
      </w:r>
      <w:r>
        <w:rPr>
          <w:noProof/>
        </w:rPr>
        <w:tab/>
        <w:t>Ettepanek/algatus eeldab paindlikkusinstrumendi kohaldamist või mitmeaastase finantsraamistiku läbivaatamist</w:t>
      </w:r>
      <w:r>
        <w:rPr>
          <w:rStyle w:val="FootnoteReference"/>
          <w:noProof/>
        </w:rPr>
        <w:footnoteReference w:id="60"/>
      </w:r>
      <w:r>
        <w:rPr>
          <w:noProof/>
        </w:rPr>
        <w:t>.</w:t>
      </w:r>
    </w:p>
    <w:p w:rsidR="00F4358D" w:rsidRDefault="00F4358D">
      <w:pPr>
        <w:rPr>
          <w:bCs/>
          <w:noProof/>
          <w:szCs w:val="24"/>
        </w:rPr>
      </w:pPr>
    </w:p>
    <w:p w:rsidR="00F4358D" w:rsidRDefault="00D1585A">
      <w:pPr>
        <w:pStyle w:val="ManualHeading3"/>
        <w:rPr>
          <w:bCs/>
          <w:noProof/>
          <w:szCs w:val="24"/>
        </w:rPr>
      </w:pPr>
      <w:r>
        <w:t>3.2.5.</w:t>
      </w:r>
      <w:r>
        <w:tab/>
      </w:r>
      <w:r>
        <w:rPr>
          <w:noProof/>
        </w:rPr>
        <w:t>Kolmandate isikute rahaline osalus</w:t>
      </w:r>
    </w:p>
    <w:p w:rsidR="00F4358D" w:rsidRDefault="00D1585A">
      <w:pPr>
        <w:pStyle w:val="Tiret1"/>
        <w:rPr>
          <w:noProof/>
        </w:rPr>
      </w:pPr>
      <w:r>
        <w:rPr>
          <w:noProof/>
        </w:rPr>
        <w:sym w:font="Wingdings" w:char="F0A8"/>
      </w:r>
      <w:r>
        <w:rPr>
          <w:noProof/>
        </w:rPr>
        <w:t xml:space="preserve"> Ettepanek/algatus ei hõlma kolmandate isikute po</w:t>
      </w:r>
      <w:r>
        <w:rPr>
          <w:noProof/>
        </w:rPr>
        <w:t>olset kaasrahastamist.</w:t>
      </w:r>
    </w:p>
    <w:p w:rsidR="00F4358D" w:rsidRDefault="00D1585A">
      <w:pPr>
        <w:pStyle w:val="Tiret1"/>
        <w:rPr>
          <w:noProof/>
        </w:rPr>
      </w:pPr>
      <w:r>
        <w:rPr>
          <w:noProof/>
        </w:rPr>
        <w:sym w:font="Wingdings" w:char="F078"/>
      </w:r>
      <w:r>
        <w:rPr>
          <w:noProof/>
        </w:rPr>
        <w:t xml:space="preserve"> Ettepanek/algatus hõlmab kaasrahastamist, mille hinnanguline summa on järgmine:</w:t>
      </w:r>
    </w:p>
    <w:tbl>
      <w:tblPr>
        <w:tblW w:w="4560" w:type="pct"/>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59"/>
        <w:gridCol w:w="1587"/>
        <w:gridCol w:w="1909"/>
        <w:gridCol w:w="1909"/>
        <w:gridCol w:w="1906"/>
      </w:tblGrid>
      <w:tr w:rsidR="00F4358D">
        <w:trPr>
          <w:cantSplit/>
        </w:trPr>
        <w:tc>
          <w:tcPr>
            <w:tcW w:w="684" w:type="pct"/>
          </w:tcPr>
          <w:p w:rsidR="00F4358D" w:rsidRDefault="00F4358D">
            <w:pPr>
              <w:keepNext/>
              <w:keepLines/>
              <w:spacing w:before="60" w:after="60"/>
              <w:rPr>
                <w:noProof/>
                <w:sz w:val="20"/>
              </w:rPr>
            </w:pPr>
          </w:p>
        </w:tc>
        <w:tc>
          <w:tcPr>
            <w:tcW w:w="937" w:type="pct"/>
            <w:vAlign w:val="center"/>
          </w:tcPr>
          <w:p w:rsidR="00F4358D" w:rsidRDefault="00D1585A">
            <w:pPr>
              <w:keepNext/>
              <w:keepLines/>
              <w:jc w:val="center"/>
              <w:rPr>
                <w:noProof/>
              </w:rPr>
            </w:pPr>
            <w:r>
              <w:rPr>
                <w:noProof/>
                <w:sz w:val="20"/>
              </w:rPr>
              <w:t>Aasta</w:t>
            </w:r>
            <w:r>
              <w:rPr>
                <w:noProof/>
                <w:sz w:val="20"/>
              </w:rPr>
              <w:br/>
            </w:r>
            <w:r>
              <w:rPr>
                <w:b/>
                <w:noProof/>
                <w:sz w:val="20"/>
              </w:rPr>
              <w:t>2019</w:t>
            </w:r>
          </w:p>
        </w:tc>
        <w:tc>
          <w:tcPr>
            <w:tcW w:w="1127" w:type="pct"/>
            <w:vAlign w:val="center"/>
          </w:tcPr>
          <w:p w:rsidR="00F4358D" w:rsidRDefault="00D1585A">
            <w:pPr>
              <w:keepNext/>
              <w:keepLines/>
              <w:jc w:val="center"/>
              <w:rPr>
                <w:noProof/>
              </w:rPr>
            </w:pPr>
            <w:r>
              <w:rPr>
                <w:noProof/>
                <w:sz w:val="20"/>
              </w:rPr>
              <w:t>Aasta</w:t>
            </w:r>
            <w:r>
              <w:rPr>
                <w:noProof/>
                <w:sz w:val="20"/>
              </w:rPr>
              <w:br/>
            </w:r>
            <w:r>
              <w:rPr>
                <w:b/>
                <w:noProof/>
                <w:sz w:val="20"/>
              </w:rPr>
              <w:t>2020</w:t>
            </w:r>
          </w:p>
        </w:tc>
        <w:tc>
          <w:tcPr>
            <w:tcW w:w="1127" w:type="pct"/>
            <w:vAlign w:val="center"/>
          </w:tcPr>
          <w:p w:rsidR="00F4358D" w:rsidRDefault="00D1585A">
            <w:pPr>
              <w:keepNext/>
              <w:keepLines/>
              <w:jc w:val="center"/>
              <w:rPr>
                <w:noProof/>
                <w:sz w:val="20"/>
              </w:rPr>
            </w:pPr>
            <w:r>
              <w:rPr>
                <w:noProof/>
                <w:sz w:val="20"/>
              </w:rPr>
              <w:t>Aasta</w:t>
            </w:r>
            <w:r>
              <w:rPr>
                <w:noProof/>
                <w:sz w:val="20"/>
              </w:rPr>
              <w:br/>
            </w:r>
            <w:r>
              <w:rPr>
                <w:b/>
                <w:noProof/>
                <w:sz w:val="20"/>
              </w:rPr>
              <w:t>2021</w:t>
            </w:r>
          </w:p>
        </w:tc>
        <w:tc>
          <w:tcPr>
            <w:tcW w:w="1125" w:type="pct"/>
            <w:vAlign w:val="center"/>
          </w:tcPr>
          <w:p w:rsidR="00F4358D" w:rsidRDefault="00D1585A">
            <w:pPr>
              <w:keepNext/>
              <w:keepLines/>
              <w:jc w:val="center"/>
              <w:rPr>
                <w:noProof/>
                <w:sz w:val="20"/>
              </w:rPr>
            </w:pPr>
            <w:r>
              <w:rPr>
                <w:noProof/>
                <w:sz w:val="20"/>
              </w:rPr>
              <w:t>Aasta</w:t>
            </w:r>
            <w:r>
              <w:rPr>
                <w:noProof/>
                <w:sz w:val="20"/>
              </w:rPr>
              <w:br/>
            </w:r>
            <w:r>
              <w:rPr>
                <w:b/>
                <w:noProof/>
                <w:sz w:val="20"/>
              </w:rPr>
              <w:t>2022</w:t>
            </w:r>
          </w:p>
        </w:tc>
      </w:tr>
      <w:tr w:rsidR="00F4358D">
        <w:trPr>
          <w:cantSplit/>
        </w:trPr>
        <w:tc>
          <w:tcPr>
            <w:tcW w:w="684" w:type="pct"/>
          </w:tcPr>
          <w:p w:rsidR="00F4358D" w:rsidRDefault="00D1585A">
            <w:pPr>
              <w:keepNext/>
              <w:keepLines/>
              <w:rPr>
                <w:noProof/>
              </w:rPr>
            </w:pPr>
            <w:r>
              <w:rPr>
                <w:noProof/>
                <w:sz w:val="20"/>
              </w:rPr>
              <w:t>EFTA</w:t>
            </w:r>
            <w:r>
              <w:rPr>
                <w:i/>
                <w:noProof/>
                <w:sz w:val="20"/>
              </w:rPr>
              <w:t xml:space="preserve"> </w:t>
            </w:r>
          </w:p>
        </w:tc>
        <w:tc>
          <w:tcPr>
            <w:tcW w:w="937" w:type="pct"/>
            <w:vAlign w:val="center"/>
          </w:tcPr>
          <w:p w:rsidR="00F4358D" w:rsidRDefault="00D1585A">
            <w:pPr>
              <w:keepNext/>
              <w:keepLines/>
              <w:spacing w:before="60" w:after="60"/>
              <w:jc w:val="center"/>
              <w:rPr>
                <w:noProof/>
                <w:sz w:val="20"/>
              </w:rPr>
            </w:pPr>
            <w:r>
              <w:rPr>
                <w:noProof/>
                <w:sz w:val="20"/>
              </w:rPr>
              <w:t>p.m.</w:t>
            </w:r>
            <w:r>
              <w:rPr>
                <w:rStyle w:val="FootnoteReference"/>
                <w:noProof/>
              </w:rPr>
              <w:footnoteReference w:id="61"/>
            </w:r>
          </w:p>
        </w:tc>
        <w:tc>
          <w:tcPr>
            <w:tcW w:w="1127" w:type="pct"/>
            <w:vAlign w:val="center"/>
          </w:tcPr>
          <w:p w:rsidR="00F4358D" w:rsidRDefault="00D1585A">
            <w:pPr>
              <w:keepNext/>
              <w:keepLines/>
              <w:spacing w:before="60" w:after="60"/>
              <w:jc w:val="center"/>
              <w:rPr>
                <w:noProof/>
                <w:sz w:val="20"/>
              </w:rPr>
            </w:pPr>
            <w:r>
              <w:rPr>
                <w:noProof/>
                <w:sz w:val="20"/>
              </w:rPr>
              <w:t>p.m.</w:t>
            </w:r>
          </w:p>
        </w:tc>
        <w:tc>
          <w:tcPr>
            <w:tcW w:w="1127" w:type="pct"/>
            <w:vAlign w:val="center"/>
          </w:tcPr>
          <w:p w:rsidR="00F4358D" w:rsidRDefault="00D1585A">
            <w:pPr>
              <w:keepNext/>
              <w:keepLines/>
              <w:spacing w:before="60" w:after="60"/>
              <w:jc w:val="center"/>
              <w:rPr>
                <w:noProof/>
                <w:sz w:val="20"/>
              </w:rPr>
            </w:pPr>
            <w:r>
              <w:rPr>
                <w:noProof/>
                <w:sz w:val="20"/>
              </w:rPr>
              <w:t>p.m.</w:t>
            </w:r>
          </w:p>
        </w:tc>
        <w:tc>
          <w:tcPr>
            <w:tcW w:w="1125" w:type="pct"/>
            <w:vAlign w:val="center"/>
          </w:tcPr>
          <w:p w:rsidR="00F4358D" w:rsidRDefault="00D1585A">
            <w:pPr>
              <w:keepNext/>
              <w:keepLines/>
              <w:spacing w:before="60" w:after="60"/>
              <w:jc w:val="center"/>
              <w:rPr>
                <w:noProof/>
                <w:sz w:val="20"/>
              </w:rPr>
            </w:pPr>
            <w:r>
              <w:rPr>
                <w:noProof/>
                <w:sz w:val="20"/>
              </w:rPr>
              <w:t>p.m.</w:t>
            </w:r>
          </w:p>
        </w:tc>
      </w:tr>
    </w:tbl>
    <w:p w:rsidR="00F4358D" w:rsidRDefault="00F4358D">
      <w:pPr>
        <w:rPr>
          <w:noProof/>
        </w:rPr>
      </w:pPr>
    </w:p>
    <w:p w:rsidR="00F4358D" w:rsidRDefault="00D1585A">
      <w:pPr>
        <w:pStyle w:val="ManualHeading2"/>
        <w:rPr>
          <w:bCs/>
          <w:noProof/>
          <w:szCs w:val="24"/>
        </w:rPr>
      </w:pPr>
      <w:r>
        <w:t>3.3.</w:t>
      </w:r>
      <w:r>
        <w:tab/>
      </w:r>
      <w:r>
        <w:rPr>
          <w:noProof/>
        </w:rPr>
        <w:t>Hinnanguline mõju tuludele</w:t>
      </w:r>
    </w:p>
    <w:p w:rsidR="00F4358D" w:rsidRDefault="00D1585A">
      <w:pPr>
        <w:pStyle w:val="Tiret1"/>
        <w:rPr>
          <w:noProof/>
        </w:rPr>
      </w:pPr>
      <w:r>
        <w:rPr>
          <w:noProof/>
        </w:rPr>
        <w:sym w:font="Wingdings" w:char="F078"/>
      </w:r>
      <w:r>
        <w:rPr>
          <w:noProof/>
        </w:rPr>
        <w:tab/>
        <w:t xml:space="preserve">Ettepanekul/algatusel puudub finantsmõju </w:t>
      </w:r>
      <w:r>
        <w:rPr>
          <w:noProof/>
        </w:rPr>
        <w:t>tuludele</w:t>
      </w:r>
    </w:p>
    <w:p w:rsidR="00F4358D" w:rsidRDefault="00D1585A">
      <w:pPr>
        <w:pStyle w:val="Tiret1"/>
        <w:rPr>
          <w:noProof/>
        </w:rPr>
      </w:pPr>
      <w:r>
        <w:rPr>
          <w:noProof/>
        </w:rPr>
        <w:sym w:font="Wingdings" w:char="F0A8"/>
      </w:r>
      <w:r>
        <w:rPr>
          <w:noProof/>
        </w:rPr>
        <w:tab/>
        <w:t>Ettepanekul/algatusel on järgmine finantsmõju:</w:t>
      </w:r>
    </w:p>
    <w:p w:rsidR="00F4358D" w:rsidRDefault="00D1585A">
      <w:pPr>
        <w:pStyle w:val="Tiret2"/>
        <w:numPr>
          <w:ilvl w:val="0"/>
          <w:numId w:val="91"/>
        </w:numPr>
        <w:rPr>
          <w:noProof/>
        </w:rPr>
      </w:pPr>
      <w:r>
        <w:rPr>
          <w:noProof/>
        </w:rPr>
        <w:sym w:font="Wingdings" w:char="F0A8"/>
      </w:r>
      <w:r>
        <w:rPr>
          <w:noProof/>
        </w:rPr>
        <w:tab/>
        <w:t>omavahenditele</w:t>
      </w:r>
    </w:p>
    <w:p w:rsidR="00F4358D" w:rsidRDefault="00D1585A">
      <w:pPr>
        <w:pStyle w:val="Tiret2"/>
        <w:rPr>
          <w:noProof/>
        </w:rPr>
      </w:pPr>
      <w:r>
        <w:rPr>
          <w:noProof/>
        </w:rPr>
        <w:sym w:font="Wingdings" w:char="F0A8"/>
      </w:r>
      <w:r>
        <w:rPr>
          <w:noProof/>
        </w:rPr>
        <w:tab/>
        <w:t>mitmesugustele tuludele</w:t>
      </w:r>
    </w:p>
    <w:sectPr w:rsidR="00F4358D" w:rsidSect="00D1585A">
      <w:headerReference w:type="default" r:id="rId30"/>
      <w:footerReference w:type="default" r:id="rId31"/>
      <w:headerReference w:type="first" r:id="rId32"/>
      <w:footerReference w:type="first" r:id="rId33"/>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58D" w:rsidRDefault="00D1585A">
      <w:pPr>
        <w:spacing w:before="0" w:after="0"/>
      </w:pPr>
      <w:r>
        <w:separator/>
      </w:r>
    </w:p>
  </w:endnote>
  <w:endnote w:type="continuationSeparator" w:id="0">
    <w:p w:rsidR="00F4358D" w:rsidRDefault="00D1585A">
      <w:pPr>
        <w:spacing w:before="0" w:after="0"/>
      </w:pPr>
      <w:r>
        <w:continuationSeparator/>
      </w:r>
    </w:p>
  </w:endnote>
  <w:endnote w:type="continuationNotice" w:id="1">
    <w:p w:rsidR="00F4358D" w:rsidRDefault="00F4358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85A" w:rsidRPr="00D1585A" w:rsidRDefault="00D1585A" w:rsidP="00D1585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85A" w:rsidRPr="00D1585A" w:rsidRDefault="00D1585A" w:rsidP="00D1585A">
    <w:pPr>
      <w:pStyle w:val="Footer"/>
      <w:rPr>
        <w:rFonts w:ascii="Arial" w:hAnsi="Arial" w:cs="Arial"/>
        <w:b/>
        <w:sz w:val="48"/>
      </w:rPr>
    </w:pPr>
    <w:r w:rsidRPr="00D1585A">
      <w:rPr>
        <w:rFonts w:ascii="Arial" w:hAnsi="Arial" w:cs="Arial"/>
        <w:b/>
        <w:sz w:val="48"/>
      </w:rPr>
      <w:t>ET</w:t>
    </w:r>
    <w:r w:rsidRPr="00D1585A">
      <w:rPr>
        <w:rFonts w:ascii="Arial" w:hAnsi="Arial" w:cs="Arial"/>
        <w:b/>
        <w:sz w:val="48"/>
      </w:rPr>
      <w:tab/>
    </w:r>
    <w:r>
      <w:fldChar w:fldCharType="begin"/>
    </w:r>
    <w:r>
      <w:instrText xml:space="preserve"> PAGE  \* MERGEFORMAT </w:instrText>
    </w:r>
    <w:r>
      <w:fldChar w:fldCharType="separate"/>
    </w:r>
    <w:r>
      <w:rPr>
        <w:noProof/>
      </w:rPr>
      <w:t>90</w:t>
    </w:r>
    <w:r>
      <w:fldChar w:fldCharType="end"/>
    </w:r>
    <w:r>
      <w:tab/>
    </w:r>
    <w:r w:rsidRPr="00D1585A">
      <w:tab/>
    </w:r>
    <w:r w:rsidRPr="00D1585A">
      <w:rPr>
        <w:rFonts w:ascii="Arial" w:hAnsi="Arial" w:cs="Arial"/>
        <w:b/>
        <w:sz w:val="48"/>
      </w:rPr>
      <w:t>ET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85A" w:rsidRPr="00D1585A" w:rsidRDefault="00D1585A" w:rsidP="00D158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58D" w:rsidRPr="00D1585A" w:rsidRDefault="00D1585A" w:rsidP="00D1585A">
    <w:pPr>
      <w:pStyle w:val="Footer"/>
      <w:rPr>
        <w:rFonts w:ascii="Arial" w:hAnsi="Arial" w:cs="Arial"/>
        <w:b/>
        <w:sz w:val="48"/>
      </w:rPr>
    </w:pPr>
    <w:r w:rsidRPr="00D1585A">
      <w:rPr>
        <w:rFonts w:ascii="Arial" w:hAnsi="Arial" w:cs="Arial"/>
        <w:b/>
        <w:sz w:val="48"/>
      </w:rPr>
      <w:t>ET</w:t>
    </w:r>
    <w:r w:rsidRPr="00D1585A">
      <w:rPr>
        <w:rFonts w:ascii="Arial" w:hAnsi="Arial" w:cs="Arial"/>
        <w:b/>
        <w:sz w:val="48"/>
      </w:rPr>
      <w:tab/>
    </w:r>
    <w:r w:rsidRPr="00D1585A">
      <w:rPr>
        <w:rFonts w:ascii="Arial" w:hAnsi="Arial" w:cs="Arial"/>
        <w:b/>
        <w:sz w:val="48"/>
      </w:rPr>
      <w:tab/>
    </w:r>
    <w:r w:rsidRPr="00D1585A">
      <w:tab/>
    </w:r>
    <w:proofErr w:type="spellStart"/>
    <w:r w:rsidRPr="00D1585A">
      <w:rPr>
        <w:rFonts w:ascii="Arial" w:hAnsi="Arial" w:cs="Arial"/>
        <w:b/>
        <w:sz w:val="48"/>
      </w:rPr>
      <w:t>ET</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85A" w:rsidRPr="00D1585A" w:rsidRDefault="00D1585A" w:rsidP="00D1585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85A" w:rsidRPr="00D1585A" w:rsidRDefault="00D1585A" w:rsidP="00D1585A">
    <w:pPr>
      <w:pStyle w:val="Footer"/>
      <w:rPr>
        <w:rFonts w:ascii="Arial" w:hAnsi="Arial" w:cs="Arial"/>
        <w:b/>
        <w:sz w:val="48"/>
      </w:rPr>
    </w:pPr>
    <w:r w:rsidRPr="00D1585A">
      <w:rPr>
        <w:rFonts w:ascii="Arial" w:hAnsi="Arial" w:cs="Arial"/>
        <w:b/>
        <w:sz w:val="48"/>
      </w:rPr>
      <w:t>ET</w:t>
    </w:r>
    <w:r w:rsidRPr="00D1585A">
      <w:rPr>
        <w:rFonts w:ascii="Arial" w:hAnsi="Arial" w:cs="Arial"/>
        <w:b/>
        <w:sz w:val="48"/>
      </w:rPr>
      <w:tab/>
    </w:r>
    <w:r>
      <w:fldChar w:fldCharType="begin"/>
    </w:r>
    <w:r>
      <w:instrText xml:space="preserve"> PAGE  \* MERGEFORMAT </w:instrText>
    </w:r>
    <w:r>
      <w:fldChar w:fldCharType="separate"/>
    </w:r>
    <w:r>
      <w:rPr>
        <w:noProof/>
      </w:rPr>
      <w:t>78</w:t>
    </w:r>
    <w:r>
      <w:fldChar w:fldCharType="end"/>
    </w:r>
    <w:r>
      <w:tab/>
    </w:r>
    <w:r w:rsidRPr="00D1585A">
      <w:tab/>
    </w:r>
    <w:r w:rsidRPr="00D1585A">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85A" w:rsidRPr="00D1585A" w:rsidRDefault="00D1585A" w:rsidP="00D1585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85A" w:rsidRPr="00D1585A" w:rsidRDefault="00D1585A" w:rsidP="00D1585A">
    <w:pPr>
      <w:pStyle w:val="FooterLandscape"/>
      <w:rPr>
        <w:rFonts w:ascii="Arial" w:hAnsi="Arial" w:cs="Arial"/>
        <w:b/>
        <w:sz w:val="48"/>
      </w:rPr>
    </w:pPr>
    <w:r w:rsidRPr="00D1585A">
      <w:rPr>
        <w:rFonts w:ascii="Arial" w:hAnsi="Arial" w:cs="Arial"/>
        <w:b/>
        <w:sz w:val="48"/>
      </w:rPr>
      <w:t>ET</w:t>
    </w:r>
    <w:r w:rsidRPr="00D1585A">
      <w:rPr>
        <w:rFonts w:ascii="Arial" w:hAnsi="Arial" w:cs="Arial"/>
        <w:b/>
        <w:sz w:val="48"/>
      </w:rPr>
      <w:tab/>
    </w:r>
    <w:r>
      <w:fldChar w:fldCharType="begin"/>
    </w:r>
    <w:r>
      <w:instrText xml:space="preserve"> PAGE  \* MERGEFORMAT </w:instrText>
    </w:r>
    <w:r>
      <w:fldChar w:fldCharType="separate"/>
    </w:r>
    <w:r>
      <w:rPr>
        <w:noProof/>
      </w:rPr>
      <w:t>82</w:t>
    </w:r>
    <w:r>
      <w:fldChar w:fldCharType="end"/>
    </w:r>
    <w:r>
      <w:tab/>
    </w:r>
    <w:r w:rsidRPr="00D1585A">
      <w:tab/>
    </w:r>
    <w:r w:rsidRPr="00D1585A">
      <w:rPr>
        <w:rFonts w:ascii="Arial" w:hAnsi="Arial" w:cs="Arial"/>
        <w:b/>
        <w:sz w:val="48"/>
      </w:rPr>
      <w:t>ET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85A" w:rsidRPr="00D1585A" w:rsidRDefault="00D1585A" w:rsidP="00D1585A">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85A" w:rsidRPr="00D1585A" w:rsidRDefault="00D1585A" w:rsidP="00D1585A">
    <w:pPr>
      <w:pStyle w:val="FooterLandscape"/>
      <w:rPr>
        <w:rFonts w:ascii="Arial" w:hAnsi="Arial" w:cs="Arial"/>
        <w:b/>
        <w:sz w:val="48"/>
      </w:rPr>
    </w:pPr>
    <w:r w:rsidRPr="00D1585A">
      <w:rPr>
        <w:rFonts w:ascii="Arial" w:hAnsi="Arial" w:cs="Arial"/>
        <w:b/>
        <w:sz w:val="48"/>
      </w:rPr>
      <w:t>ET</w:t>
    </w:r>
    <w:r w:rsidRPr="00D1585A">
      <w:rPr>
        <w:rFonts w:ascii="Arial" w:hAnsi="Arial" w:cs="Arial"/>
        <w:b/>
        <w:sz w:val="48"/>
      </w:rPr>
      <w:tab/>
    </w:r>
    <w:r>
      <w:fldChar w:fldCharType="begin"/>
    </w:r>
    <w:r>
      <w:instrText xml:space="preserve"> PAGE  \* MERGEFORMAT </w:instrText>
    </w:r>
    <w:r>
      <w:fldChar w:fldCharType="separate"/>
    </w:r>
    <w:r>
      <w:rPr>
        <w:noProof/>
      </w:rPr>
      <w:t>83</w:t>
    </w:r>
    <w:r>
      <w:fldChar w:fldCharType="end"/>
    </w:r>
    <w:r>
      <w:tab/>
    </w:r>
    <w:r w:rsidRPr="00D1585A">
      <w:tab/>
    </w:r>
    <w:r w:rsidRPr="00D1585A">
      <w:rPr>
        <w:rFonts w:ascii="Arial" w:hAnsi="Arial" w:cs="Arial"/>
        <w:b/>
        <w:sz w:val="48"/>
      </w:rPr>
      <w:t>ET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85A" w:rsidRPr="00D1585A" w:rsidRDefault="00D1585A" w:rsidP="00D1585A">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58D" w:rsidRDefault="00D1585A">
      <w:pPr>
        <w:spacing w:before="0" w:after="0"/>
      </w:pPr>
      <w:r>
        <w:separator/>
      </w:r>
    </w:p>
  </w:footnote>
  <w:footnote w:type="continuationSeparator" w:id="0">
    <w:p w:rsidR="00F4358D" w:rsidRDefault="00D1585A">
      <w:pPr>
        <w:spacing w:before="0" w:after="0"/>
      </w:pPr>
      <w:r>
        <w:continuationSeparator/>
      </w:r>
    </w:p>
  </w:footnote>
  <w:footnote w:type="continuationNotice" w:id="1">
    <w:p w:rsidR="00F4358D" w:rsidRDefault="00F4358D">
      <w:pPr>
        <w:spacing w:before="0" w:after="0"/>
      </w:pPr>
    </w:p>
  </w:footnote>
  <w:footnote w:id="2">
    <w:p w:rsidR="00F4358D" w:rsidRDefault="00D1585A">
      <w:pPr>
        <w:pStyle w:val="FootnoteText"/>
        <w:spacing w:after="40"/>
      </w:pPr>
      <w:r>
        <w:rPr>
          <w:rStyle w:val="FootnoteReference"/>
        </w:rPr>
        <w:footnoteRef/>
      </w:r>
      <w:r>
        <w:tab/>
        <w:t xml:space="preserve">Euroopa Komisjoni ja Euroopa välisteenistuse ühisteatis: „Euroopa Liidu küberjulgeoleku strateegia: avatud, </w:t>
      </w:r>
      <w:r>
        <w:t>ohutu ja turvaline küberruum“ (JOIN(2013)).</w:t>
      </w:r>
    </w:p>
  </w:footnote>
  <w:footnote w:id="3">
    <w:p w:rsidR="00F4358D" w:rsidRDefault="00D1585A">
      <w:pPr>
        <w:pStyle w:val="FootnoteText"/>
        <w:spacing w:after="40"/>
      </w:pPr>
      <w:r>
        <w:rPr>
          <w:rStyle w:val="FootnoteReference"/>
        </w:rPr>
        <w:footnoteRef/>
      </w:r>
      <w:r>
        <w:tab/>
        <w:t>Määrus (EL) nr 526/2013, mis käsitleb Euroopa Liidu Võrgu- ja Infoturbeametit (ENISA) ning millega tunnistatakse kehtetuks määrus (EÜ) nr 460/2004.</w:t>
      </w:r>
    </w:p>
  </w:footnote>
  <w:footnote w:id="4">
    <w:p w:rsidR="00F4358D" w:rsidRDefault="00D1585A">
      <w:pPr>
        <w:pStyle w:val="FootnoteText"/>
        <w:spacing w:after="40"/>
      </w:pPr>
      <w:r>
        <w:rPr>
          <w:rStyle w:val="FootnoteReference"/>
        </w:rPr>
        <w:footnoteRef/>
      </w:r>
      <w:r>
        <w:tab/>
        <w:t>Direktiiv (EL) 2016/1148 meetmete kohta, millega tagada võrg</w:t>
      </w:r>
      <w:r>
        <w:t>u- ja infosüsteemide turvalisuse ühtlaselt kõrge tase kogu liidus.</w:t>
      </w:r>
    </w:p>
  </w:footnote>
  <w:footnote w:id="5">
    <w:p w:rsidR="00F4358D" w:rsidRDefault="00D1585A">
      <w:pPr>
        <w:pStyle w:val="FootnoteText"/>
        <w:spacing w:after="40"/>
      </w:pPr>
      <w:r>
        <w:rPr>
          <w:rStyle w:val="FootnoteReference"/>
        </w:rPr>
        <w:footnoteRef/>
      </w:r>
      <w:r>
        <w:tab/>
        <w:t xml:space="preserve">Komisjoni teatis „Euroopa kübervastupidavusvõime süsteemi tugevdamine ning konkurentsivõimelise ja uuendusliku küberjulgeolekutööstuse soodustamine“ (COM(2016) 0410 </w:t>
      </w:r>
      <w:proofErr w:type="spellStart"/>
      <w:r>
        <w:t>final</w:t>
      </w:r>
      <w:proofErr w:type="spellEnd"/>
      <w:r>
        <w:t>).</w:t>
      </w:r>
    </w:p>
  </w:footnote>
  <w:footnote w:id="6">
    <w:p w:rsidR="00F4358D" w:rsidRDefault="00D1585A">
      <w:pPr>
        <w:pStyle w:val="FootnoteText"/>
        <w:spacing w:after="40"/>
      </w:pPr>
      <w:r>
        <w:rPr>
          <w:rStyle w:val="FootnoteReference"/>
        </w:rPr>
        <w:footnoteRef/>
      </w:r>
      <w:r>
        <w:tab/>
        <w:t>Nõukogu järe</w:t>
      </w:r>
      <w:r>
        <w:t>ldused Euroopa kübervastupidavusvõime süsteemi tugevdamise ning konkurentsivõimelise ja uuendusliku küberjulgeolekusektori toetamise kohta, 15. november 2016.</w:t>
      </w:r>
    </w:p>
  </w:footnote>
  <w:footnote w:id="7">
    <w:p w:rsidR="00F4358D" w:rsidRDefault="00D1585A">
      <w:pPr>
        <w:pStyle w:val="FootnoteText"/>
        <w:spacing w:after="40"/>
      </w:pPr>
      <w:r>
        <w:rPr>
          <w:rStyle w:val="FootnoteReference"/>
        </w:rPr>
        <w:footnoteRef/>
      </w:r>
      <w:r>
        <w:tab/>
        <w:t>Komisjoni teatis digitaalse ühtse turu strateegia rakendamise vahekokkuvõtte kohta (COM(2017) 2</w:t>
      </w:r>
      <w:r>
        <w:t>28).</w:t>
      </w:r>
    </w:p>
  </w:footnote>
  <w:footnote w:id="8">
    <w:p w:rsidR="00F4358D" w:rsidRDefault="00D1585A">
      <w:pPr>
        <w:pStyle w:val="FootnoteText"/>
      </w:pPr>
      <w:r>
        <w:rPr>
          <w:rStyle w:val="FootnoteReference"/>
        </w:rPr>
        <w:footnoteRef/>
      </w:r>
      <w:r>
        <w:tab/>
        <w:t>Euroopa Ülemkogu kohtumine (22. ja 23. juuni 2017) – järeldused (EUCO 8/17).</w:t>
      </w:r>
    </w:p>
  </w:footnote>
  <w:footnote w:id="9">
    <w:p w:rsidR="00F4358D" w:rsidRDefault="00D1585A">
      <w:pPr>
        <w:pStyle w:val="FootnoteText"/>
        <w:spacing w:after="40"/>
      </w:pPr>
      <w:r>
        <w:rPr>
          <w:rStyle w:val="FootnoteReference"/>
        </w:rPr>
        <w:footnoteRef/>
      </w:r>
      <w:r>
        <w:tab/>
        <w:t>Küberturvalisuse alase usaldusväärsuse läbipaistvus tähendab seda, et kasutajatele antakse piisavalt teavet küberturvalisuse omaduste kohta, tänu millele saavad nad määra</w:t>
      </w:r>
      <w:r>
        <w:t>ta objektiivselt kindlaks konkreetse IKT toote, teenuse või protsessi turvalisuse taseme.</w:t>
      </w:r>
    </w:p>
  </w:footnote>
  <w:footnote w:id="10">
    <w:p w:rsidR="00F4358D" w:rsidRDefault="00D1585A">
      <w:pPr>
        <w:pStyle w:val="FootnoteText"/>
        <w:spacing w:after="40"/>
      </w:pPr>
      <w:r>
        <w:rPr>
          <w:rStyle w:val="FootnoteReference"/>
        </w:rPr>
        <w:footnoteRef/>
      </w:r>
      <w:r>
        <w:tab/>
        <w:t>Euroopa Parlamendi ja nõukogu 10. märtsi 2004. aasta määrus (EÜ) nr 460/2004, millega luuakse Euroopa Võrgu- ja Infoturbeamet (ELT L 77, 13.3.2004, lk 1).</w:t>
      </w:r>
    </w:p>
  </w:footnote>
  <w:footnote w:id="11">
    <w:p w:rsidR="00F4358D" w:rsidRDefault="00D1585A">
      <w:pPr>
        <w:pStyle w:val="FootnoteText"/>
        <w:spacing w:after="40"/>
      </w:pPr>
      <w:r>
        <w:rPr>
          <w:rStyle w:val="FootnoteReference"/>
        </w:rPr>
        <w:footnoteRef/>
      </w:r>
      <w:r>
        <w:tab/>
      </w:r>
      <w:hyperlink r:id="rId1">
        <w:r>
          <w:rPr>
            <w:rStyle w:val="Hyperlink"/>
          </w:rPr>
          <w:t>https://www.enisa.europa.eu/publications/corporate/enisa-strategy</w:t>
        </w:r>
      </w:hyperlink>
      <w:r>
        <w:t xml:space="preserve"> </w:t>
      </w:r>
    </w:p>
  </w:footnote>
  <w:footnote w:id="12">
    <w:p w:rsidR="00F4358D" w:rsidRDefault="00D1585A">
      <w:pPr>
        <w:pStyle w:val="FootnoteText"/>
        <w:spacing w:after="40"/>
      </w:pPr>
      <w:r>
        <w:rPr>
          <w:rStyle w:val="FootnoteReference"/>
        </w:rPr>
        <w:footnoteRef/>
      </w:r>
      <w:r>
        <w:tab/>
        <w:t>Konsultatsioonile vastas 90 sidusrühma 19 liikmesriigist (88 vastust ja kaks kirjalikku seisukohavõttu), seal</w:t>
      </w:r>
      <w:r>
        <w:t>hulgas 15 liikmesriigi ametiasutused ja kaheksa katusorganisatsiooni, kes esindavad märkimisväärset osa Euroopa ettevõtjatest.</w:t>
      </w:r>
    </w:p>
  </w:footnote>
  <w:footnote w:id="13">
    <w:p w:rsidR="00F4358D" w:rsidRDefault="00D1585A">
      <w:pPr>
        <w:pStyle w:val="FootnoteText"/>
        <w:spacing w:after="40"/>
      </w:pPr>
      <w:r>
        <w:rPr>
          <w:rStyle w:val="FootnoteReference"/>
        </w:rPr>
        <w:footnoteRef/>
      </w:r>
      <w:r>
        <w:tab/>
        <w:t>Avalikule konsultatsioonile vastanutelt küsiti, mida nad peavad ENISA peamisteks saavutusteks aastatel 2013–2016. Kõigist rühma</w:t>
      </w:r>
      <w:r>
        <w:t xml:space="preserve">dest vastanud (kokku 55, sealhulgas 13 riigi ametiasutust, 20 vastanut erasektorist ja 22 muud vastanut) pidasid peamisteks ENISA järgmisi saavutusi: 1) õppuste </w:t>
      </w:r>
      <w:proofErr w:type="spellStart"/>
      <w:r>
        <w:t>Cyber</w:t>
      </w:r>
      <w:proofErr w:type="spellEnd"/>
      <w:r>
        <w:t xml:space="preserve"> </w:t>
      </w:r>
      <w:proofErr w:type="spellStart"/>
      <w:r>
        <w:t>Europe</w:t>
      </w:r>
      <w:proofErr w:type="spellEnd"/>
      <w:r>
        <w:t xml:space="preserve"> koordineerimine; 2) </w:t>
      </w:r>
      <w:proofErr w:type="spellStart"/>
      <w:r>
        <w:t>CERTide/CSIRTide</w:t>
      </w:r>
      <w:proofErr w:type="spellEnd"/>
      <w:r>
        <w:t xml:space="preserve"> toetamine koordineerimist ja vahetusi edendav</w:t>
      </w:r>
      <w:r>
        <w:t>ate seminaride ja koolituse kaudu; 3) ENISA väljaanded (suunised ja soovitused, ohtude kaardistamise aruanded, intsidentidest teatamise ja kriisijuhtimise strateegiad jne), mida peeti kasulikuks, et luua ja ajakohastada riiklikke turvaraamistikke, ning läh</w:t>
      </w:r>
      <w:r>
        <w:t>tealusena poliitikakujundajatele ja kübervaldkonnas tegutsejatele; 4) võrgu- ja infoturbe direktiivi edendamisele kaasa aitamine; 5) küberturvalisuse kuu raames küberturvalisuse alase teadlikkuse suurendamiseks tehtavad jõupingutused.</w:t>
      </w:r>
    </w:p>
  </w:footnote>
  <w:footnote w:id="14">
    <w:p w:rsidR="00F4358D" w:rsidRDefault="00D1585A">
      <w:pPr>
        <w:pStyle w:val="FootnoteText"/>
        <w:spacing w:after="40"/>
      </w:pPr>
      <w:r>
        <w:rPr>
          <w:rStyle w:val="FootnoteReference"/>
        </w:rPr>
        <w:footnoteRef/>
      </w:r>
      <w:r>
        <w:tab/>
        <w:t>Tegevuskava rakenda</w:t>
      </w:r>
      <w:r>
        <w:t xml:space="preserve">takse küberturvalisuse intsidentide suhtes, mille põhjustatud häired on liiga laialdased, et neist mõjutatud liikmesriik üksi suudaks nendega toime tulla, või millel on mitmes liikmesriigis niivõrd laiaulatuslik ja märkimisväärne tehniline või poliitiline </w:t>
      </w:r>
      <w:r>
        <w:t>mõju, et need eeldavad õigeaegset poliitika koordineerimist ja reageerimist liidu poliitilisel tasandil.</w:t>
      </w:r>
    </w:p>
  </w:footnote>
  <w:footnote w:id="15">
    <w:p w:rsidR="00F4358D" w:rsidRDefault="00D1585A">
      <w:pPr>
        <w:pStyle w:val="FootnoteText"/>
        <w:spacing w:after="40"/>
      </w:pPr>
      <w:r>
        <w:rPr>
          <w:rStyle w:val="FootnoteReference"/>
        </w:rPr>
        <w:footnoteRef/>
      </w:r>
      <w:r>
        <w:tab/>
        <w:t>Teadusuuringute Ühiskeskus on avaldanud aruande, milles pakutakse välja ühiste Euroopa nõuete esialgne komplekt ja üldised suunised, mis on seotud tö</w:t>
      </w:r>
      <w:r>
        <w:t xml:space="preserve">östuslike automatiseerimis- ja juhtimissüsteemide komponentide küberturvalisuse sertifitseerimisega. Kättesaadav aadressil </w:t>
      </w:r>
      <w:hyperlink r:id="rId2">
        <w:r>
          <w:rPr>
            <w:rStyle w:val="Hyperlink"/>
          </w:rPr>
          <w:t>https://erncip-project.jrc.ec.europa.eu/documents/introduction-european-iacs-components-cybersecurity-certification-framework-iccf</w:t>
        </w:r>
      </w:hyperlink>
    </w:p>
  </w:footnote>
  <w:footnote w:id="16">
    <w:p w:rsidR="00F4358D" w:rsidRDefault="00D1585A">
      <w:pPr>
        <w:pStyle w:val="FootnoteText"/>
      </w:pPr>
      <w:r>
        <w:rPr>
          <w:rStyle w:val="FootnoteReference"/>
        </w:rPr>
        <w:footnoteRef/>
      </w:r>
      <w:r>
        <w:tab/>
        <w:t>Kõrgemate ametnike infosüsteemide turbe rühma (edaspidi „SOG-IS“) kuulub 12 liikmesriiki ja Norra ning see</w:t>
      </w:r>
      <w:r>
        <w:t xml:space="preserve"> on välja töötanud teatavad kaitseprofiilid piiratud arvule toodetele, näiteks digitaalallkirjale, digitaalsele sõidumeerikule ja kiipkaartidele. Osalejad teevad koostööd, et koordineerida ühiskriteeriumide kaitseprofiilide standardimist ning kaitseprofiil</w:t>
      </w:r>
      <w:r>
        <w:t>ide väljatöötamist. Liikmesriigid küsivad riigihangete pakkumuste puhul sageli SOG-ISi sertifikaati.</w:t>
      </w:r>
    </w:p>
  </w:footnote>
  <w:footnote w:id="17">
    <w:p w:rsidR="00F4358D" w:rsidRDefault="00D1585A">
      <w:pPr>
        <w:pStyle w:val="FootnoteText"/>
      </w:pPr>
      <w:r>
        <w:rPr>
          <w:rStyle w:val="FootnoteReference"/>
        </w:rPr>
        <w:footnoteRef/>
      </w:r>
      <w:r>
        <w:tab/>
        <w:t>Euroopa standardite puhul toimub see läbi Euroopa standardiorganisatsioonide ning seda toetab Euroopa Komisjon Euroopa Liidu Teatajas avaldamise teel (vt</w:t>
      </w:r>
      <w:r>
        <w:t xml:space="preserve"> määrus (EL) nr 1025/2012).</w:t>
      </w:r>
    </w:p>
  </w:footnote>
  <w:footnote w:id="18">
    <w:p w:rsidR="00F4358D" w:rsidRDefault="00D1585A">
      <w:pPr>
        <w:pStyle w:val="FootnoteText"/>
        <w:spacing w:after="40"/>
      </w:pPr>
      <w:r>
        <w:rPr>
          <w:rStyle w:val="FootnoteReference"/>
        </w:rPr>
        <w:footnoteRef/>
      </w:r>
      <w:r>
        <w:tab/>
        <w:t xml:space="preserve">Euroopa Parlamendi ja nõukogu 23. juuli 2014. aasta määrus (EL) nr 910/2014 </w:t>
      </w:r>
      <w:proofErr w:type="spellStart"/>
      <w:r>
        <w:t>e-identimise</w:t>
      </w:r>
      <w:proofErr w:type="spellEnd"/>
      <w:r>
        <w:t xml:space="preserve"> ja e-tehingute jaoks vajalike usaldusteenuste kohta siseturul ja millega tunnistatakse kehtetuks direktiiv 1999/93/EÜ.</w:t>
      </w:r>
    </w:p>
  </w:footnote>
  <w:footnote w:id="19">
    <w:p w:rsidR="00F4358D" w:rsidRDefault="00D1585A">
      <w:pPr>
        <w:pStyle w:val="FootnoteText"/>
        <w:spacing w:after="40"/>
      </w:pPr>
      <w:r>
        <w:rPr>
          <w:rStyle w:val="FootnoteReference"/>
        </w:rPr>
        <w:footnoteRef/>
      </w:r>
      <w:r>
        <w:tab/>
        <w:t>Euroopa Parlamen</w:t>
      </w:r>
      <w:r>
        <w:t>di ja nõukogu 16. aprilli 2014. aasta direktiiv 2014/53/EL raadioseadmete turul kättesaadavaks tegemist käsitlevate liikmesriikide õigusaktide ühtlustamise kohta ja millega tunnistatakse kehtetuks direktiiv 1999/5/EÜ.</w:t>
      </w:r>
    </w:p>
  </w:footnote>
  <w:footnote w:id="20">
    <w:p w:rsidR="00F4358D" w:rsidRDefault="00D1585A">
      <w:pPr>
        <w:pStyle w:val="FootnoteText"/>
        <w:spacing w:after="40"/>
      </w:pPr>
      <w:r>
        <w:rPr>
          <w:rStyle w:val="FootnoteReference"/>
        </w:rPr>
        <w:footnoteRef/>
      </w:r>
      <w:r>
        <w:tab/>
        <w:t>Euroopa Parlamendi ja nõukogu 27. ap</w:t>
      </w:r>
      <w:r>
        <w:t>rilli 2016. aasta määrus (EL) 2016/679 füüsiliste isikute kaitse kohta isikuandmete töötlemisel ja selliste andmete vaba liikumise ning direktiivi 95/46/EÜ kehtetuks tunnistamise kohta (isikuandmete kaitse üldmäärus) (ELT L 119, 4.5.2016, lk 1–88).</w:t>
      </w:r>
    </w:p>
  </w:footnote>
  <w:footnote w:id="21">
    <w:p w:rsidR="00F4358D" w:rsidRDefault="00D1585A">
      <w:pPr>
        <w:autoSpaceDE w:val="0"/>
        <w:autoSpaceDN w:val="0"/>
        <w:adjustRightInd w:val="0"/>
        <w:spacing w:after="40"/>
        <w:ind w:left="720" w:hanging="720"/>
        <w:rPr>
          <w:sz w:val="20"/>
          <w:szCs w:val="20"/>
        </w:rPr>
      </w:pPr>
      <w:r>
        <w:rPr>
          <w:rStyle w:val="FootnoteReference"/>
        </w:rPr>
        <w:footnoteRef/>
      </w:r>
      <w:r>
        <w:tab/>
      </w:r>
      <w:r>
        <w:rPr>
          <w:sz w:val="20"/>
        </w:rPr>
        <w:t>Määrus (EÜ) nr 765/2008, millega sätestatakse akrediteerimise ja turujärelevalve nõuded seoses toodete turustamisega ja tunnistatakse kehtetuks määrus (EMÜ) nr 339/93.</w:t>
      </w:r>
    </w:p>
  </w:footnote>
  <w:footnote w:id="22">
    <w:p w:rsidR="00F4358D" w:rsidRDefault="00D1585A">
      <w:pPr>
        <w:pStyle w:val="FootnoteText"/>
        <w:spacing w:after="40"/>
      </w:pPr>
      <w:r>
        <w:rPr>
          <w:rStyle w:val="FootnoteReference"/>
        </w:rPr>
        <w:footnoteRef/>
      </w:r>
      <w:r>
        <w:tab/>
        <w:t>Euroopa Parlamendi ja nõukogu 21. mai 2013. aasta määrus (EL) nr 526/2013, mis käsitle</w:t>
      </w:r>
      <w:r>
        <w:t>b Euroopa Liidu Võrgu- ja Infoturbeametit (ENISA) ning millega tunnistatakse kehtetuks määrus (EÜ) nr 460/2004.</w:t>
      </w:r>
    </w:p>
  </w:footnote>
  <w:footnote w:id="23">
    <w:p w:rsidR="00F4358D" w:rsidRDefault="00D1585A">
      <w:pPr>
        <w:pStyle w:val="FootnoteText"/>
        <w:spacing w:after="40"/>
      </w:pPr>
      <w:r>
        <w:rPr>
          <w:rStyle w:val="FootnoteReference"/>
        </w:rPr>
        <w:footnoteRef/>
      </w:r>
      <w:r>
        <w:tab/>
        <w:t>Nõukogu järeldused Euroopa kübervastupidavusvõime süsteemi tugevdamise ning konkurentsivõimelise ja uuendusliku küberjulgeolekusektori toetami</w:t>
      </w:r>
      <w:r>
        <w:t>se kohta, 15. november 2016.</w:t>
      </w:r>
    </w:p>
  </w:footnote>
  <w:footnote w:id="24">
    <w:p w:rsidR="00F4358D" w:rsidRDefault="00D1585A">
      <w:pPr>
        <w:pStyle w:val="FootnoteText"/>
        <w:spacing w:after="40"/>
      </w:pPr>
      <w:r>
        <w:rPr>
          <w:rStyle w:val="FootnoteReference"/>
        </w:rPr>
        <w:footnoteRef/>
      </w:r>
      <w:r>
        <w:tab/>
        <w:t>http://ec.europa.eu/smart-regulation/roadmaps/docs/2017_cnect_002_evaluation_enisa_et.pdf</w:t>
      </w:r>
    </w:p>
  </w:footnote>
  <w:footnote w:id="25">
    <w:p w:rsidR="00F4358D" w:rsidRDefault="00D1585A">
      <w:pPr>
        <w:pStyle w:val="FootnoteText"/>
        <w:spacing w:after="40"/>
      </w:pPr>
      <w:r>
        <w:rPr>
          <w:rStyle w:val="FootnoteReference"/>
        </w:rPr>
        <w:footnoteRef/>
      </w:r>
      <w:r>
        <w:tab/>
        <w:t>Viited võrgu- ja infosüsteemide turvalisuse direktiivi (edaspidi „võrgu- ja infoturbe direktiiv“) artiklitele 7, 9, 11, 12 ja 19.</w:t>
      </w:r>
    </w:p>
  </w:footnote>
  <w:footnote w:id="26">
    <w:p w:rsidR="00F4358D" w:rsidRDefault="00D1585A">
      <w:pPr>
        <w:pStyle w:val="FootnoteText"/>
        <w:spacing w:after="40"/>
      </w:pPr>
      <w:r>
        <w:rPr>
          <w:rStyle w:val="FootnoteReference"/>
        </w:rPr>
        <w:footnoteRef/>
      </w:r>
      <w:r>
        <w:tab/>
        <w:t>K</w:t>
      </w:r>
      <w:r>
        <w:t>onsultatsioonile vastas 90 sidusrühma 19 liikmesriigist (88 vastust ja kaks kirjalikku seisukohavõttu), sealhulgas 15 liikmesriigi (muu hulgas Prantsusmaa, Itaalia, Iirimaa ja Kreeka) ametiasutused ja kaheksa katusorganisatsiooni, kes esindavad märkimisvää</w:t>
      </w:r>
      <w:r>
        <w:t xml:space="preserve">rset arvu Euroopa organisatsioone (näiteks </w:t>
      </w:r>
      <w:proofErr w:type="spellStart"/>
      <w:r>
        <w:t>European</w:t>
      </w:r>
      <w:proofErr w:type="spellEnd"/>
      <w:r>
        <w:t xml:space="preserve"> </w:t>
      </w:r>
      <w:proofErr w:type="spellStart"/>
      <w:r>
        <w:t>Banking</w:t>
      </w:r>
      <w:proofErr w:type="spellEnd"/>
      <w:r>
        <w:t xml:space="preserve"> </w:t>
      </w:r>
      <w:proofErr w:type="spellStart"/>
      <w:r>
        <w:t>Federation</w:t>
      </w:r>
      <w:proofErr w:type="spellEnd"/>
      <w:r>
        <w:t xml:space="preserve">, </w:t>
      </w:r>
      <w:proofErr w:type="spellStart"/>
      <w:r>
        <w:t>Digital</w:t>
      </w:r>
      <w:proofErr w:type="spellEnd"/>
      <w:r>
        <w:t xml:space="preserve"> </w:t>
      </w:r>
      <w:proofErr w:type="spellStart"/>
      <w:r>
        <w:t>Europe</w:t>
      </w:r>
      <w:proofErr w:type="spellEnd"/>
      <w:r>
        <w:t xml:space="preserve"> (kes esindab digitaaltehnoloogia tööstust Euroopas) ja </w:t>
      </w:r>
      <w:proofErr w:type="spellStart"/>
      <w:r>
        <w:t>European</w:t>
      </w:r>
      <w:proofErr w:type="spellEnd"/>
      <w:r>
        <w:t xml:space="preserve"> </w:t>
      </w:r>
      <w:proofErr w:type="spellStart"/>
      <w:r>
        <w:t>Telecommunications</w:t>
      </w:r>
      <w:proofErr w:type="spellEnd"/>
      <w:r>
        <w:t xml:space="preserve"> Network </w:t>
      </w:r>
      <w:proofErr w:type="spellStart"/>
      <w:r>
        <w:t>Operators</w:t>
      </w:r>
      <w:proofErr w:type="spellEnd"/>
      <w:r>
        <w:t xml:space="preserve">' </w:t>
      </w:r>
      <w:proofErr w:type="spellStart"/>
      <w:r>
        <w:t>Association</w:t>
      </w:r>
      <w:proofErr w:type="spellEnd"/>
      <w:r>
        <w:t xml:space="preserve"> (edaspidi „ETNO“)). ENISA avalikku konsultatsiooni täie</w:t>
      </w:r>
      <w:r>
        <w:t xml:space="preserve">ndati mitme teise allika abil, sealhulgas: i) küberturvalisuse kogukonna 50 peamise osalejaga korraldatud põhjalikud küsitlused; </w:t>
      </w:r>
      <w:proofErr w:type="spellStart"/>
      <w:r>
        <w:t>ii</w:t>
      </w:r>
      <w:proofErr w:type="spellEnd"/>
      <w:r>
        <w:t xml:space="preserve">) </w:t>
      </w:r>
      <w:proofErr w:type="spellStart"/>
      <w:r>
        <w:t>CSIRTide</w:t>
      </w:r>
      <w:proofErr w:type="spellEnd"/>
      <w:r>
        <w:t xml:space="preserve"> võrgustiku uuring; </w:t>
      </w:r>
      <w:proofErr w:type="spellStart"/>
      <w:r>
        <w:t>iii</w:t>
      </w:r>
      <w:proofErr w:type="spellEnd"/>
      <w:r>
        <w:t>) ENISA haldusnõukogu, juhatuse ja alalise sidusrühma uuring.</w:t>
      </w:r>
    </w:p>
  </w:footnote>
  <w:footnote w:id="27">
    <w:p w:rsidR="00F4358D" w:rsidRDefault="00D1585A">
      <w:pPr>
        <w:pStyle w:val="FootnoteText"/>
        <w:spacing w:after="40"/>
      </w:pPr>
      <w:r>
        <w:rPr>
          <w:rStyle w:val="FootnoteReference"/>
        </w:rPr>
        <w:footnoteRef/>
      </w:r>
      <w:r>
        <w:tab/>
        <w:t>162 vastust kodanikelt, 33 k</w:t>
      </w:r>
      <w:r>
        <w:t>odanikuühiskonnalt ja tarbijaorganisatsioonidelt; 186 vastust tööstussektorilt ja 40 avaliku sektori asutustelt, sealhulgas e-privaatsuse direktiivi täitmise tagamisega tegelevatelt pädevatelt ametiasutustelt.</w:t>
      </w:r>
    </w:p>
  </w:footnote>
  <w:footnote w:id="28">
    <w:p w:rsidR="00F4358D" w:rsidRDefault="00D1585A">
      <w:pPr>
        <w:pStyle w:val="FootnoteText"/>
        <w:spacing w:after="40"/>
      </w:pPr>
      <w:r>
        <w:rPr>
          <w:rStyle w:val="FootnoteReference"/>
        </w:rPr>
        <w:footnoteRef/>
      </w:r>
      <w:r>
        <w:tab/>
        <w:t>Sertifitseerimist käsitlevale osale vastas 2</w:t>
      </w:r>
      <w:r>
        <w:t>40 sidusrühma, sealhulgas riigi haldusasutused, suurettevõtjad, VKEd, mikroettevõtjad ja teadusasutused.</w:t>
      </w:r>
    </w:p>
  </w:footnote>
  <w:footnote w:id="29">
    <w:p w:rsidR="00F4358D" w:rsidRDefault="00D1585A">
      <w:pPr>
        <w:pStyle w:val="FootnoteText"/>
      </w:pPr>
      <w:r>
        <w:rPr>
          <w:rStyle w:val="FootnoteReference"/>
        </w:rPr>
        <w:footnoteRef/>
      </w:r>
      <w:r>
        <w:tab/>
        <w:t>ELT C ..., ..., lk …</w:t>
      </w:r>
    </w:p>
  </w:footnote>
  <w:footnote w:id="30">
    <w:p w:rsidR="00F4358D" w:rsidRDefault="00D1585A">
      <w:pPr>
        <w:pStyle w:val="FootnoteText"/>
      </w:pPr>
      <w:r>
        <w:rPr>
          <w:rStyle w:val="FootnoteReference"/>
        </w:rPr>
        <w:footnoteRef/>
      </w:r>
      <w:r>
        <w:tab/>
        <w:t>ELT C ..., ..., lk …</w:t>
      </w:r>
    </w:p>
  </w:footnote>
  <w:footnote w:id="31">
    <w:p w:rsidR="00F4358D" w:rsidRDefault="00D1585A">
      <w:pPr>
        <w:pStyle w:val="FootnoteText"/>
        <w:spacing w:after="40"/>
      </w:pPr>
      <w:r>
        <w:rPr>
          <w:rStyle w:val="FootnoteReference"/>
        </w:rPr>
        <w:footnoteRef/>
      </w:r>
      <w:r>
        <w:tab/>
        <w:t xml:space="preserve">Euroopa Parlamendi ja nõukogu 10. märtsi 2004. aasta määrus (EÜ) nr 460/2004, millega luuakse Euroopa </w:t>
      </w:r>
      <w:r>
        <w:t>Võrgu- ja Infoturbeamet (ELT L 77, 13.3.2004, lk 1).</w:t>
      </w:r>
    </w:p>
  </w:footnote>
  <w:footnote w:id="32">
    <w:p w:rsidR="00F4358D" w:rsidRDefault="00D1585A">
      <w:pPr>
        <w:pStyle w:val="FootnoteText"/>
        <w:spacing w:after="40"/>
      </w:pPr>
      <w:r>
        <w:rPr>
          <w:rStyle w:val="FootnoteReference"/>
        </w:rPr>
        <w:footnoteRef/>
      </w:r>
      <w:r>
        <w:tab/>
        <w:t>Euroopa Parlamendi ja nõukogu 24. septembri 2008. aasta määrus (EÜ) nr 1007/2008, millega muudetakse määrust (EÜ) nr 460/2004 (millega luuakse Euroopa Võrgu- ja Infoturbeamet) seoses selle kestusega (E</w:t>
      </w:r>
      <w:r>
        <w:t>LT L 293, 31.10.2008, lk 1).</w:t>
      </w:r>
    </w:p>
  </w:footnote>
  <w:footnote w:id="33">
    <w:p w:rsidR="00F4358D" w:rsidRDefault="00D1585A">
      <w:pPr>
        <w:pStyle w:val="FootnoteText"/>
        <w:spacing w:after="40"/>
      </w:pPr>
      <w:r>
        <w:rPr>
          <w:rStyle w:val="FootnoteReference"/>
        </w:rPr>
        <w:footnoteRef/>
      </w:r>
      <w:r>
        <w:tab/>
        <w:t>Euroopa Parlamendi ja nõukogu 8. juuni 2011. aasta määrus (EL) nr 580/2011, millega muudetakse määrust (EÜ) nr 460/2004 (millega luuakse Euroopa Võrgu- ja Infoturbeamet) seoses selle tegevusaja kestusega (ELT L 165, 24.6.2011</w:t>
      </w:r>
      <w:r>
        <w:t>, lk 3).</w:t>
      </w:r>
    </w:p>
  </w:footnote>
  <w:footnote w:id="34">
    <w:p w:rsidR="00F4358D" w:rsidRDefault="00D1585A">
      <w:pPr>
        <w:pStyle w:val="FootnoteText"/>
        <w:spacing w:after="40"/>
      </w:pPr>
      <w:r>
        <w:rPr>
          <w:rStyle w:val="FootnoteReference"/>
        </w:rPr>
        <w:footnoteRef/>
      </w:r>
      <w:r>
        <w:tab/>
        <w:t>Euroopa Parlamendi ja nõukogu 21. mai 2013. aasta määrus (EL) nr 526/2013, mis käsitleb Euroopa Liidu Võrgu- ja Infoturbeametit (ENISA) ning millega tunnistatakse kehtetuks määrus (EÜ) nr 460/2004 (ELT L 165, 18.6.2013, lk 41).</w:t>
      </w:r>
    </w:p>
  </w:footnote>
  <w:footnote w:id="35">
    <w:p w:rsidR="00F4358D" w:rsidRDefault="00D1585A">
      <w:pPr>
        <w:pStyle w:val="FootnoteText"/>
        <w:spacing w:after="40"/>
      </w:pPr>
      <w:r>
        <w:rPr>
          <w:rStyle w:val="FootnoteReference"/>
        </w:rPr>
        <w:footnoteRef/>
      </w:r>
      <w:r>
        <w:tab/>
        <w:t>Euroopa Parlame</w:t>
      </w:r>
      <w:r>
        <w:t xml:space="preserve">ndi ja nõukogu 30. mai 2001. aasta määrus (EÜ) nr 1049/2001 üldsuse juurdepääsu kohta Euroopa Parlamendi, nõukogu ja komisjoni dokumentidele (EÜT L 145, 31.5.2001, lk 43). </w:t>
      </w:r>
    </w:p>
  </w:footnote>
  <w:footnote w:id="36">
    <w:p w:rsidR="00F4358D" w:rsidRDefault="00D1585A">
      <w:pPr>
        <w:pStyle w:val="FootnoteText"/>
        <w:spacing w:after="40"/>
      </w:pPr>
      <w:r>
        <w:rPr>
          <w:rStyle w:val="FootnoteReference"/>
        </w:rPr>
        <w:footnoteRef/>
      </w:r>
      <w:r>
        <w:tab/>
        <w:t xml:space="preserve">EÜT L 8, 12.1.2001, lk 1. </w:t>
      </w:r>
    </w:p>
  </w:footnote>
  <w:footnote w:id="37">
    <w:p w:rsidR="00F4358D" w:rsidRDefault="00D1585A">
      <w:pPr>
        <w:spacing w:before="100" w:beforeAutospacing="1" w:after="100" w:afterAutospacing="1"/>
        <w:ind w:left="720" w:right="225" w:hanging="720"/>
        <w:outlineLvl w:val="3"/>
      </w:pPr>
      <w:r>
        <w:rPr>
          <w:rStyle w:val="FootnoteReference"/>
        </w:rPr>
        <w:footnoteRef/>
      </w:r>
      <w:r>
        <w:tab/>
      </w:r>
      <w:bookmarkStart w:id="32" w:name="http://eur-lex.europa.eu/legal-content/A"/>
      <w:r>
        <w:fldChar w:fldCharType="begin"/>
      </w:r>
      <w:r>
        <w:instrText>HYPERLINK "http://eur-lex.europa.eu/legal-content/AU</w:instrText>
      </w:r>
      <w:r>
        <w:instrText>TO/?uri=CELEX:32013R1271&amp;amp;qid=1503901726322&amp;amp;rid=1"</w:instrText>
      </w:r>
      <w:r>
        <w:fldChar w:fldCharType="separate"/>
      </w:r>
      <w:r w:rsidRPr="00D1585A">
        <w:rPr>
          <w:rStyle w:val="FootnoteTextChar"/>
          <w:lang w:val="et-EE"/>
        </w:rPr>
        <w:t>Komisjoni 30. septembri 2013. aasta delegeeritud määrus (EL) nr 1271/2013 raamfinantsmääruse kohta asutustele, millele viidatakse Euroopa Parlamendi ja nõukogu määruse (EL, Euratom) nr 966/2012 artik</w:t>
      </w:r>
      <w:r w:rsidRPr="00D1585A">
        <w:rPr>
          <w:rStyle w:val="FootnoteTextChar"/>
          <w:lang w:val="et-EE"/>
        </w:rPr>
        <w:t>lis 208</w:t>
      </w:r>
      <w:r>
        <w:fldChar w:fldCharType="end"/>
      </w:r>
      <w:bookmarkEnd w:id="32"/>
      <w:r w:rsidRPr="00D1585A">
        <w:rPr>
          <w:rStyle w:val="FootnoteTextChar"/>
          <w:lang w:val="et-EE"/>
        </w:rPr>
        <w:t xml:space="preserve"> (ELT L 328, 7.12.2013, lk 42).</w:t>
      </w:r>
      <w:r>
        <w:t xml:space="preserve"> </w:t>
      </w:r>
    </w:p>
  </w:footnote>
  <w:footnote w:id="38">
    <w:p w:rsidR="00F4358D" w:rsidRDefault="00D1585A">
      <w:pPr>
        <w:pStyle w:val="FootnoteText"/>
      </w:pPr>
      <w:r>
        <w:rPr>
          <w:rStyle w:val="FootnoteReference"/>
        </w:rPr>
        <w:footnoteRef/>
      </w:r>
      <w:r>
        <w:tab/>
      </w:r>
      <w:hyperlink r:id="rId3">
        <w:r>
          <w:rPr>
            <w:color w:val="0000FF"/>
            <w:u w:val="single"/>
          </w:rPr>
          <w:t>Komisjoni 13. märtsi 2015. aasta otsus (EL, Euratom) 2015/443 komisjoni julgeoleku kohta</w:t>
        </w:r>
      </w:hyperlink>
      <w:r>
        <w:rPr>
          <w:color w:val="444444"/>
        </w:rPr>
        <w:t xml:space="preserve"> (ELT L 72, 17</w:t>
      </w:r>
      <w:r>
        <w:rPr>
          <w:color w:val="444444"/>
        </w:rPr>
        <w:t>.3.2015, lk 41).</w:t>
      </w:r>
    </w:p>
  </w:footnote>
  <w:footnote w:id="39">
    <w:p w:rsidR="00F4358D" w:rsidRDefault="00D1585A">
      <w:pPr>
        <w:pStyle w:val="FootnoteText"/>
      </w:pPr>
      <w:r>
        <w:rPr>
          <w:rStyle w:val="FootnoteReference"/>
        </w:rPr>
        <w:footnoteRef/>
      </w:r>
      <w:r>
        <w:tab/>
      </w:r>
      <w:hyperlink r:id="rId4">
        <w:r>
          <w:rPr>
            <w:color w:val="0000FF"/>
            <w:u w:val="single"/>
          </w:rPr>
          <w:t>Komisjoni 13. märtsi 2015. aasta otsus (EL, Euratom) 2015/444 ELi salastatud teabe kaitseks vajalike julgeolekunormide kohta</w:t>
        </w:r>
      </w:hyperlink>
      <w:r>
        <w:rPr>
          <w:color w:val="444444"/>
        </w:rPr>
        <w:t xml:space="preserve"> (EL</w:t>
      </w:r>
      <w:r>
        <w:rPr>
          <w:color w:val="444444"/>
        </w:rPr>
        <w:t>T L 72, 17.3.2015, lk 53).</w:t>
      </w:r>
    </w:p>
  </w:footnote>
  <w:footnote w:id="40">
    <w:p w:rsidR="00F4358D" w:rsidRDefault="00D1585A">
      <w:pPr>
        <w:pStyle w:val="FootnoteText"/>
      </w:pPr>
      <w:r>
        <w:rPr>
          <w:rStyle w:val="FootnoteReference"/>
        </w:rPr>
        <w:footnoteRef/>
      </w:r>
      <w:r>
        <w:tab/>
      </w:r>
      <w:hyperlink r:id="rId5">
        <w:r>
          <w:rPr>
            <w:color w:val="0000FF"/>
            <w:u w:val="single"/>
          </w:rPr>
          <w:t>Euroopa Parlamendi ja nõukogu 11. septembri 2013. aasta määrus (EL, Euratom) nr 883/2013, mis käsitleb Euroopa Pettust</w:t>
        </w:r>
        <w:r>
          <w:rPr>
            <w:color w:val="0000FF"/>
            <w:u w:val="single"/>
          </w:rPr>
          <w:t>evastase Ameti (OLAF) juurdlusi ning millega tunnistatakse kehtetuks Euroopa Parlamendi ja nõukogu määrus (EÜ) nr 1073/1999 ja nõukogu määrus (Euratom) nr 1074/1999</w:t>
        </w:r>
      </w:hyperlink>
      <w:r>
        <w:t xml:space="preserve"> (ELT L 248, 18.9.2013, lk 1).</w:t>
      </w:r>
      <w:r>
        <w:rPr>
          <w:rFonts w:ascii="Lucida Sans Unicode" w:hAnsi="Lucida Sans Unicode"/>
          <w:b/>
          <w:color w:val="444444"/>
          <w:sz w:val="27"/>
        </w:rPr>
        <w:t xml:space="preserve"> </w:t>
      </w:r>
    </w:p>
  </w:footnote>
  <w:footnote w:id="41">
    <w:p w:rsidR="00F4358D" w:rsidRDefault="00D1585A">
      <w:pPr>
        <w:pStyle w:val="FootnoteText"/>
      </w:pPr>
      <w:r>
        <w:rPr>
          <w:rStyle w:val="FootnoteReference"/>
        </w:rPr>
        <w:footnoteRef/>
      </w:r>
      <w:r>
        <w:tab/>
      </w:r>
      <w:hyperlink r:id="rId6">
        <w:r>
          <w:rPr>
            <w:color w:val="0000FF"/>
            <w:u w:val="single"/>
          </w:rPr>
          <w:t>Nõukogu 11. novembri 1996. aasta määrus (Euratom, EÜ) nr 2185/96, mis käsitleb komisjoni tehtavat kohapealset kontrolli ja inspekteerimist, et kaitsta Euroopa ühenduste finantshuve pettuste ja igasuguse mu</w:t>
        </w:r>
        <w:r>
          <w:rPr>
            <w:color w:val="0000FF"/>
            <w:u w:val="single"/>
          </w:rPr>
          <w:t>u eeskirjade eiramiste eest</w:t>
        </w:r>
      </w:hyperlink>
      <w:r>
        <w:t xml:space="preserve"> (EÜT L 292, 15.11.1996, lk 2).</w:t>
      </w:r>
    </w:p>
  </w:footnote>
  <w:footnote w:id="42">
    <w:p w:rsidR="00F4358D" w:rsidRDefault="00D1585A">
      <w:pPr>
        <w:pStyle w:val="FootnoteText"/>
      </w:pPr>
      <w:r>
        <w:rPr>
          <w:rStyle w:val="FootnoteReference"/>
        </w:rPr>
        <w:footnoteRef/>
      </w:r>
      <w:r>
        <w:tab/>
      </w:r>
      <w:hyperlink r:id="rId7">
        <w:r>
          <w:rPr>
            <w:color w:val="0000FF"/>
            <w:u w:val="single"/>
          </w:rPr>
          <w:t>Määrus nr 1 keelte kasutamise korra kohta Euroopa Aatomienergiaühenduses</w:t>
        </w:r>
      </w:hyperlink>
      <w:r>
        <w:t xml:space="preserve"> (EÜT 17, </w:t>
      </w:r>
      <w:r>
        <w:t>6.10.1958, lk 401).</w:t>
      </w:r>
    </w:p>
  </w:footnote>
  <w:footnote w:id="43">
    <w:p w:rsidR="00F4358D" w:rsidRDefault="00D1585A">
      <w:pPr>
        <w:pStyle w:val="FootnoteText"/>
      </w:pPr>
      <w:r>
        <w:rPr>
          <w:rStyle w:val="FootnoteReference"/>
        </w:rPr>
        <w:footnoteRef/>
      </w:r>
      <w:r>
        <w:tab/>
        <w:t xml:space="preserve">Euroopa Parlamendi ja nõukogu 18. detsembri 2000. aasta määrus (EÜ) nr 45/2001 üksikisikute kaitse kohta isikuandmete töötlemisel ühenduse institutsioonides ja asutustes ning selliste andmete vaba liikumise kohta (EÜT L 8, 12.1.2001, </w:t>
      </w:r>
      <w:r>
        <w:t>lk 1).</w:t>
      </w:r>
    </w:p>
  </w:footnote>
  <w:footnote w:id="44">
    <w:p w:rsidR="00F4358D" w:rsidRDefault="00D1585A">
      <w:pPr>
        <w:pStyle w:val="FootnoteText"/>
        <w:rPr>
          <w:szCs w:val="24"/>
        </w:rPr>
      </w:pPr>
      <w:r>
        <w:rPr>
          <w:rStyle w:val="FootnoteReference"/>
        </w:rPr>
        <w:footnoteRef/>
      </w:r>
      <w:r>
        <w:tab/>
        <w:t>Vastavalt finantsmääruse artikli 54 lõike 2 punktile a või b.</w:t>
      </w:r>
    </w:p>
  </w:footnote>
  <w:footnote w:id="45">
    <w:p w:rsidR="00F4358D" w:rsidRDefault="00D1585A">
      <w:pPr>
        <w:pStyle w:val="FootnoteText"/>
      </w:pPr>
      <w:r>
        <w:rPr>
          <w:rStyle w:val="FootnoteReference"/>
        </w:rPr>
        <w:footnoteRef/>
      </w:r>
      <w:r>
        <w:tab/>
        <w:t xml:space="preserve">Küberturvalisuse alase usaldusväärsuse läbipaistvus tähendab seda, et kasutajatele antakse piisavalt teavet küberturvalisuse omaduste kohta, tänu millele saavad nad määrata </w:t>
      </w:r>
      <w:r>
        <w:t>objektiivselt kindlaks konkreetse IKT toote, teenuse või protsessi turvalisuse taseme.</w:t>
      </w:r>
    </w:p>
  </w:footnote>
  <w:footnote w:id="46">
    <w:p w:rsidR="00F4358D" w:rsidRDefault="00D1585A">
      <w:pPr>
        <w:pStyle w:val="FootnoteText"/>
      </w:pPr>
      <w:r>
        <w:rPr>
          <w:rStyle w:val="FootnoteReference"/>
        </w:rPr>
        <w:footnoteRef/>
      </w:r>
      <w:r>
        <w:tab/>
        <w:t xml:space="preserve">Küberturvalisuse alase usaldusväärsuse läbipaistvus tähendab seda, et kasutajatele antakse piisavalt teavet küberturvalisuse omaduste kohta, tänu millele saavad nad </w:t>
      </w:r>
      <w:r>
        <w:t>määrata objektiivselt kindlaks konkreetse IKT toote, teenuse või protsessi turvalisuse taseme.</w:t>
      </w:r>
    </w:p>
  </w:footnote>
  <w:footnote w:id="47">
    <w:p w:rsidR="00F4358D" w:rsidRDefault="00D1585A">
      <w:pPr>
        <w:pStyle w:val="FootnoteText"/>
      </w:pPr>
      <w:r>
        <w:rPr>
          <w:rStyle w:val="FootnoteReference"/>
        </w:rPr>
        <w:footnoteRef/>
      </w:r>
      <w:r>
        <w:tab/>
        <w:t>Küberturvalisuse alase usaldusväärsuse läbipaistvus tähendab seda, et kasutajatele antakse piisavalt teavet küberturvalisuse omaduste kohta, tänu millele saava</w:t>
      </w:r>
      <w:r>
        <w:t>d nad määrata objektiivselt kindlaks konkreetse IKT toote, teenuse või protsessi turvalisuse taseme.</w:t>
      </w:r>
    </w:p>
  </w:footnote>
  <w:footnote w:id="48">
    <w:p w:rsidR="00F4358D" w:rsidRDefault="00D1585A">
      <w:pPr>
        <w:pStyle w:val="FootnoteText"/>
      </w:pPr>
      <w:r>
        <w:rPr>
          <w:rStyle w:val="FootnoteReference"/>
        </w:rPr>
        <w:footnoteRef/>
      </w:r>
      <w:r>
        <w:tab/>
        <w:t>Küberturvalisuse alase usaldusväärsuse läbipaistvus tähendab seda, et kasutajatele antakse piisavalt teavet küberturvalisuse omaduste kohta, tänu millele</w:t>
      </w:r>
      <w:r>
        <w:t xml:space="preserve"> saavad nad määrata objektiivselt kindlaks konkreetse IKT toote, teenuse või protsessi turvalisuse taseme.</w:t>
      </w:r>
    </w:p>
  </w:footnote>
  <w:footnote w:id="49">
    <w:p w:rsidR="00F4358D" w:rsidRDefault="00D1585A">
      <w:pPr>
        <w:pStyle w:val="FootnoteText"/>
        <w:ind w:left="142" w:hanging="142"/>
      </w:pPr>
      <w:r>
        <w:rPr>
          <w:rStyle w:val="FootnoteReference"/>
        </w:rPr>
        <w:footnoteRef/>
      </w:r>
      <w:r>
        <w:tab/>
        <w:t>Nõukogu järeldused Euroopa kübervastupidavusvõime süsteemi tugevdamise ning konkurentsivõimelise ja uuendusliku küberjulgeolekusektori toetamise ko</w:t>
      </w:r>
      <w:r>
        <w:t>hta, 15. november 2016.</w:t>
      </w:r>
    </w:p>
  </w:footnote>
  <w:footnote w:id="50">
    <w:p w:rsidR="00F4358D" w:rsidRDefault="00D1585A">
      <w:pPr>
        <w:pStyle w:val="FootnoteText"/>
      </w:pPr>
      <w:r>
        <w:rPr>
          <w:rStyle w:val="FootnoteReference"/>
        </w:rPr>
        <w:footnoteRef/>
      </w:r>
      <w:r>
        <w:tab/>
        <w:t>Euroopa Parlamendi ja nõukogu 27. aprilli 2016. aasta määrus (EL) 2016/679 füüsiliste isikute kaitse kohta isikuandmete töötlemisel ja selliste andmete vaba liikumise ning direktiivi 95/46/EÜ kehtetuks tunnistamise kohta (isikuand</w:t>
      </w:r>
      <w:r>
        <w:t>mete kaitse üldmäärus).</w:t>
      </w:r>
    </w:p>
  </w:footnote>
  <w:footnote w:id="51">
    <w:p w:rsidR="00F4358D" w:rsidRDefault="00D1585A">
      <w:pPr>
        <w:pStyle w:val="FootnoteText"/>
      </w:pPr>
      <w:r>
        <w:rPr>
          <w:rStyle w:val="FootnoteReference"/>
        </w:rPr>
        <w:footnoteRef/>
      </w:r>
      <w:r>
        <w:tab/>
        <w:t>Näiteks artikkel 42 („Sertifitseerimine“) ja artikkel 43 („Sertifitseerimisasutused“) ning artiklid 57, 58 ja 70, mis käsitlevad vastavalt sõltumatute järelevalveasutuste asjaomaseid ülesandeid ja volitusi ning Euroopa Andmekaitse</w:t>
      </w:r>
      <w:r>
        <w:t>nõukogu ülesandeid.</w:t>
      </w:r>
    </w:p>
  </w:footnote>
  <w:footnote w:id="52">
    <w:p w:rsidR="00F4358D" w:rsidRDefault="00D1585A">
      <w:pPr>
        <w:pStyle w:val="FootnoteText"/>
        <w:rPr>
          <w:szCs w:val="24"/>
        </w:rPr>
      </w:pPr>
      <w:r>
        <w:rPr>
          <w:rStyle w:val="FootnoteReference"/>
        </w:rPr>
        <w:footnoteRef/>
      </w:r>
      <w:r>
        <w:tab/>
        <w:t xml:space="preserve">Eelarve täitmise viise koos viidetega finantsmäärusele on selgitatud veebisaidil: </w:t>
      </w:r>
      <w:hyperlink r:id="rId8">
        <w:r>
          <w:rPr>
            <w:rStyle w:val="Hyperlink"/>
          </w:rPr>
          <w:t>https://myintracomm.ec.europa.eu/budgweb/EN/man/budgma</w:t>
        </w:r>
        <w:r>
          <w:rPr>
            <w:rStyle w:val="Hyperlink"/>
          </w:rPr>
          <w:t>nag/Pages/budgmanag.aspx</w:t>
        </w:r>
      </w:hyperlink>
      <w:r>
        <w:t>.</w:t>
      </w:r>
    </w:p>
  </w:footnote>
  <w:footnote w:id="53">
    <w:p w:rsidR="00F4358D" w:rsidRDefault="00D1585A">
      <w:pPr>
        <w:pStyle w:val="FootnoteText"/>
        <w:rPr>
          <w:szCs w:val="24"/>
        </w:rPr>
      </w:pPr>
      <w:r>
        <w:rPr>
          <w:rStyle w:val="FootnoteReference"/>
        </w:rPr>
        <w:footnoteRef/>
      </w:r>
      <w:r>
        <w:tab/>
        <w:t>Liigendatud assigneeringud / liigendamata assigneeringud.</w:t>
      </w:r>
    </w:p>
  </w:footnote>
  <w:footnote w:id="54">
    <w:p w:rsidR="00F4358D" w:rsidRDefault="00D1585A">
      <w:pPr>
        <w:pStyle w:val="FootnoteText"/>
        <w:rPr>
          <w:szCs w:val="24"/>
        </w:rPr>
      </w:pPr>
      <w:r>
        <w:rPr>
          <w:rStyle w:val="FootnoteReference"/>
        </w:rPr>
        <w:footnoteRef/>
      </w:r>
      <w:r>
        <w:tab/>
        <w:t xml:space="preserve">EFTA: Euroopa Vabakaubanduse Assotsiatsioon. </w:t>
      </w:r>
    </w:p>
  </w:footnote>
  <w:footnote w:id="55">
    <w:p w:rsidR="00F4358D" w:rsidRDefault="00D1585A">
      <w:pPr>
        <w:pStyle w:val="FootnoteText"/>
        <w:rPr>
          <w:szCs w:val="24"/>
        </w:rPr>
      </w:pPr>
      <w:r>
        <w:rPr>
          <w:rStyle w:val="FootnoteReference"/>
        </w:rPr>
        <w:footnoteRef/>
      </w:r>
      <w:r>
        <w:tab/>
        <w:t>Kandidaatriigid ja vajaduse korral Lääne-Balkani potentsiaalsed kandidaatriigid.</w:t>
      </w:r>
    </w:p>
  </w:footnote>
  <w:footnote w:id="56">
    <w:p w:rsidR="00F4358D" w:rsidRDefault="00D1585A">
      <w:pPr>
        <w:pStyle w:val="FootnoteText"/>
      </w:pPr>
      <w:r>
        <w:rPr>
          <w:rStyle w:val="FootnoteReference"/>
        </w:rPr>
        <w:footnoteRef/>
      </w:r>
      <w:r>
        <w:tab/>
        <w:t>Tabelis on esitatud vaid 3. jaotise k</w:t>
      </w:r>
      <w:r>
        <w:t>ohased tegevuskulud.</w:t>
      </w:r>
    </w:p>
  </w:footnote>
  <w:footnote w:id="57">
    <w:p w:rsidR="00F4358D" w:rsidRDefault="00D1585A">
      <w:pPr>
        <w:pStyle w:val="FootnoteText"/>
      </w:pPr>
      <w:r>
        <w:rPr>
          <w:rStyle w:val="FootnoteReference"/>
        </w:rPr>
        <w:footnoteRef/>
      </w:r>
      <w:r>
        <w:tab/>
      </w:r>
      <w:proofErr w:type="spellStart"/>
      <w:r>
        <w:rPr>
          <w:sz w:val="18"/>
        </w:rPr>
        <w:t>Cyber</w:t>
      </w:r>
      <w:proofErr w:type="spellEnd"/>
      <w:r>
        <w:rPr>
          <w:sz w:val="18"/>
        </w:rPr>
        <w:t xml:space="preserve"> </w:t>
      </w:r>
      <w:proofErr w:type="spellStart"/>
      <w:r>
        <w:rPr>
          <w:sz w:val="18"/>
        </w:rPr>
        <w:t>Europe</w:t>
      </w:r>
      <w:proofErr w:type="spellEnd"/>
      <w:r>
        <w:rPr>
          <w:sz w:val="18"/>
        </w:rPr>
        <w:t xml:space="preserve"> on siiani kõige suurem ja terviklikum ELi küberturvalisuse õppus, kus osaleb rohkem kui 700 küberturvalisuse spetsialisti kõigist 28 liikmesriigist. Seda korraldatakse iga kahe aasta tagant. ENISA hinnang ja 2013. aasta </w:t>
      </w:r>
      <w:r>
        <w:rPr>
          <w:sz w:val="18"/>
        </w:rPr>
        <w:t xml:space="preserve">Euroopa Liidu küberjulgeoleku strateegia näitavad, et mitmed sidusrühmad soovivad muuta õppuse </w:t>
      </w:r>
      <w:proofErr w:type="spellStart"/>
      <w:r>
        <w:rPr>
          <w:sz w:val="18"/>
        </w:rPr>
        <w:t>Cyber</w:t>
      </w:r>
      <w:proofErr w:type="spellEnd"/>
      <w:r>
        <w:rPr>
          <w:sz w:val="18"/>
        </w:rPr>
        <w:t xml:space="preserve"> </w:t>
      </w:r>
      <w:proofErr w:type="spellStart"/>
      <w:r>
        <w:rPr>
          <w:sz w:val="18"/>
        </w:rPr>
        <w:t>Europe</w:t>
      </w:r>
      <w:proofErr w:type="spellEnd"/>
      <w:r>
        <w:rPr>
          <w:sz w:val="18"/>
        </w:rPr>
        <w:t xml:space="preserve"> kord aastas toimuvaks sündmuseks, võttes arvesse küberohtude kiiresti muutuvat olemust. See ei ole ameti piiratud ressursside tõttu praegu siiski ot</w:t>
      </w:r>
      <w:r>
        <w:rPr>
          <w:sz w:val="18"/>
        </w:rPr>
        <w:t>starbekas.</w:t>
      </w:r>
    </w:p>
  </w:footnote>
  <w:footnote w:id="58">
    <w:p w:rsidR="00F4358D" w:rsidRDefault="00D1585A">
      <w:pPr>
        <w:pStyle w:val="FootnoteText"/>
        <w:rPr>
          <w:szCs w:val="24"/>
        </w:rPr>
      </w:pPr>
      <w:r>
        <w:rPr>
          <w:rStyle w:val="FootnoteReference"/>
        </w:rPr>
        <w:footnoteRef/>
      </w:r>
      <w:r>
        <w:tab/>
        <w:t>Lepingulised töötajad, kohalikud töötajad, riikide lähetatud eksperdid, renditööjõud, noored eksperdid delegatsioonides.</w:t>
      </w:r>
    </w:p>
  </w:footnote>
  <w:footnote w:id="59">
    <w:p w:rsidR="00F4358D" w:rsidRDefault="00D1585A">
      <w:pPr>
        <w:pStyle w:val="FootnoteText"/>
      </w:pPr>
      <w:r>
        <w:rPr>
          <w:rStyle w:val="FootnoteReference"/>
        </w:rPr>
        <w:footnoteRef/>
      </w:r>
      <w:r>
        <w:tab/>
        <w:t xml:space="preserve">Link mõjuhinnangule. </w:t>
      </w:r>
    </w:p>
  </w:footnote>
  <w:footnote w:id="60">
    <w:p w:rsidR="00F4358D" w:rsidRDefault="00D1585A">
      <w:pPr>
        <w:pStyle w:val="FootnoteText"/>
        <w:rPr>
          <w:szCs w:val="24"/>
        </w:rPr>
      </w:pPr>
      <w:r>
        <w:rPr>
          <w:rStyle w:val="FootnoteReference"/>
        </w:rPr>
        <w:footnoteRef/>
      </w:r>
      <w:r>
        <w:tab/>
        <w:t>Vt nõukogu määruse (EL, Euratom) nr 1311/2013 (millega määratakse kindlaks mitmeaastane finantsr</w:t>
      </w:r>
      <w:r>
        <w:t>aamistik aastateks 2014–2020) artiklid 11 ja 17.</w:t>
      </w:r>
    </w:p>
  </w:footnote>
  <w:footnote w:id="61">
    <w:p w:rsidR="00F4358D" w:rsidRDefault="00D1585A">
      <w:pPr>
        <w:pStyle w:val="FootnoteText"/>
      </w:pPr>
      <w:r>
        <w:rPr>
          <w:rStyle w:val="FootnoteReference"/>
        </w:rPr>
        <w:footnoteRef/>
      </w:r>
      <w:r>
        <w:tab/>
        <w:t>Järgnevate aastate täpne summa saadakse teada, kui EFTA suhtarv asjaomase aasta kohta kindlaks määratakse.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85A" w:rsidRPr="00D1585A" w:rsidRDefault="00D1585A" w:rsidP="00D158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85A" w:rsidRPr="00D1585A" w:rsidRDefault="00D1585A" w:rsidP="00D158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85A" w:rsidRPr="00D1585A" w:rsidRDefault="00D1585A" w:rsidP="00D1585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85A" w:rsidRPr="00D1585A" w:rsidRDefault="00D1585A" w:rsidP="00D1585A">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85A" w:rsidRPr="00D1585A" w:rsidRDefault="00D1585A" w:rsidP="00D1585A">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85A" w:rsidRPr="00D1585A" w:rsidRDefault="00D1585A" w:rsidP="00D1585A">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85A" w:rsidRPr="00D1585A" w:rsidRDefault="00D1585A" w:rsidP="00D1585A">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85A" w:rsidRPr="00D1585A" w:rsidRDefault="00D1585A" w:rsidP="00D1585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85A" w:rsidRPr="00D1585A" w:rsidRDefault="00D1585A" w:rsidP="00D158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E28C18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D341C1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6D090C4"/>
    <w:lvl w:ilvl="0">
      <w:start w:val="1"/>
      <w:numFmt w:val="decimal"/>
      <w:pStyle w:val="ListNumber2"/>
      <w:lvlText w:val="%1."/>
      <w:lvlJc w:val="left"/>
      <w:pPr>
        <w:tabs>
          <w:tab w:val="num" w:pos="643"/>
        </w:tabs>
        <w:ind w:left="643" w:hanging="360"/>
      </w:pPr>
    </w:lvl>
  </w:abstractNum>
  <w:abstractNum w:abstractNumId="4">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C52A73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590C8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9"/>
    <w:multiLevelType w:val="singleLevel"/>
    <w:tmpl w:val="4408345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897051D"/>
    <w:multiLevelType w:val="multilevel"/>
    <w:tmpl w:val="E7FC4010"/>
    <w:numStyleLink w:val="NumbLstTableBullet"/>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E91DED"/>
    <w:multiLevelType w:val="hybridMultilevel"/>
    <w:tmpl w:val="AA168678"/>
    <w:lvl w:ilvl="0" w:tplc="C5DE8CD6">
      <w:start w:val="1"/>
      <w:numFmt w:val="bullet"/>
      <w:lvlText w:val=""/>
      <w:lvlJc w:val="left"/>
      <w:pPr>
        <w:ind w:left="1069" w:hanging="360"/>
      </w:pPr>
      <w:rPr>
        <w:rFonts w:ascii="Wingdings" w:hAnsi="Wingding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9">
    <w:nsid w:val="497C5E09"/>
    <w:multiLevelType w:val="multilevel"/>
    <w:tmpl w:val="E7FC4010"/>
    <w:styleLink w:val="NumbLstTableBullet"/>
    <w:lvl w:ilvl="0">
      <w:start w:val="1"/>
      <w:numFmt w:val="bullet"/>
      <w:pStyle w:val="TableBullet"/>
      <w:lvlText w:val="■"/>
      <w:lvlJc w:val="left"/>
      <w:pPr>
        <w:tabs>
          <w:tab w:val="num" w:pos="397"/>
        </w:tabs>
        <w:ind w:left="397" w:hanging="340"/>
      </w:pPr>
      <w:rPr>
        <w:rFonts w:ascii="Arial" w:hAnsi="Arial" w:cs="Arial" w:hint="default"/>
        <w:color w:val="0067AC"/>
      </w:rPr>
    </w:lvl>
    <w:lvl w:ilvl="1">
      <w:start w:val="1"/>
      <w:numFmt w:val="bullet"/>
      <w:lvlText w:val="–"/>
      <w:lvlJc w:val="left"/>
      <w:pPr>
        <w:tabs>
          <w:tab w:val="num" w:pos="737"/>
        </w:tabs>
        <w:ind w:left="737" w:hanging="340"/>
      </w:pPr>
      <w:rPr>
        <w:rFonts w:ascii="Arial" w:hAnsi="Arial" w:cs="Arial" w:hint="default"/>
        <w:color w:val="1F497D"/>
      </w:rPr>
    </w:lvl>
    <w:lvl w:ilvl="2">
      <w:start w:val="1"/>
      <w:numFmt w:val="bullet"/>
      <w:lvlText w:val="○"/>
      <w:lvlJc w:val="left"/>
      <w:pPr>
        <w:tabs>
          <w:tab w:val="num" w:pos="1077"/>
        </w:tabs>
        <w:ind w:left="1077" w:hanging="340"/>
      </w:pPr>
      <w:rPr>
        <w:rFonts w:ascii="Arial" w:hAnsi="Arial" w:cs="Arial" w:hint="default"/>
        <w:color w:val="1F497D"/>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08C30E1"/>
    <w:multiLevelType w:val="hybridMultilevel"/>
    <w:tmpl w:val="6FA0DEC2"/>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6">
    <w:nsid w:val="62A8042C"/>
    <w:multiLevelType w:val="singleLevel"/>
    <w:tmpl w:val="E42E4446"/>
    <w:lvl w:ilvl="0">
      <w:start w:val="1"/>
      <w:numFmt w:val="bullet"/>
      <w:pStyle w:val="Tiret11"/>
      <w:lvlText w:val="–"/>
      <w:lvlJc w:val="left"/>
      <w:pPr>
        <w:tabs>
          <w:tab w:val="num" w:pos="1134"/>
        </w:tabs>
        <w:ind w:left="1134" w:hanging="283"/>
      </w:pPr>
      <w:rPr>
        <w:rFonts w:ascii="Times New Roman" w:hAnsi="Times New Roman"/>
      </w:rPr>
    </w:lvl>
  </w:abstractNum>
  <w:abstractNum w:abstractNumId="27">
    <w:nsid w:val="63563915"/>
    <w:multiLevelType w:val="hybridMultilevel"/>
    <w:tmpl w:val="732AB16C"/>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0">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3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20"/>
  </w:num>
  <w:num w:numId="3">
    <w:abstractNumId w:val="18"/>
  </w:num>
  <w:num w:numId="4">
    <w:abstractNumId w:val="30"/>
  </w:num>
  <w:num w:numId="5">
    <w:abstractNumId w:val="31"/>
  </w:num>
  <w:num w:numId="6">
    <w:abstractNumId w:val="6"/>
  </w:num>
  <w:num w:numId="7">
    <w:abstractNumId w:val="5"/>
  </w:num>
  <w:num w:numId="8">
    <w:abstractNumId w:val="26"/>
  </w:num>
  <w:num w:numId="9">
    <w:abstractNumId w:val="3"/>
  </w:num>
  <w:num w:numId="10">
    <w:abstractNumId w:val="2"/>
  </w:num>
  <w:num w:numId="11">
    <w:abstractNumId w:val="1"/>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7"/>
  </w:num>
  <w:num w:numId="15">
    <w:abstractNumId w:val="19"/>
  </w:num>
  <w:num w:numId="16">
    <w:abstractNumId w:val="9"/>
  </w:num>
  <w:num w:numId="17">
    <w:abstractNumId w:val="15"/>
  </w:num>
  <w:num w:numId="18">
    <w:abstractNumId w:val="0"/>
  </w:num>
  <w:num w:numId="19">
    <w:abstractNumId w:val="4"/>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7"/>
    <w:lvlOverride w:ilvl="0">
      <w:startOverride w:val="1"/>
    </w:lvlOverride>
  </w:num>
  <w:num w:numId="79">
    <w:abstractNumId w:val="22"/>
    <w:lvlOverride w:ilvl="0">
      <w:startOverride w:val="1"/>
    </w:lvlOverride>
  </w:num>
  <w:num w:numId="80">
    <w:abstractNumId w:val="32"/>
    <w:lvlOverride w:ilvl="0">
      <w:startOverride w:val="1"/>
    </w:lvlOverride>
  </w:num>
  <w:num w:numId="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4"/>
    <w:lvlOverride w:ilvl="0">
      <w:startOverride w:val="1"/>
    </w:lvlOverride>
  </w:num>
  <w:num w:numId="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9"/>
    <w:lvlOverride w:ilvl="0">
      <w:startOverride w:val="1"/>
    </w:lvlOverride>
  </w:num>
  <w:num w:numId="92">
    <w:abstractNumId w:val="7"/>
  </w:num>
  <w:num w:numId="93">
    <w:abstractNumId w:val="24"/>
  </w:num>
  <w:num w:numId="94">
    <w:abstractNumId w:val="14"/>
  </w:num>
  <w:num w:numId="95">
    <w:abstractNumId w:val="29"/>
  </w:num>
  <w:num w:numId="96">
    <w:abstractNumId w:val="13"/>
  </w:num>
  <w:num w:numId="97">
    <w:abstractNumId w:val="16"/>
  </w:num>
  <w:num w:numId="98">
    <w:abstractNumId w:val="11"/>
  </w:num>
  <w:num w:numId="99">
    <w:abstractNumId w:val="28"/>
  </w:num>
  <w:num w:numId="100">
    <w:abstractNumId w:val="10"/>
  </w:num>
  <w:num w:numId="101">
    <w:abstractNumId w:val="17"/>
  </w:num>
  <w:num w:numId="102">
    <w:abstractNumId w:val="22"/>
  </w:num>
  <w:num w:numId="103">
    <w:abstractNumId w:val="23"/>
  </w:num>
  <w:num w:numId="104">
    <w:abstractNumId w:val="12"/>
  </w:num>
  <w:num w:numId="105">
    <w:abstractNumId w:val="21"/>
  </w:num>
  <w:num w:numId="106">
    <w:abstractNumId w:val="32"/>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removePersonalInformation/>
  <w:removeDateAndTime/>
  <w:hideSpellingErrors/>
  <w:hideGrammaticalErrors/>
  <w:proofState w:spelling="clean"/>
  <w:attachedTemplate r:id="rId1"/>
  <w:defaultTabStop w:val="720"/>
  <w:hyphenationZone w:val="425"/>
  <w:characterSpacingControl w:val="doNotCompress"/>
  <w:hdrShapeDefaults>
    <o:shapedefaults v:ext="edit" spidmax="1228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2-22 15:26:5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2"/>
    <w:docVar w:name="DQCResult_ModifiedMarkers" w:val="0;0"/>
    <w:docVar w:name="DQCResult_ModifiedNumbering" w:val="0;0"/>
    <w:docVar w:name="DQCResult_Objects" w:val="0;0"/>
    <w:docVar w:name="DQCResult_Sections" w:val="0;0"/>
    <w:docVar w:name="DQCResult_StructureCheck" w:val="0;0"/>
    <w:docVar w:name="DQCResult_SuperfluousWhitespace" w:val="0;111"/>
    <w:docVar w:name="DQCResult_UnknownFonts" w:val="0;0"/>
    <w:docVar w:name="DQCResult_UnknownStyles" w:val="0;2"/>
    <w:docVar w:name="DQCStatus" w:val="Yellow"/>
    <w:docVar w:name="DQCVersion" w:val="3"/>
    <w:docVar w:name="DQCWithWarnings" w:val="0"/>
    <w:docVar w:name="LW_CORRIGENDUM" w:val="CORRIGENDUM_x000b__x000b_This document corrects document COM(2017)477 final of 04.10.2017_x000b__x000b_Concerns all language versions._x000b__x000b_Correction of errors of a clerical nature, correction of some references and adding the title of an article._x000b__x000b_The text shall read as follows:"/>
    <w:docVar w:name="LW_COVERPAGE_EXISTS" w:val="True"/>
    <w:docVar w:name="LW_COVERPAGE_GUID" w:val="3A5F0A16-55BC-4DE7-A9A6-533C3FBF0C4F"/>
    <w:docVar w:name="LW_COVERPAGE_TYPE" w:val="1"/>
    <w:docVar w:name="LW_CROSSREFERENCE" w:val="{SWD(2017) 500 final}_x000d__x000a_{SWD(2017) 501 final}_x000d__x000a_{SWD(2017) 502 final}"/>
    <w:docVar w:name="LW_DocType" w:val="COM"/>
    <w:docVar w:name="LW_EMISSION" w:val="22.2.2018"/>
    <w:docVar w:name="LW_EMISSION_ISODATE" w:val="2018-02-22"/>
    <w:docVar w:name="LW_EMISSION_LOCATION" w:val="BRX"/>
    <w:docVar w:name="LW_EMISSION_PREFIX" w:val="Brüssel,"/>
    <w:docVar w:name="LW_EMISSION_SUFFIX" w:val=" "/>
    <w:docVar w:name="LW_ID_DOCMODEL" w:val="SJ-023"/>
    <w:docVar w:name="LW_ID_DOCSIGNATURE" w:val="SJ-023"/>
    <w:docVar w:name="LW_ID_DOCSTRUCTURE" w:val="COM/PL/ORG"/>
    <w:docVar w:name="LW_ID_DOCTYPE" w:val="SJ-023"/>
    <w:docVar w:name="LW_ID_STATUT" w:val="SJ-023"/>
    <w:docVar w:name="LW_INTERETEEE.CP" w:val="(EMPs kohaldatav teks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COD"/>
    <w:docVar w:name="LW_REF.II.NEW.CP_NUMBER" w:val="0225"/>
    <w:docVar w:name="LW_REF.II.NEW.CP_YEAR" w:val="2017"/>
    <w:docVar w:name="LW_REF.INST.NEW" w:val="COM"/>
    <w:docVar w:name="LW_REF.INST.NEW_ADOPTED" w:val="final/3"/>
    <w:docVar w:name="LW_REF.INST.NEW_TEXT" w:val="(2017) 47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Ettepanek:"/>
    <w:docVar w:name="LW_SUPERTITRE" w:val="&lt;UNUSED&gt;"/>
    <w:docVar w:name="LW_TITRE.OBJ.CP" w:val="mis käsitleb ENISAt ehk ELi küberturvalisuse ametit, millega tunnistatakse kehtetuks määrus (EL) nr 526/2013 ja mis käsitleb info- ja kommunikatsioonitehnoloogia küberturvalisuse sertifitseerimist (\u8222?küberturvalisust käsitlev õigusakt\u8220?)"/>
    <w:docVar w:name="LW_TYPE.DOC.CP" w:val="EUROOPA PARLAMENDI JA NÕUKOGU MÄÄRUS,"/>
  </w:docVars>
  <w:rsids>
    <w:rsidRoot w:val="00F4358D"/>
    <w:rsid w:val="00D1585A"/>
    <w:rsid w:val="00F43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List Bullet" w:uiPriority="0" w:qFormat="1"/>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9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9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9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9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2">
    <w:name w:val="List Bullet 2"/>
    <w:basedOn w:val="Normal"/>
    <w:pPr>
      <w:numPr>
        <w:numId w:val="5"/>
      </w:numPr>
    </w:pPr>
    <w:rPr>
      <w:rFonts w:eastAsia="Times New Roman"/>
    </w:rPr>
  </w:style>
  <w:style w:type="paragraph" w:styleId="ListBullet3">
    <w:name w:val="List Bullet 3"/>
    <w:basedOn w:val="Normal"/>
    <w:unhideWhenUsed/>
    <w:pPr>
      <w:numPr>
        <w:numId w:val="6"/>
      </w:numPr>
      <w:contextualSpacing/>
    </w:pPr>
  </w:style>
  <w:style w:type="paragraph" w:styleId="ListBullet4">
    <w:name w:val="List Bullet 4"/>
    <w:basedOn w:val="Normal"/>
    <w:unhideWhenUsed/>
    <w:pPr>
      <w:numPr>
        <w:numId w:val="7"/>
      </w:numPr>
      <w:contextualSpacing/>
    </w:pPr>
  </w:style>
  <w:style w:type="numbering" w:customStyle="1" w:styleId="NoList1">
    <w:name w:val="No List1"/>
    <w:next w:val="NoList"/>
    <w:uiPriority w:val="99"/>
    <w:semiHidden/>
    <w:unhideWhenUsed/>
  </w:style>
  <w:style w:type="paragraph" w:customStyle="1" w:styleId="addr">
    <w:name w:val="addr"/>
    <w:basedOn w:val="Normal"/>
    <w:pPr>
      <w:spacing w:before="0" w:after="0"/>
    </w:pPr>
    <w:rPr>
      <w:rFonts w:eastAsia="Times New Roman"/>
      <w:szCs w:val="24"/>
    </w:rPr>
  </w:style>
  <w:style w:type="paragraph" w:customStyle="1" w:styleId="center">
    <w:name w:val="center"/>
    <w:basedOn w:val="Normal"/>
    <w:pPr>
      <w:spacing w:after="0"/>
      <w:jc w:val="center"/>
    </w:pPr>
    <w:rPr>
      <w:rFonts w:eastAsia="Times New Roman"/>
      <w:szCs w:val="24"/>
    </w:rPr>
  </w:style>
  <w:style w:type="paragraph" w:customStyle="1" w:styleId="doc-ti">
    <w:name w:val="doc-ti"/>
    <w:basedOn w:val="Normal"/>
    <w:pPr>
      <w:spacing w:before="240"/>
      <w:jc w:val="center"/>
    </w:pPr>
    <w:rPr>
      <w:rFonts w:eastAsia="Times New Roman"/>
      <w:b/>
      <w:bCs/>
      <w:szCs w:val="24"/>
    </w:rPr>
  </w:style>
  <w:style w:type="paragraph" w:customStyle="1" w:styleId="edition">
    <w:name w:val="edition"/>
    <w:basedOn w:val="Normal"/>
    <w:pPr>
      <w:jc w:val="left"/>
    </w:pPr>
    <w:rPr>
      <w:rFonts w:eastAsia="Times New Roman"/>
      <w:szCs w:val="24"/>
    </w:rPr>
  </w:style>
  <w:style w:type="paragraph" w:customStyle="1" w:styleId="hd-date">
    <w:name w:val="hd-date"/>
    <w:basedOn w:val="Normal"/>
    <w:pPr>
      <w:jc w:val="left"/>
    </w:pPr>
    <w:rPr>
      <w:rFonts w:eastAsia="Times New Roman"/>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jc w:val="center"/>
    </w:pPr>
    <w:rPr>
      <w:rFonts w:eastAsia="Times New Roman"/>
      <w:szCs w:val="24"/>
    </w:rPr>
  </w:style>
  <w:style w:type="paragraph" w:customStyle="1" w:styleId="hd-oj">
    <w:name w:val="hd-oj"/>
    <w:basedOn w:val="Normal"/>
    <w:pPr>
      <w:jc w:val="right"/>
    </w:pPr>
    <w:rPr>
      <w:rFonts w:eastAsia="Times New Roman"/>
      <w:szCs w:val="24"/>
    </w:rPr>
  </w:style>
  <w:style w:type="paragraph" w:customStyle="1" w:styleId="hd-ti">
    <w:name w:val="hd-ti"/>
    <w:basedOn w:val="Normal"/>
    <w:pPr>
      <w:jc w:val="center"/>
    </w:pPr>
    <w:rPr>
      <w:rFonts w:eastAsia="Times New Roman"/>
      <w:szCs w:val="24"/>
    </w:rPr>
  </w:style>
  <w:style w:type="paragraph" w:customStyle="1" w:styleId="image">
    <w:name w:val="image"/>
    <w:basedOn w:val="Normal"/>
    <w:pPr>
      <w:jc w:val="center"/>
    </w:pPr>
    <w:rPr>
      <w:rFonts w:eastAsia="Times New Roman"/>
      <w:szCs w:val="24"/>
    </w:rPr>
  </w:style>
  <w:style w:type="paragraph" w:customStyle="1" w:styleId="issn">
    <w:name w:val="issn"/>
    <w:basedOn w:val="Normal"/>
    <w:pPr>
      <w:spacing w:before="240"/>
      <w:jc w:val="right"/>
    </w:pPr>
    <w:rPr>
      <w:rFonts w:eastAsia="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jc w:val="center"/>
    </w:pPr>
    <w:rPr>
      <w:rFonts w:eastAsia="Times New Roman"/>
      <w:b/>
      <w:bCs/>
      <w:sz w:val="72"/>
      <w:szCs w:val="72"/>
    </w:rPr>
  </w:style>
  <w:style w:type="paragraph" w:customStyle="1" w:styleId="no-doc-c">
    <w:name w:val="no-doc-c"/>
    <w:basedOn w:val="Normal"/>
    <w:pPr>
      <w:jc w:val="center"/>
    </w:pPr>
    <w:rPr>
      <w:rFonts w:eastAsia="Times New Roman"/>
      <w:szCs w:val="24"/>
    </w:rPr>
  </w:style>
  <w:style w:type="paragraph" w:customStyle="1" w:styleId="Normal1">
    <w:name w:val="Normal1"/>
    <w:basedOn w:val="Normal"/>
    <w:pPr>
      <w:spacing w:after="0"/>
    </w:pPr>
    <w:rPr>
      <w:rFonts w:eastAsia="Times New Roman"/>
      <w:szCs w:val="24"/>
    </w:rPr>
  </w:style>
  <w:style w:type="paragraph" w:customStyle="1" w:styleId="note">
    <w:name w:val="note"/>
    <w:basedOn w:val="Normal"/>
    <w:pPr>
      <w:spacing w:before="60" w:after="60"/>
    </w:pPr>
    <w:rPr>
      <w:rFonts w:eastAsia="Times New Roman"/>
      <w:sz w:val="19"/>
      <w:szCs w:val="19"/>
    </w:rPr>
  </w:style>
  <w:style w:type="paragraph" w:customStyle="1" w:styleId="separator">
    <w:name w:val="separator"/>
    <w:basedOn w:val="Normal"/>
    <w:pPr>
      <w:jc w:val="center"/>
    </w:pPr>
    <w:rPr>
      <w:rFonts w:eastAsia="Times New Roman"/>
      <w:szCs w:val="24"/>
    </w:rPr>
  </w:style>
  <w:style w:type="paragraph" w:customStyle="1" w:styleId="signatory">
    <w:name w:val="signatory"/>
    <w:basedOn w:val="Normal"/>
    <w:pPr>
      <w:spacing w:before="60" w:after="60"/>
      <w:jc w:val="center"/>
    </w:pPr>
    <w:rPr>
      <w:rFonts w:eastAsia="Times New Roman"/>
      <w:szCs w:val="24"/>
    </w:rPr>
  </w:style>
  <w:style w:type="paragraph" w:customStyle="1" w:styleId="sti-art">
    <w:name w:val="sti-art"/>
    <w:basedOn w:val="Normal"/>
    <w:pPr>
      <w:spacing w:before="60"/>
      <w:jc w:val="center"/>
    </w:pPr>
    <w:rPr>
      <w:rFonts w:eastAsia="Times New Roman"/>
      <w:b/>
      <w:bCs/>
      <w:szCs w:val="24"/>
    </w:rPr>
  </w:style>
  <w:style w:type="paragraph" w:customStyle="1" w:styleId="tbl-cod">
    <w:name w:val="tbl-cod"/>
    <w:basedOn w:val="Normal"/>
    <w:pPr>
      <w:spacing w:before="60" w:after="60"/>
      <w:ind w:right="195"/>
      <w:jc w:val="center"/>
    </w:pPr>
    <w:rPr>
      <w:rFonts w:eastAsia="Times New Roman"/>
      <w:sz w:val="22"/>
    </w:rPr>
  </w:style>
  <w:style w:type="paragraph" w:customStyle="1" w:styleId="tbl-hdr">
    <w:name w:val="tbl-hdr"/>
    <w:basedOn w:val="Normal"/>
    <w:pPr>
      <w:spacing w:before="60" w:after="60"/>
      <w:ind w:right="195"/>
      <w:jc w:val="center"/>
    </w:pPr>
    <w:rPr>
      <w:rFonts w:eastAsia="Times New Roman"/>
      <w:b/>
      <w:bCs/>
      <w:sz w:val="22"/>
    </w:rPr>
  </w:style>
  <w:style w:type="paragraph" w:customStyle="1" w:styleId="tbl-notcol">
    <w:name w:val="tbl-notcol"/>
    <w:basedOn w:val="Normal"/>
    <w:pPr>
      <w:spacing w:before="60" w:after="60"/>
      <w:jc w:val="right"/>
    </w:pPr>
    <w:rPr>
      <w:rFonts w:eastAsia="Times New Roman"/>
      <w:sz w:val="22"/>
    </w:rPr>
  </w:style>
  <w:style w:type="paragraph" w:customStyle="1" w:styleId="tbl-num">
    <w:name w:val="tbl-num"/>
    <w:basedOn w:val="Normal"/>
    <w:pPr>
      <w:spacing w:before="60" w:after="60"/>
      <w:ind w:right="195"/>
      <w:jc w:val="right"/>
    </w:pPr>
    <w:rPr>
      <w:rFonts w:eastAsia="Times New Roman"/>
      <w:sz w:val="22"/>
    </w:rPr>
  </w:style>
  <w:style w:type="paragraph" w:customStyle="1" w:styleId="tbl-txt">
    <w:name w:val="tbl-txt"/>
    <w:basedOn w:val="Normal"/>
    <w:pPr>
      <w:spacing w:before="60" w:after="60"/>
      <w:jc w:val="left"/>
    </w:pPr>
    <w:rPr>
      <w:rFonts w:eastAsia="Times New Roman"/>
      <w:sz w:val="22"/>
    </w:rPr>
  </w:style>
  <w:style w:type="paragraph" w:customStyle="1" w:styleId="text-l">
    <w:name w:val="text-l"/>
    <w:basedOn w:val="Normal"/>
    <w:pPr>
      <w:spacing w:before="60" w:after="60"/>
    </w:pPr>
    <w:rPr>
      <w:rFonts w:eastAsia="Times New Roman"/>
      <w:szCs w:val="24"/>
    </w:rPr>
  </w:style>
  <w:style w:type="paragraph" w:customStyle="1" w:styleId="ti-annotation">
    <w:name w:val="ti-annotation"/>
    <w:basedOn w:val="Normal"/>
    <w:pPr>
      <w:spacing w:after="0"/>
      <w:jc w:val="left"/>
    </w:pPr>
    <w:rPr>
      <w:rFonts w:eastAsia="Times New Roman"/>
      <w:i/>
      <w:iCs/>
      <w:szCs w:val="24"/>
    </w:rPr>
  </w:style>
  <w:style w:type="paragraph" w:customStyle="1" w:styleId="ti-art">
    <w:name w:val="ti-art"/>
    <w:basedOn w:val="Normal"/>
    <w:pPr>
      <w:spacing w:before="360"/>
      <w:jc w:val="center"/>
    </w:pPr>
    <w:rPr>
      <w:rFonts w:eastAsia="Times New Roman"/>
      <w:i/>
      <w:iCs/>
      <w:szCs w:val="24"/>
    </w:rPr>
  </w:style>
  <w:style w:type="paragraph" w:customStyle="1" w:styleId="ti-coll">
    <w:name w:val="ti-coll"/>
    <w:basedOn w:val="Normal"/>
    <w:pPr>
      <w:jc w:val="left"/>
    </w:pPr>
    <w:rPr>
      <w:rFonts w:eastAsia="Times New Roman"/>
      <w:sz w:val="36"/>
      <w:szCs w:val="36"/>
    </w:rPr>
  </w:style>
  <w:style w:type="paragraph" w:customStyle="1" w:styleId="ti-doc-dur">
    <w:name w:val="ti-doc-dur"/>
    <w:basedOn w:val="Normal"/>
    <w:pPr>
      <w:spacing w:before="180"/>
    </w:pPr>
    <w:rPr>
      <w:rFonts w:eastAsia="Times New Roman"/>
      <w:b/>
      <w:bCs/>
      <w:sz w:val="26"/>
      <w:szCs w:val="26"/>
    </w:rPr>
  </w:style>
  <w:style w:type="paragraph" w:customStyle="1" w:styleId="ti-doc-dur-assoc">
    <w:name w:val="ti-doc-dur-assoc"/>
    <w:basedOn w:val="Normal"/>
    <w:pPr>
      <w:spacing w:before="180"/>
    </w:pPr>
    <w:rPr>
      <w:rFonts w:eastAsia="Times New Roman"/>
      <w:b/>
      <w:bCs/>
      <w:sz w:val="26"/>
      <w:szCs w:val="26"/>
    </w:rPr>
  </w:style>
  <w:style w:type="paragraph" w:customStyle="1" w:styleId="ti-doc-dur-num">
    <w:name w:val="ti-doc-dur-num"/>
    <w:basedOn w:val="Normal"/>
    <w:pPr>
      <w:spacing w:before="180" w:after="0"/>
      <w:jc w:val="left"/>
    </w:pPr>
    <w:rPr>
      <w:rFonts w:eastAsia="Times New Roman"/>
      <w:b/>
      <w:bCs/>
      <w:sz w:val="26"/>
      <w:szCs w:val="26"/>
    </w:rPr>
  </w:style>
  <w:style w:type="paragraph" w:customStyle="1" w:styleId="ti-doc-dur-star">
    <w:name w:val="ti-doc-dur-star"/>
    <w:basedOn w:val="Normal"/>
    <w:pPr>
      <w:spacing w:before="180"/>
      <w:jc w:val="center"/>
    </w:pPr>
    <w:rPr>
      <w:rFonts w:eastAsia="Times New Roman"/>
      <w:b/>
      <w:bCs/>
      <w:sz w:val="26"/>
      <w:szCs w:val="26"/>
    </w:rPr>
  </w:style>
  <w:style w:type="paragraph" w:customStyle="1" w:styleId="ti-doc-eph">
    <w:name w:val="ti-doc-eph"/>
    <w:basedOn w:val="Normal"/>
    <w:pPr>
      <w:spacing w:before="180"/>
    </w:pPr>
    <w:rPr>
      <w:rFonts w:eastAsia="Times New Roman"/>
      <w:sz w:val="26"/>
      <w:szCs w:val="26"/>
    </w:rPr>
  </w:style>
  <w:style w:type="paragraph" w:customStyle="1" w:styleId="ti-grseq-1">
    <w:name w:val="ti-grseq-1"/>
    <w:basedOn w:val="Normal"/>
    <w:pPr>
      <w:spacing w:before="240"/>
    </w:pPr>
    <w:rPr>
      <w:rFonts w:eastAsia="Times New Roman"/>
      <w:b/>
      <w:bCs/>
      <w:szCs w:val="24"/>
    </w:rPr>
  </w:style>
  <w:style w:type="paragraph" w:customStyle="1" w:styleId="ti-grseq-toc">
    <w:name w:val="ti-grseq-toc"/>
    <w:basedOn w:val="Normal"/>
    <w:pPr>
      <w:spacing w:before="240"/>
      <w:jc w:val="center"/>
    </w:pPr>
    <w:rPr>
      <w:rFonts w:eastAsia="Times New Roman"/>
      <w:i/>
      <w:iCs/>
      <w:szCs w:val="24"/>
    </w:rPr>
  </w:style>
  <w:style w:type="paragraph" w:customStyle="1" w:styleId="ti-oj-1">
    <w:name w:val="ti-oj-1"/>
    <w:basedOn w:val="Normal"/>
    <w:pPr>
      <w:spacing w:after="0"/>
      <w:jc w:val="left"/>
    </w:pPr>
    <w:rPr>
      <w:rFonts w:eastAsia="Times New Roman"/>
      <w:b/>
      <w:bCs/>
      <w:sz w:val="72"/>
      <w:szCs w:val="72"/>
    </w:rPr>
  </w:style>
  <w:style w:type="paragraph" w:customStyle="1" w:styleId="ti-oj-2">
    <w:name w:val="ti-oj-2"/>
    <w:basedOn w:val="Normal"/>
    <w:pPr>
      <w:jc w:val="left"/>
    </w:pPr>
    <w:rPr>
      <w:rFonts w:eastAsia="Times New Roman"/>
      <w:sz w:val="48"/>
      <w:szCs w:val="48"/>
    </w:rPr>
  </w:style>
  <w:style w:type="paragraph" w:customStyle="1" w:styleId="ti-oj-3">
    <w:name w:val="ti-oj-3"/>
    <w:basedOn w:val="Normal"/>
    <w:pPr>
      <w:spacing w:after="0"/>
      <w:jc w:val="right"/>
    </w:pPr>
    <w:rPr>
      <w:rFonts w:eastAsia="Times New Roman"/>
      <w:b/>
      <w:bCs/>
      <w:sz w:val="72"/>
      <w:szCs w:val="72"/>
    </w:rPr>
  </w:style>
  <w:style w:type="paragraph" w:customStyle="1" w:styleId="ti-sect-1-n">
    <w:name w:val="ti-sect-1-n"/>
    <w:basedOn w:val="Normal"/>
    <w:pPr>
      <w:jc w:val="left"/>
    </w:pPr>
    <w:rPr>
      <w:rFonts w:eastAsia="Times New Roman"/>
      <w:sz w:val="26"/>
      <w:szCs w:val="26"/>
    </w:rPr>
  </w:style>
  <w:style w:type="paragraph" w:customStyle="1" w:styleId="ti-sect-1-t">
    <w:name w:val="ti-sect-1-t"/>
    <w:basedOn w:val="Normal"/>
    <w:pPr>
      <w:jc w:val="left"/>
    </w:pPr>
    <w:rPr>
      <w:rFonts w:eastAsia="Times New Roman"/>
      <w:i/>
      <w:iCs/>
      <w:sz w:val="26"/>
      <w:szCs w:val="26"/>
    </w:rPr>
  </w:style>
  <w:style w:type="paragraph" w:customStyle="1" w:styleId="ti-sect-2">
    <w:name w:val="ti-sect-2"/>
    <w:basedOn w:val="Normal"/>
    <w:pPr>
      <w:jc w:val="left"/>
    </w:pPr>
    <w:rPr>
      <w:rFonts w:eastAsia="Times New Roman"/>
      <w:sz w:val="26"/>
      <w:szCs w:val="26"/>
    </w:rPr>
  </w:style>
  <w:style w:type="paragraph" w:customStyle="1" w:styleId="ti-section-1">
    <w:name w:val="ti-section-1"/>
    <w:basedOn w:val="Normal"/>
    <w:pPr>
      <w:spacing w:before="480" w:after="0"/>
      <w:jc w:val="center"/>
    </w:pPr>
    <w:rPr>
      <w:rFonts w:eastAsia="Times New Roman"/>
      <w:b/>
      <w:bCs/>
      <w:szCs w:val="24"/>
    </w:rPr>
  </w:style>
  <w:style w:type="paragraph" w:customStyle="1" w:styleId="ti-section-2">
    <w:name w:val="ti-section-2"/>
    <w:basedOn w:val="Normal"/>
    <w:pPr>
      <w:spacing w:before="75"/>
      <w:jc w:val="center"/>
    </w:pPr>
    <w:rPr>
      <w:rFonts w:eastAsia="Times New Roman"/>
      <w:b/>
      <w:bCs/>
      <w:szCs w:val="24"/>
    </w:rPr>
  </w:style>
  <w:style w:type="paragraph" w:customStyle="1" w:styleId="ti-tbl">
    <w:name w:val="ti-tbl"/>
    <w:basedOn w:val="Normal"/>
    <w:pPr>
      <w:jc w:val="center"/>
    </w:pPr>
    <w:rPr>
      <w:rFonts w:eastAsia="Times New Roman"/>
      <w:szCs w:val="24"/>
    </w:rPr>
  </w:style>
  <w:style w:type="paragraph" w:customStyle="1" w:styleId="year-date">
    <w:name w:val="year-date"/>
    <w:basedOn w:val="Normal"/>
    <w:pPr>
      <w:jc w:val="right"/>
    </w:pPr>
    <w:rPr>
      <w:rFonts w:eastAsia="Times New Roman"/>
      <w:b/>
      <w:bCs/>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rFonts w:eastAsia="Times New Roman"/>
      <w:szCs w:val="24"/>
    </w:rPr>
  </w:style>
  <w:style w:type="paragraph" w:customStyle="1" w:styleId="ti-info">
    <w:name w:val="ti-info"/>
    <w:basedOn w:val="Normal"/>
    <w:pPr>
      <w:spacing w:before="100" w:beforeAutospacing="1" w:after="100" w:afterAutospacing="1"/>
      <w:jc w:val="left"/>
    </w:pPr>
    <w:rPr>
      <w:rFonts w:eastAsia="Times New Roman"/>
      <w:szCs w:val="24"/>
      <w:u w:val="single"/>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styleId="FollowedHyperlink">
    <w:name w:val="FollowedHyperlink"/>
    <w:basedOn w:val="DefaultParagraphFont"/>
    <w:unhideWhenUsed/>
    <w:rPr>
      <w:color w:val="800080"/>
      <w:u w:val="single"/>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et-EE"/>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b/>
      <w:bCs/>
      <w:sz w:val="20"/>
      <w:szCs w:val="20"/>
      <w:lang w:val="et-EE"/>
    </w:rPr>
  </w:style>
  <w:style w:type="paragraph" w:styleId="Revision">
    <w:name w:val="Revision"/>
    <w:hidden/>
    <w:uiPriority w:val="99"/>
    <w:semiHidden/>
    <w:pPr>
      <w:spacing w:after="0" w:line="240" w:lineRule="auto"/>
    </w:pPr>
  </w:style>
  <w:style w:type="paragraph" w:styleId="BalloonText">
    <w:name w:val="Balloon Text"/>
    <w:basedOn w:val="Normal"/>
    <w:link w:val="BalloonTextChar"/>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t-EE"/>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NormalWeb">
    <w:name w:val="Normal (Web)"/>
    <w:basedOn w:val="Normal"/>
    <w:uiPriority w:val="99"/>
    <w:unhideWhenUsed/>
    <w:pPr>
      <w:spacing w:before="0" w:after="200" w:line="276" w:lineRule="auto"/>
      <w:jc w:val="left"/>
    </w:pPr>
    <w:rPr>
      <w:szCs w:val="24"/>
    </w:r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paragraph" w:customStyle="1" w:styleId="norm3">
    <w:name w:val="norm3"/>
    <w:basedOn w:val="Normal"/>
    <w:pPr>
      <w:spacing w:after="0" w:line="312" w:lineRule="atLeast"/>
    </w:pPr>
    <w:rPr>
      <w:rFonts w:eastAsia="Times New Roman"/>
      <w:szCs w:val="24"/>
    </w:rPr>
  </w:style>
  <w:style w:type="paragraph" w:customStyle="1" w:styleId="Normal2">
    <w:name w:val="Normal2"/>
    <w:basedOn w:val="Normal"/>
    <w:pPr>
      <w:spacing w:after="0"/>
    </w:pPr>
    <w:rPr>
      <w:rFonts w:eastAsia="Times New Roman"/>
      <w:szCs w:val="24"/>
    </w:rPr>
  </w:style>
  <w:style w:type="character" w:customStyle="1" w:styleId="tgc">
    <w:name w:val="_tgc"/>
    <w:basedOn w:val="DefaultParagraphFont"/>
  </w:style>
  <w:style w:type="paragraph" w:customStyle="1" w:styleId="Fichefinancirestandardtitre">
    <w:name w:val="Fiche financière (standard) titre"/>
    <w:basedOn w:val="Normal"/>
    <w:next w:val="Normal"/>
    <w:pPr>
      <w:jc w:val="center"/>
    </w:pPr>
    <w:rPr>
      <w:rFonts w:eastAsia="Times New Roman"/>
      <w:b/>
      <w:u w:val="single"/>
    </w:rPr>
  </w:style>
  <w:style w:type="paragraph" w:styleId="Caption">
    <w:name w:val="caption"/>
    <w:basedOn w:val="Normal"/>
    <w:next w:val="Normal"/>
    <w:qFormat/>
    <w:rPr>
      <w:rFonts w:eastAsia="Times New Roman"/>
      <w:b/>
      <w:bCs/>
      <w:sz w:val="20"/>
    </w:rPr>
  </w:style>
  <w:style w:type="paragraph" w:styleId="TableofFigures">
    <w:name w:val="table of figures"/>
    <w:basedOn w:val="Normal"/>
    <w:next w:val="Normal"/>
    <w:rPr>
      <w:rFonts w:eastAsia="Times New Roman"/>
    </w:rPr>
  </w:style>
  <w:style w:type="paragraph" w:styleId="ListNumber2">
    <w:name w:val="List Number 2"/>
    <w:basedOn w:val="Normal"/>
    <w:pPr>
      <w:numPr>
        <w:numId w:val="9"/>
      </w:numPr>
      <w:contextualSpacing/>
    </w:pPr>
    <w:rPr>
      <w:rFonts w:eastAsia="Times New Roman"/>
    </w:rPr>
  </w:style>
  <w:style w:type="paragraph" w:styleId="ListNumber3">
    <w:name w:val="List Number 3"/>
    <w:basedOn w:val="Normal"/>
    <w:pPr>
      <w:numPr>
        <w:numId w:val="10"/>
      </w:numPr>
      <w:contextualSpacing/>
    </w:pPr>
    <w:rPr>
      <w:rFonts w:eastAsia="Times New Roman"/>
    </w:rPr>
  </w:style>
  <w:style w:type="paragraph" w:styleId="ListNumber4">
    <w:name w:val="List Number 4"/>
    <w:basedOn w:val="Normal"/>
    <w:pPr>
      <w:numPr>
        <w:numId w:val="11"/>
      </w:numPr>
      <w:contextualSpacing/>
    </w:pPr>
    <w:rPr>
      <w:rFonts w:eastAsia="Times New Roman"/>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TableBullet">
    <w:name w:val="TableBullet"/>
    <w:basedOn w:val="Normal"/>
    <w:uiPriority w:val="6"/>
    <w:qFormat/>
    <w:pPr>
      <w:numPr>
        <w:numId w:val="16"/>
      </w:numPr>
      <w:spacing w:before="0" w:after="0" w:line="220" w:lineRule="atLeast"/>
      <w:ind w:right="57"/>
      <w:jc w:val="left"/>
    </w:pPr>
    <w:rPr>
      <w:rFonts w:ascii="Arial" w:eastAsia="Calibri" w:hAnsi="Arial"/>
      <w:sz w:val="18"/>
      <w:szCs w:val="24"/>
    </w:rPr>
  </w:style>
  <w:style w:type="numbering" w:customStyle="1" w:styleId="NumbLstTableBullet">
    <w:name w:val="NumbLstTableBullet"/>
    <w:uiPriority w:val="99"/>
    <w:pPr>
      <w:numPr>
        <w:numId w:val="15"/>
      </w:numPr>
    </w:pPr>
  </w:style>
  <w:style w:type="paragraph" w:styleId="ListNumber5">
    <w:name w:val="List Number 5"/>
    <w:basedOn w:val="Normal"/>
    <w:pPr>
      <w:numPr>
        <w:numId w:val="18"/>
      </w:numPr>
      <w:spacing w:before="0" w:after="240"/>
    </w:pPr>
    <w:rPr>
      <w:rFonts w:eastAsia="Times New Roman"/>
      <w:szCs w:val="20"/>
    </w:rPr>
  </w:style>
  <w:style w:type="paragraph" w:styleId="ListBullet5">
    <w:name w:val="List Bullet 5"/>
    <w:basedOn w:val="Normal"/>
    <w:autoRedefine/>
    <w:pPr>
      <w:numPr>
        <w:numId w:val="19"/>
      </w:numPr>
      <w:spacing w:before="0" w:after="240"/>
    </w:pPr>
    <w:rPr>
      <w:rFonts w:eastAsia="Times New Roman"/>
      <w:szCs w:val="20"/>
    </w:rPr>
  </w:style>
  <w:style w:type="paragraph" w:customStyle="1" w:styleId="a3520normalp17">
    <w:name w:val="a__35__20_normal_p17"/>
    <w:basedOn w:val="Normal"/>
    <w:pPr>
      <w:spacing w:before="100" w:beforeAutospacing="1" w:after="100" w:afterAutospacing="1"/>
      <w:jc w:val="left"/>
    </w:pPr>
    <w:rPr>
      <w:rFonts w:eastAsia="Times New Roman"/>
      <w:szCs w:val="24"/>
    </w:rPr>
  </w:style>
  <w:style w:type="paragraph" w:styleId="Title">
    <w:name w:val="Title"/>
    <w:basedOn w:val="Normal"/>
    <w:next w:val="Normal"/>
    <w:link w:val="TitleChar"/>
    <w:uiPriority w:val="10"/>
    <w:qFormat/>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et-EE"/>
    </w:rPr>
  </w:style>
  <w:style w:type="paragraph" w:customStyle="1" w:styleId="article">
    <w:name w:val="article"/>
    <w:basedOn w:val="Normal"/>
    <w:pPr>
      <w:spacing w:before="360"/>
      <w:jc w:val="center"/>
    </w:pPr>
    <w:rPr>
      <w:rFonts w:eastAsia="Times New Roman"/>
      <w:i/>
      <w:iCs/>
      <w:color w:val="000000"/>
      <w:szCs w:val="24"/>
    </w:rPr>
  </w:style>
  <w:style w:type="paragraph" w:customStyle="1" w:styleId="Let">
    <w:name w:val="Let"/>
    <w:basedOn w:val="Point0letter"/>
  </w:style>
  <w:style w:type="paragraph" w:customStyle="1" w:styleId="Tiret11">
    <w:name w:val="Tiret 11"/>
    <w:basedOn w:val="ListDash1"/>
    <w:pPr>
      <w:numPr>
        <w:numId w:val="8"/>
      </w:numPr>
    </w:pPr>
  </w:style>
  <w:style w:type="paragraph" w:customStyle="1" w:styleId="noral">
    <w:name w:val="noral"/>
    <w:basedOn w:val="Bullet0"/>
    <w:pPr>
      <w:numPr>
        <w:numId w:val="0"/>
      </w:numPr>
      <w:ind w:left="850"/>
    </w:pPr>
  </w:style>
  <w:style w:type="paragraph" w:styleId="ListBullet">
    <w:name w:val="List Bullet"/>
    <w:basedOn w:val="Normal"/>
    <w:semiHidden/>
    <w:unhideWhenUsed/>
    <w:qFormat/>
    <w:pPr>
      <w:numPr>
        <w:numId w:val="92"/>
      </w:numPr>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D1585A"/>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D1585A"/>
    <w:rPr>
      <w:rFonts w:ascii="Times New Roman" w:hAnsi="Times New Roman" w:cs="Times New Roman"/>
      <w:sz w:val="24"/>
      <w:lang w:eastAsia="en-US" w:bidi="ar-SA"/>
    </w:rPr>
  </w:style>
  <w:style w:type="paragraph" w:styleId="Footer">
    <w:name w:val="footer"/>
    <w:basedOn w:val="Normal"/>
    <w:link w:val="FooterChar"/>
    <w:uiPriority w:val="99"/>
    <w:unhideWhenUsed/>
    <w:rsid w:val="00D1585A"/>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D1585A"/>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D1585A"/>
    <w:pPr>
      <w:tabs>
        <w:tab w:val="center" w:pos="7285"/>
        <w:tab w:val="right" w:pos="14003"/>
      </w:tabs>
      <w:spacing w:before="0"/>
    </w:pPr>
    <w:rPr>
      <w:lang w:eastAsia="en-US" w:bidi="ar-SA"/>
    </w:rPr>
  </w:style>
  <w:style w:type="paragraph" w:customStyle="1" w:styleId="FooterLandscape">
    <w:name w:val="FooterLandscape"/>
    <w:basedOn w:val="Normal"/>
    <w:rsid w:val="00D1585A"/>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3"/>
      </w:numPr>
    </w:pPr>
  </w:style>
  <w:style w:type="paragraph" w:customStyle="1" w:styleId="Tiret1">
    <w:name w:val="Tiret 1"/>
    <w:basedOn w:val="Point1"/>
    <w:pPr>
      <w:numPr>
        <w:numId w:val="94"/>
      </w:numPr>
    </w:pPr>
  </w:style>
  <w:style w:type="paragraph" w:customStyle="1" w:styleId="Tiret2">
    <w:name w:val="Tiret 2"/>
    <w:basedOn w:val="Point2"/>
    <w:pPr>
      <w:numPr>
        <w:numId w:val="95"/>
      </w:numPr>
    </w:pPr>
  </w:style>
  <w:style w:type="paragraph" w:customStyle="1" w:styleId="Tiret3">
    <w:name w:val="Tiret 3"/>
    <w:basedOn w:val="Point3"/>
    <w:pPr>
      <w:numPr>
        <w:numId w:val="96"/>
      </w:numPr>
    </w:pPr>
  </w:style>
  <w:style w:type="paragraph" w:customStyle="1" w:styleId="Tiret4">
    <w:name w:val="Tiret 4"/>
    <w:basedOn w:val="Point4"/>
    <w:pPr>
      <w:numPr>
        <w:numId w:val="9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98"/>
      </w:numPr>
    </w:pPr>
  </w:style>
  <w:style w:type="paragraph" w:customStyle="1" w:styleId="NumPar2">
    <w:name w:val="NumPar 2"/>
    <w:basedOn w:val="Normal"/>
    <w:next w:val="Text1"/>
    <w:pPr>
      <w:numPr>
        <w:ilvl w:val="1"/>
        <w:numId w:val="98"/>
      </w:numPr>
    </w:pPr>
  </w:style>
  <w:style w:type="paragraph" w:customStyle="1" w:styleId="NumPar3">
    <w:name w:val="NumPar 3"/>
    <w:basedOn w:val="Normal"/>
    <w:next w:val="Text1"/>
    <w:pPr>
      <w:numPr>
        <w:ilvl w:val="2"/>
        <w:numId w:val="98"/>
      </w:numPr>
    </w:pPr>
  </w:style>
  <w:style w:type="paragraph" w:customStyle="1" w:styleId="NumPar4">
    <w:name w:val="NumPar 4"/>
    <w:basedOn w:val="Normal"/>
    <w:next w:val="Text1"/>
    <w:pPr>
      <w:numPr>
        <w:ilvl w:val="3"/>
        <w:numId w:val="9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00"/>
      </w:numPr>
    </w:pPr>
  </w:style>
  <w:style w:type="paragraph" w:customStyle="1" w:styleId="Point1number">
    <w:name w:val="Point 1 (number)"/>
    <w:basedOn w:val="Normal"/>
    <w:pPr>
      <w:numPr>
        <w:ilvl w:val="2"/>
        <w:numId w:val="100"/>
      </w:numPr>
    </w:pPr>
  </w:style>
  <w:style w:type="paragraph" w:customStyle="1" w:styleId="Point2number">
    <w:name w:val="Point 2 (number)"/>
    <w:basedOn w:val="Normal"/>
    <w:pPr>
      <w:numPr>
        <w:ilvl w:val="4"/>
        <w:numId w:val="100"/>
      </w:numPr>
    </w:pPr>
  </w:style>
  <w:style w:type="paragraph" w:customStyle="1" w:styleId="Point3number">
    <w:name w:val="Point 3 (number)"/>
    <w:basedOn w:val="Normal"/>
    <w:pPr>
      <w:numPr>
        <w:ilvl w:val="6"/>
        <w:numId w:val="100"/>
      </w:numPr>
    </w:pPr>
  </w:style>
  <w:style w:type="paragraph" w:customStyle="1" w:styleId="Point0letter">
    <w:name w:val="Point 0 (letter)"/>
    <w:basedOn w:val="Normal"/>
    <w:pPr>
      <w:numPr>
        <w:ilvl w:val="1"/>
        <w:numId w:val="100"/>
      </w:numPr>
    </w:pPr>
  </w:style>
  <w:style w:type="paragraph" w:customStyle="1" w:styleId="Point1letter">
    <w:name w:val="Point 1 (letter)"/>
    <w:basedOn w:val="Normal"/>
    <w:pPr>
      <w:numPr>
        <w:ilvl w:val="3"/>
        <w:numId w:val="100"/>
      </w:numPr>
    </w:pPr>
  </w:style>
  <w:style w:type="paragraph" w:customStyle="1" w:styleId="Point2letter">
    <w:name w:val="Point 2 (letter)"/>
    <w:basedOn w:val="Normal"/>
    <w:pPr>
      <w:numPr>
        <w:ilvl w:val="5"/>
        <w:numId w:val="100"/>
      </w:numPr>
    </w:pPr>
  </w:style>
  <w:style w:type="paragraph" w:customStyle="1" w:styleId="Point3letter">
    <w:name w:val="Point 3 (letter)"/>
    <w:basedOn w:val="Normal"/>
    <w:pPr>
      <w:numPr>
        <w:ilvl w:val="7"/>
        <w:numId w:val="100"/>
      </w:numPr>
    </w:pPr>
  </w:style>
  <w:style w:type="paragraph" w:customStyle="1" w:styleId="Point4letter">
    <w:name w:val="Point 4 (letter)"/>
    <w:basedOn w:val="Normal"/>
    <w:pPr>
      <w:numPr>
        <w:ilvl w:val="8"/>
        <w:numId w:val="100"/>
      </w:numPr>
    </w:pPr>
  </w:style>
  <w:style w:type="paragraph" w:customStyle="1" w:styleId="Bullet0">
    <w:name w:val="Bullet 0"/>
    <w:basedOn w:val="Normal"/>
    <w:pPr>
      <w:numPr>
        <w:numId w:val="101"/>
      </w:numPr>
    </w:pPr>
  </w:style>
  <w:style w:type="paragraph" w:customStyle="1" w:styleId="Bullet1">
    <w:name w:val="Bullet 1"/>
    <w:basedOn w:val="Normal"/>
    <w:pPr>
      <w:numPr>
        <w:numId w:val="102"/>
      </w:numPr>
    </w:pPr>
  </w:style>
  <w:style w:type="paragraph" w:customStyle="1" w:styleId="Bullet2">
    <w:name w:val="Bullet 2"/>
    <w:basedOn w:val="Normal"/>
    <w:pPr>
      <w:numPr>
        <w:numId w:val="103"/>
      </w:numPr>
    </w:pPr>
  </w:style>
  <w:style w:type="paragraph" w:customStyle="1" w:styleId="Bullet3">
    <w:name w:val="Bullet 3"/>
    <w:basedOn w:val="Normal"/>
    <w:pPr>
      <w:numPr>
        <w:numId w:val="104"/>
      </w:numPr>
    </w:pPr>
  </w:style>
  <w:style w:type="paragraph" w:customStyle="1" w:styleId="Bullet4">
    <w:name w:val="Bullet 4"/>
    <w:basedOn w:val="Normal"/>
    <w:pPr>
      <w:numPr>
        <w:numId w:val="10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0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List Bullet" w:uiPriority="0" w:qFormat="1"/>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9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9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9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9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2">
    <w:name w:val="List Bullet 2"/>
    <w:basedOn w:val="Normal"/>
    <w:pPr>
      <w:numPr>
        <w:numId w:val="5"/>
      </w:numPr>
    </w:pPr>
    <w:rPr>
      <w:rFonts w:eastAsia="Times New Roman"/>
    </w:rPr>
  </w:style>
  <w:style w:type="paragraph" w:styleId="ListBullet3">
    <w:name w:val="List Bullet 3"/>
    <w:basedOn w:val="Normal"/>
    <w:unhideWhenUsed/>
    <w:pPr>
      <w:numPr>
        <w:numId w:val="6"/>
      </w:numPr>
      <w:contextualSpacing/>
    </w:pPr>
  </w:style>
  <w:style w:type="paragraph" w:styleId="ListBullet4">
    <w:name w:val="List Bullet 4"/>
    <w:basedOn w:val="Normal"/>
    <w:unhideWhenUsed/>
    <w:pPr>
      <w:numPr>
        <w:numId w:val="7"/>
      </w:numPr>
      <w:contextualSpacing/>
    </w:pPr>
  </w:style>
  <w:style w:type="numbering" w:customStyle="1" w:styleId="NoList1">
    <w:name w:val="No List1"/>
    <w:next w:val="NoList"/>
    <w:uiPriority w:val="99"/>
    <w:semiHidden/>
    <w:unhideWhenUsed/>
  </w:style>
  <w:style w:type="paragraph" w:customStyle="1" w:styleId="addr">
    <w:name w:val="addr"/>
    <w:basedOn w:val="Normal"/>
    <w:pPr>
      <w:spacing w:before="0" w:after="0"/>
    </w:pPr>
    <w:rPr>
      <w:rFonts w:eastAsia="Times New Roman"/>
      <w:szCs w:val="24"/>
    </w:rPr>
  </w:style>
  <w:style w:type="paragraph" w:customStyle="1" w:styleId="center">
    <w:name w:val="center"/>
    <w:basedOn w:val="Normal"/>
    <w:pPr>
      <w:spacing w:after="0"/>
      <w:jc w:val="center"/>
    </w:pPr>
    <w:rPr>
      <w:rFonts w:eastAsia="Times New Roman"/>
      <w:szCs w:val="24"/>
    </w:rPr>
  </w:style>
  <w:style w:type="paragraph" w:customStyle="1" w:styleId="doc-ti">
    <w:name w:val="doc-ti"/>
    <w:basedOn w:val="Normal"/>
    <w:pPr>
      <w:spacing w:before="240"/>
      <w:jc w:val="center"/>
    </w:pPr>
    <w:rPr>
      <w:rFonts w:eastAsia="Times New Roman"/>
      <w:b/>
      <w:bCs/>
      <w:szCs w:val="24"/>
    </w:rPr>
  </w:style>
  <w:style w:type="paragraph" w:customStyle="1" w:styleId="edition">
    <w:name w:val="edition"/>
    <w:basedOn w:val="Normal"/>
    <w:pPr>
      <w:jc w:val="left"/>
    </w:pPr>
    <w:rPr>
      <w:rFonts w:eastAsia="Times New Roman"/>
      <w:szCs w:val="24"/>
    </w:rPr>
  </w:style>
  <w:style w:type="paragraph" w:customStyle="1" w:styleId="hd-date">
    <w:name w:val="hd-date"/>
    <w:basedOn w:val="Normal"/>
    <w:pPr>
      <w:jc w:val="left"/>
    </w:pPr>
    <w:rPr>
      <w:rFonts w:eastAsia="Times New Roman"/>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jc w:val="center"/>
    </w:pPr>
    <w:rPr>
      <w:rFonts w:eastAsia="Times New Roman"/>
      <w:szCs w:val="24"/>
    </w:rPr>
  </w:style>
  <w:style w:type="paragraph" w:customStyle="1" w:styleId="hd-oj">
    <w:name w:val="hd-oj"/>
    <w:basedOn w:val="Normal"/>
    <w:pPr>
      <w:jc w:val="right"/>
    </w:pPr>
    <w:rPr>
      <w:rFonts w:eastAsia="Times New Roman"/>
      <w:szCs w:val="24"/>
    </w:rPr>
  </w:style>
  <w:style w:type="paragraph" w:customStyle="1" w:styleId="hd-ti">
    <w:name w:val="hd-ti"/>
    <w:basedOn w:val="Normal"/>
    <w:pPr>
      <w:jc w:val="center"/>
    </w:pPr>
    <w:rPr>
      <w:rFonts w:eastAsia="Times New Roman"/>
      <w:szCs w:val="24"/>
    </w:rPr>
  </w:style>
  <w:style w:type="paragraph" w:customStyle="1" w:styleId="image">
    <w:name w:val="image"/>
    <w:basedOn w:val="Normal"/>
    <w:pPr>
      <w:jc w:val="center"/>
    </w:pPr>
    <w:rPr>
      <w:rFonts w:eastAsia="Times New Roman"/>
      <w:szCs w:val="24"/>
    </w:rPr>
  </w:style>
  <w:style w:type="paragraph" w:customStyle="1" w:styleId="issn">
    <w:name w:val="issn"/>
    <w:basedOn w:val="Normal"/>
    <w:pPr>
      <w:spacing w:before="240"/>
      <w:jc w:val="right"/>
    </w:pPr>
    <w:rPr>
      <w:rFonts w:eastAsia="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jc w:val="center"/>
    </w:pPr>
    <w:rPr>
      <w:rFonts w:eastAsia="Times New Roman"/>
      <w:b/>
      <w:bCs/>
      <w:sz w:val="72"/>
      <w:szCs w:val="72"/>
    </w:rPr>
  </w:style>
  <w:style w:type="paragraph" w:customStyle="1" w:styleId="no-doc-c">
    <w:name w:val="no-doc-c"/>
    <w:basedOn w:val="Normal"/>
    <w:pPr>
      <w:jc w:val="center"/>
    </w:pPr>
    <w:rPr>
      <w:rFonts w:eastAsia="Times New Roman"/>
      <w:szCs w:val="24"/>
    </w:rPr>
  </w:style>
  <w:style w:type="paragraph" w:customStyle="1" w:styleId="Normal1">
    <w:name w:val="Normal1"/>
    <w:basedOn w:val="Normal"/>
    <w:pPr>
      <w:spacing w:after="0"/>
    </w:pPr>
    <w:rPr>
      <w:rFonts w:eastAsia="Times New Roman"/>
      <w:szCs w:val="24"/>
    </w:rPr>
  </w:style>
  <w:style w:type="paragraph" w:customStyle="1" w:styleId="note">
    <w:name w:val="note"/>
    <w:basedOn w:val="Normal"/>
    <w:pPr>
      <w:spacing w:before="60" w:after="60"/>
    </w:pPr>
    <w:rPr>
      <w:rFonts w:eastAsia="Times New Roman"/>
      <w:sz w:val="19"/>
      <w:szCs w:val="19"/>
    </w:rPr>
  </w:style>
  <w:style w:type="paragraph" w:customStyle="1" w:styleId="separator">
    <w:name w:val="separator"/>
    <w:basedOn w:val="Normal"/>
    <w:pPr>
      <w:jc w:val="center"/>
    </w:pPr>
    <w:rPr>
      <w:rFonts w:eastAsia="Times New Roman"/>
      <w:szCs w:val="24"/>
    </w:rPr>
  </w:style>
  <w:style w:type="paragraph" w:customStyle="1" w:styleId="signatory">
    <w:name w:val="signatory"/>
    <w:basedOn w:val="Normal"/>
    <w:pPr>
      <w:spacing w:before="60" w:after="60"/>
      <w:jc w:val="center"/>
    </w:pPr>
    <w:rPr>
      <w:rFonts w:eastAsia="Times New Roman"/>
      <w:szCs w:val="24"/>
    </w:rPr>
  </w:style>
  <w:style w:type="paragraph" w:customStyle="1" w:styleId="sti-art">
    <w:name w:val="sti-art"/>
    <w:basedOn w:val="Normal"/>
    <w:pPr>
      <w:spacing w:before="60"/>
      <w:jc w:val="center"/>
    </w:pPr>
    <w:rPr>
      <w:rFonts w:eastAsia="Times New Roman"/>
      <w:b/>
      <w:bCs/>
      <w:szCs w:val="24"/>
    </w:rPr>
  </w:style>
  <w:style w:type="paragraph" w:customStyle="1" w:styleId="tbl-cod">
    <w:name w:val="tbl-cod"/>
    <w:basedOn w:val="Normal"/>
    <w:pPr>
      <w:spacing w:before="60" w:after="60"/>
      <w:ind w:right="195"/>
      <w:jc w:val="center"/>
    </w:pPr>
    <w:rPr>
      <w:rFonts w:eastAsia="Times New Roman"/>
      <w:sz w:val="22"/>
    </w:rPr>
  </w:style>
  <w:style w:type="paragraph" w:customStyle="1" w:styleId="tbl-hdr">
    <w:name w:val="tbl-hdr"/>
    <w:basedOn w:val="Normal"/>
    <w:pPr>
      <w:spacing w:before="60" w:after="60"/>
      <w:ind w:right="195"/>
      <w:jc w:val="center"/>
    </w:pPr>
    <w:rPr>
      <w:rFonts w:eastAsia="Times New Roman"/>
      <w:b/>
      <w:bCs/>
      <w:sz w:val="22"/>
    </w:rPr>
  </w:style>
  <w:style w:type="paragraph" w:customStyle="1" w:styleId="tbl-notcol">
    <w:name w:val="tbl-notcol"/>
    <w:basedOn w:val="Normal"/>
    <w:pPr>
      <w:spacing w:before="60" w:after="60"/>
      <w:jc w:val="right"/>
    </w:pPr>
    <w:rPr>
      <w:rFonts w:eastAsia="Times New Roman"/>
      <w:sz w:val="22"/>
    </w:rPr>
  </w:style>
  <w:style w:type="paragraph" w:customStyle="1" w:styleId="tbl-num">
    <w:name w:val="tbl-num"/>
    <w:basedOn w:val="Normal"/>
    <w:pPr>
      <w:spacing w:before="60" w:after="60"/>
      <w:ind w:right="195"/>
      <w:jc w:val="right"/>
    </w:pPr>
    <w:rPr>
      <w:rFonts w:eastAsia="Times New Roman"/>
      <w:sz w:val="22"/>
    </w:rPr>
  </w:style>
  <w:style w:type="paragraph" w:customStyle="1" w:styleId="tbl-txt">
    <w:name w:val="tbl-txt"/>
    <w:basedOn w:val="Normal"/>
    <w:pPr>
      <w:spacing w:before="60" w:after="60"/>
      <w:jc w:val="left"/>
    </w:pPr>
    <w:rPr>
      <w:rFonts w:eastAsia="Times New Roman"/>
      <w:sz w:val="22"/>
    </w:rPr>
  </w:style>
  <w:style w:type="paragraph" w:customStyle="1" w:styleId="text-l">
    <w:name w:val="text-l"/>
    <w:basedOn w:val="Normal"/>
    <w:pPr>
      <w:spacing w:before="60" w:after="60"/>
    </w:pPr>
    <w:rPr>
      <w:rFonts w:eastAsia="Times New Roman"/>
      <w:szCs w:val="24"/>
    </w:rPr>
  </w:style>
  <w:style w:type="paragraph" w:customStyle="1" w:styleId="ti-annotation">
    <w:name w:val="ti-annotation"/>
    <w:basedOn w:val="Normal"/>
    <w:pPr>
      <w:spacing w:after="0"/>
      <w:jc w:val="left"/>
    </w:pPr>
    <w:rPr>
      <w:rFonts w:eastAsia="Times New Roman"/>
      <w:i/>
      <w:iCs/>
      <w:szCs w:val="24"/>
    </w:rPr>
  </w:style>
  <w:style w:type="paragraph" w:customStyle="1" w:styleId="ti-art">
    <w:name w:val="ti-art"/>
    <w:basedOn w:val="Normal"/>
    <w:pPr>
      <w:spacing w:before="360"/>
      <w:jc w:val="center"/>
    </w:pPr>
    <w:rPr>
      <w:rFonts w:eastAsia="Times New Roman"/>
      <w:i/>
      <w:iCs/>
      <w:szCs w:val="24"/>
    </w:rPr>
  </w:style>
  <w:style w:type="paragraph" w:customStyle="1" w:styleId="ti-coll">
    <w:name w:val="ti-coll"/>
    <w:basedOn w:val="Normal"/>
    <w:pPr>
      <w:jc w:val="left"/>
    </w:pPr>
    <w:rPr>
      <w:rFonts w:eastAsia="Times New Roman"/>
      <w:sz w:val="36"/>
      <w:szCs w:val="36"/>
    </w:rPr>
  </w:style>
  <w:style w:type="paragraph" w:customStyle="1" w:styleId="ti-doc-dur">
    <w:name w:val="ti-doc-dur"/>
    <w:basedOn w:val="Normal"/>
    <w:pPr>
      <w:spacing w:before="180"/>
    </w:pPr>
    <w:rPr>
      <w:rFonts w:eastAsia="Times New Roman"/>
      <w:b/>
      <w:bCs/>
      <w:sz w:val="26"/>
      <w:szCs w:val="26"/>
    </w:rPr>
  </w:style>
  <w:style w:type="paragraph" w:customStyle="1" w:styleId="ti-doc-dur-assoc">
    <w:name w:val="ti-doc-dur-assoc"/>
    <w:basedOn w:val="Normal"/>
    <w:pPr>
      <w:spacing w:before="180"/>
    </w:pPr>
    <w:rPr>
      <w:rFonts w:eastAsia="Times New Roman"/>
      <w:b/>
      <w:bCs/>
      <w:sz w:val="26"/>
      <w:szCs w:val="26"/>
    </w:rPr>
  </w:style>
  <w:style w:type="paragraph" w:customStyle="1" w:styleId="ti-doc-dur-num">
    <w:name w:val="ti-doc-dur-num"/>
    <w:basedOn w:val="Normal"/>
    <w:pPr>
      <w:spacing w:before="180" w:after="0"/>
      <w:jc w:val="left"/>
    </w:pPr>
    <w:rPr>
      <w:rFonts w:eastAsia="Times New Roman"/>
      <w:b/>
      <w:bCs/>
      <w:sz w:val="26"/>
      <w:szCs w:val="26"/>
    </w:rPr>
  </w:style>
  <w:style w:type="paragraph" w:customStyle="1" w:styleId="ti-doc-dur-star">
    <w:name w:val="ti-doc-dur-star"/>
    <w:basedOn w:val="Normal"/>
    <w:pPr>
      <w:spacing w:before="180"/>
      <w:jc w:val="center"/>
    </w:pPr>
    <w:rPr>
      <w:rFonts w:eastAsia="Times New Roman"/>
      <w:b/>
      <w:bCs/>
      <w:sz w:val="26"/>
      <w:szCs w:val="26"/>
    </w:rPr>
  </w:style>
  <w:style w:type="paragraph" w:customStyle="1" w:styleId="ti-doc-eph">
    <w:name w:val="ti-doc-eph"/>
    <w:basedOn w:val="Normal"/>
    <w:pPr>
      <w:spacing w:before="180"/>
    </w:pPr>
    <w:rPr>
      <w:rFonts w:eastAsia="Times New Roman"/>
      <w:sz w:val="26"/>
      <w:szCs w:val="26"/>
    </w:rPr>
  </w:style>
  <w:style w:type="paragraph" w:customStyle="1" w:styleId="ti-grseq-1">
    <w:name w:val="ti-grseq-1"/>
    <w:basedOn w:val="Normal"/>
    <w:pPr>
      <w:spacing w:before="240"/>
    </w:pPr>
    <w:rPr>
      <w:rFonts w:eastAsia="Times New Roman"/>
      <w:b/>
      <w:bCs/>
      <w:szCs w:val="24"/>
    </w:rPr>
  </w:style>
  <w:style w:type="paragraph" w:customStyle="1" w:styleId="ti-grseq-toc">
    <w:name w:val="ti-grseq-toc"/>
    <w:basedOn w:val="Normal"/>
    <w:pPr>
      <w:spacing w:before="240"/>
      <w:jc w:val="center"/>
    </w:pPr>
    <w:rPr>
      <w:rFonts w:eastAsia="Times New Roman"/>
      <w:i/>
      <w:iCs/>
      <w:szCs w:val="24"/>
    </w:rPr>
  </w:style>
  <w:style w:type="paragraph" w:customStyle="1" w:styleId="ti-oj-1">
    <w:name w:val="ti-oj-1"/>
    <w:basedOn w:val="Normal"/>
    <w:pPr>
      <w:spacing w:after="0"/>
      <w:jc w:val="left"/>
    </w:pPr>
    <w:rPr>
      <w:rFonts w:eastAsia="Times New Roman"/>
      <w:b/>
      <w:bCs/>
      <w:sz w:val="72"/>
      <w:szCs w:val="72"/>
    </w:rPr>
  </w:style>
  <w:style w:type="paragraph" w:customStyle="1" w:styleId="ti-oj-2">
    <w:name w:val="ti-oj-2"/>
    <w:basedOn w:val="Normal"/>
    <w:pPr>
      <w:jc w:val="left"/>
    </w:pPr>
    <w:rPr>
      <w:rFonts w:eastAsia="Times New Roman"/>
      <w:sz w:val="48"/>
      <w:szCs w:val="48"/>
    </w:rPr>
  </w:style>
  <w:style w:type="paragraph" w:customStyle="1" w:styleId="ti-oj-3">
    <w:name w:val="ti-oj-3"/>
    <w:basedOn w:val="Normal"/>
    <w:pPr>
      <w:spacing w:after="0"/>
      <w:jc w:val="right"/>
    </w:pPr>
    <w:rPr>
      <w:rFonts w:eastAsia="Times New Roman"/>
      <w:b/>
      <w:bCs/>
      <w:sz w:val="72"/>
      <w:szCs w:val="72"/>
    </w:rPr>
  </w:style>
  <w:style w:type="paragraph" w:customStyle="1" w:styleId="ti-sect-1-n">
    <w:name w:val="ti-sect-1-n"/>
    <w:basedOn w:val="Normal"/>
    <w:pPr>
      <w:jc w:val="left"/>
    </w:pPr>
    <w:rPr>
      <w:rFonts w:eastAsia="Times New Roman"/>
      <w:sz w:val="26"/>
      <w:szCs w:val="26"/>
    </w:rPr>
  </w:style>
  <w:style w:type="paragraph" w:customStyle="1" w:styleId="ti-sect-1-t">
    <w:name w:val="ti-sect-1-t"/>
    <w:basedOn w:val="Normal"/>
    <w:pPr>
      <w:jc w:val="left"/>
    </w:pPr>
    <w:rPr>
      <w:rFonts w:eastAsia="Times New Roman"/>
      <w:i/>
      <w:iCs/>
      <w:sz w:val="26"/>
      <w:szCs w:val="26"/>
    </w:rPr>
  </w:style>
  <w:style w:type="paragraph" w:customStyle="1" w:styleId="ti-sect-2">
    <w:name w:val="ti-sect-2"/>
    <w:basedOn w:val="Normal"/>
    <w:pPr>
      <w:jc w:val="left"/>
    </w:pPr>
    <w:rPr>
      <w:rFonts w:eastAsia="Times New Roman"/>
      <w:sz w:val="26"/>
      <w:szCs w:val="26"/>
    </w:rPr>
  </w:style>
  <w:style w:type="paragraph" w:customStyle="1" w:styleId="ti-section-1">
    <w:name w:val="ti-section-1"/>
    <w:basedOn w:val="Normal"/>
    <w:pPr>
      <w:spacing w:before="480" w:after="0"/>
      <w:jc w:val="center"/>
    </w:pPr>
    <w:rPr>
      <w:rFonts w:eastAsia="Times New Roman"/>
      <w:b/>
      <w:bCs/>
      <w:szCs w:val="24"/>
    </w:rPr>
  </w:style>
  <w:style w:type="paragraph" w:customStyle="1" w:styleId="ti-section-2">
    <w:name w:val="ti-section-2"/>
    <w:basedOn w:val="Normal"/>
    <w:pPr>
      <w:spacing w:before="75"/>
      <w:jc w:val="center"/>
    </w:pPr>
    <w:rPr>
      <w:rFonts w:eastAsia="Times New Roman"/>
      <w:b/>
      <w:bCs/>
      <w:szCs w:val="24"/>
    </w:rPr>
  </w:style>
  <w:style w:type="paragraph" w:customStyle="1" w:styleId="ti-tbl">
    <w:name w:val="ti-tbl"/>
    <w:basedOn w:val="Normal"/>
    <w:pPr>
      <w:jc w:val="center"/>
    </w:pPr>
    <w:rPr>
      <w:rFonts w:eastAsia="Times New Roman"/>
      <w:szCs w:val="24"/>
    </w:rPr>
  </w:style>
  <w:style w:type="paragraph" w:customStyle="1" w:styleId="year-date">
    <w:name w:val="year-date"/>
    <w:basedOn w:val="Normal"/>
    <w:pPr>
      <w:jc w:val="right"/>
    </w:pPr>
    <w:rPr>
      <w:rFonts w:eastAsia="Times New Roman"/>
      <w:b/>
      <w:bCs/>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rFonts w:eastAsia="Times New Roman"/>
      <w:szCs w:val="24"/>
    </w:rPr>
  </w:style>
  <w:style w:type="paragraph" w:customStyle="1" w:styleId="ti-info">
    <w:name w:val="ti-info"/>
    <w:basedOn w:val="Normal"/>
    <w:pPr>
      <w:spacing w:before="100" w:beforeAutospacing="1" w:after="100" w:afterAutospacing="1"/>
      <w:jc w:val="left"/>
    </w:pPr>
    <w:rPr>
      <w:rFonts w:eastAsia="Times New Roman"/>
      <w:szCs w:val="24"/>
      <w:u w:val="single"/>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styleId="FollowedHyperlink">
    <w:name w:val="FollowedHyperlink"/>
    <w:basedOn w:val="DefaultParagraphFont"/>
    <w:unhideWhenUsed/>
    <w:rPr>
      <w:color w:val="800080"/>
      <w:u w:val="single"/>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et-EE"/>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b/>
      <w:bCs/>
      <w:sz w:val="20"/>
      <w:szCs w:val="20"/>
      <w:lang w:val="et-EE"/>
    </w:rPr>
  </w:style>
  <w:style w:type="paragraph" w:styleId="Revision">
    <w:name w:val="Revision"/>
    <w:hidden/>
    <w:uiPriority w:val="99"/>
    <w:semiHidden/>
    <w:pPr>
      <w:spacing w:after="0" w:line="240" w:lineRule="auto"/>
    </w:pPr>
  </w:style>
  <w:style w:type="paragraph" w:styleId="BalloonText">
    <w:name w:val="Balloon Text"/>
    <w:basedOn w:val="Normal"/>
    <w:link w:val="BalloonTextChar"/>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t-EE"/>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NormalWeb">
    <w:name w:val="Normal (Web)"/>
    <w:basedOn w:val="Normal"/>
    <w:uiPriority w:val="99"/>
    <w:unhideWhenUsed/>
    <w:pPr>
      <w:spacing w:before="0" w:after="200" w:line="276" w:lineRule="auto"/>
      <w:jc w:val="left"/>
    </w:pPr>
    <w:rPr>
      <w:szCs w:val="24"/>
    </w:r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paragraph" w:customStyle="1" w:styleId="norm3">
    <w:name w:val="norm3"/>
    <w:basedOn w:val="Normal"/>
    <w:pPr>
      <w:spacing w:after="0" w:line="312" w:lineRule="atLeast"/>
    </w:pPr>
    <w:rPr>
      <w:rFonts w:eastAsia="Times New Roman"/>
      <w:szCs w:val="24"/>
    </w:rPr>
  </w:style>
  <w:style w:type="paragraph" w:customStyle="1" w:styleId="Normal2">
    <w:name w:val="Normal2"/>
    <w:basedOn w:val="Normal"/>
    <w:pPr>
      <w:spacing w:after="0"/>
    </w:pPr>
    <w:rPr>
      <w:rFonts w:eastAsia="Times New Roman"/>
      <w:szCs w:val="24"/>
    </w:rPr>
  </w:style>
  <w:style w:type="character" w:customStyle="1" w:styleId="tgc">
    <w:name w:val="_tgc"/>
    <w:basedOn w:val="DefaultParagraphFont"/>
  </w:style>
  <w:style w:type="paragraph" w:customStyle="1" w:styleId="Fichefinancirestandardtitre">
    <w:name w:val="Fiche financière (standard) titre"/>
    <w:basedOn w:val="Normal"/>
    <w:next w:val="Normal"/>
    <w:pPr>
      <w:jc w:val="center"/>
    </w:pPr>
    <w:rPr>
      <w:rFonts w:eastAsia="Times New Roman"/>
      <w:b/>
      <w:u w:val="single"/>
    </w:rPr>
  </w:style>
  <w:style w:type="paragraph" w:styleId="Caption">
    <w:name w:val="caption"/>
    <w:basedOn w:val="Normal"/>
    <w:next w:val="Normal"/>
    <w:qFormat/>
    <w:rPr>
      <w:rFonts w:eastAsia="Times New Roman"/>
      <w:b/>
      <w:bCs/>
      <w:sz w:val="20"/>
    </w:rPr>
  </w:style>
  <w:style w:type="paragraph" w:styleId="TableofFigures">
    <w:name w:val="table of figures"/>
    <w:basedOn w:val="Normal"/>
    <w:next w:val="Normal"/>
    <w:rPr>
      <w:rFonts w:eastAsia="Times New Roman"/>
    </w:rPr>
  </w:style>
  <w:style w:type="paragraph" w:styleId="ListNumber2">
    <w:name w:val="List Number 2"/>
    <w:basedOn w:val="Normal"/>
    <w:pPr>
      <w:numPr>
        <w:numId w:val="9"/>
      </w:numPr>
      <w:contextualSpacing/>
    </w:pPr>
    <w:rPr>
      <w:rFonts w:eastAsia="Times New Roman"/>
    </w:rPr>
  </w:style>
  <w:style w:type="paragraph" w:styleId="ListNumber3">
    <w:name w:val="List Number 3"/>
    <w:basedOn w:val="Normal"/>
    <w:pPr>
      <w:numPr>
        <w:numId w:val="10"/>
      </w:numPr>
      <w:contextualSpacing/>
    </w:pPr>
    <w:rPr>
      <w:rFonts w:eastAsia="Times New Roman"/>
    </w:rPr>
  </w:style>
  <w:style w:type="paragraph" w:styleId="ListNumber4">
    <w:name w:val="List Number 4"/>
    <w:basedOn w:val="Normal"/>
    <w:pPr>
      <w:numPr>
        <w:numId w:val="11"/>
      </w:numPr>
      <w:contextualSpacing/>
    </w:pPr>
    <w:rPr>
      <w:rFonts w:eastAsia="Times New Roman"/>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TableBullet">
    <w:name w:val="TableBullet"/>
    <w:basedOn w:val="Normal"/>
    <w:uiPriority w:val="6"/>
    <w:qFormat/>
    <w:pPr>
      <w:numPr>
        <w:numId w:val="16"/>
      </w:numPr>
      <w:spacing w:before="0" w:after="0" w:line="220" w:lineRule="atLeast"/>
      <w:ind w:right="57"/>
      <w:jc w:val="left"/>
    </w:pPr>
    <w:rPr>
      <w:rFonts w:ascii="Arial" w:eastAsia="Calibri" w:hAnsi="Arial"/>
      <w:sz w:val="18"/>
      <w:szCs w:val="24"/>
    </w:rPr>
  </w:style>
  <w:style w:type="numbering" w:customStyle="1" w:styleId="NumbLstTableBullet">
    <w:name w:val="NumbLstTableBullet"/>
    <w:uiPriority w:val="99"/>
    <w:pPr>
      <w:numPr>
        <w:numId w:val="15"/>
      </w:numPr>
    </w:pPr>
  </w:style>
  <w:style w:type="paragraph" w:styleId="ListNumber5">
    <w:name w:val="List Number 5"/>
    <w:basedOn w:val="Normal"/>
    <w:pPr>
      <w:numPr>
        <w:numId w:val="18"/>
      </w:numPr>
      <w:spacing w:before="0" w:after="240"/>
    </w:pPr>
    <w:rPr>
      <w:rFonts w:eastAsia="Times New Roman"/>
      <w:szCs w:val="20"/>
    </w:rPr>
  </w:style>
  <w:style w:type="paragraph" w:styleId="ListBullet5">
    <w:name w:val="List Bullet 5"/>
    <w:basedOn w:val="Normal"/>
    <w:autoRedefine/>
    <w:pPr>
      <w:numPr>
        <w:numId w:val="19"/>
      </w:numPr>
      <w:spacing w:before="0" w:after="240"/>
    </w:pPr>
    <w:rPr>
      <w:rFonts w:eastAsia="Times New Roman"/>
      <w:szCs w:val="20"/>
    </w:rPr>
  </w:style>
  <w:style w:type="paragraph" w:customStyle="1" w:styleId="a3520normalp17">
    <w:name w:val="a__35__20_normal_p17"/>
    <w:basedOn w:val="Normal"/>
    <w:pPr>
      <w:spacing w:before="100" w:beforeAutospacing="1" w:after="100" w:afterAutospacing="1"/>
      <w:jc w:val="left"/>
    </w:pPr>
    <w:rPr>
      <w:rFonts w:eastAsia="Times New Roman"/>
      <w:szCs w:val="24"/>
    </w:rPr>
  </w:style>
  <w:style w:type="paragraph" w:styleId="Title">
    <w:name w:val="Title"/>
    <w:basedOn w:val="Normal"/>
    <w:next w:val="Normal"/>
    <w:link w:val="TitleChar"/>
    <w:uiPriority w:val="10"/>
    <w:qFormat/>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et-EE"/>
    </w:rPr>
  </w:style>
  <w:style w:type="paragraph" w:customStyle="1" w:styleId="article">
    <w:name w:val="article"/>
    <w:basedOn w:val="Normal"/>
    <w:pPr>
      <w:spacing w:before="360"/>
      <w:jc w:val="center"/>
    </w:pPr>
    <w:rPr>
      <w:rFonts w:eastAsia="Times New Roman"/>
      <w:i/>
      <w:iCs/>
      <w:color w:val="000000"/>
      <w:szCs w:val="24"/>
    </w:rPr>
  </w:style>
  <w:style w:type="paragraph" w:customStyle="1" w:styleId="Let">
    <w:name w:val="Let"/>
    <w:basedOn w:val="Point0letter"/>
  </w:style>
  <w:style w:type="paragraph" w:customStyle="1" w:styleId="Tiret11">
    <w:name w:val="Tiret 11"/>
    <w:basedOn w:val="ListDash1"/>
    <w:pPr>
      <w:numPr>
        <w:numId w:val="8"/>
      </w:numPr>
    </w:pPr>
  </w:style>
  <w:style w:type="paragraph" w:customStyle="1" w:styleId="noral">
    <w:name w:val="noral"/>
    <w:basedOn w:val="Bullet0"/>
    <w:pPr>
      <w:numPr>
        <w:numId w:val="0"/>
      </w:numPr>
      <w:ind w:left="850"/>
    </w:pPr>
  </w:style>
  <w:style w:type="paragraph" w:styleId="ListBullet">
    <w:name w:val="List Bullet"/>
    <w:basedOn w:val="Normal"/>
    <w:semiHidden/>
    <w:unhideWhenUsed/>
    <w:qFormat/>
    <w:pPr>
      <w:numPr>
        <w:numId w:val="92"/>
      </w:numPr>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D1585A"/>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D1585A"/>
    <w:rPr>
      <w:rFonts w:ascii="Times New Roman" w:hAnsi="Times New Roman" w:cs="Times New Roman"/>
      <w:sz w:val="24"/>
      <w:lang w:eastAsia="en-US" w:bidi="ar-SA"/>
    </w:rPr>
  </w:style>
  <w:style w:type="paragraph" w:styleId="Footer">
    <w:name w:val="footer"/>
    <w:basedOn w:val="Normal"/>
    <w:link w:val="FooterChar"/>
    <w:uiPriority w:val="99"/>
    <w:unhideWhenUsed/>
    <w:rsid w:val="00D1585A"/>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D1585A"/>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D1585A"/>
    <w:pPr>
      <w:tabs>
        <w:tab w:val="center" w:pos="7285"/>
        <w:tab w:val="right" w:pos="14003"/>
      </w:tabs>
      <w:spacing w:before="0"/>
    </w:pPr>
    <w:rPr>
      <w:lang w:eastAsia="en-US" w:bidi="ar-SA"/>
    </w:rPr>
  </w:style>
  <w:style w:type="paragraph" w:customStyle="1" w:styleId="FooterLandscape">
    <w:name w:val="FooterLandscape"/>
    <w:basedOn w:val="Normal"/>
    <w:rsid w:val="00D1585A"/>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3"/>
      </w:numPr>
    </w:pPr>
  </w:style>
  <w:style w:type="paragraph" w:customStyle="1" w:styleId="Tiret1">
    <w:name w:val="Tiret 1"/>
    <w:basedOn w:val="Point1"/>
    <w:pPr>
      <w:numPr>
        <w:numId w:val="94"/>
      </w:numPr>
    </w:pPr>
  </w:style>
  <w:style w:type="paragraph" w:customStyle="1" w:styleId="Tiret2">
    <w:name w:val="Tiret 2"/>
    <w:basedOn w:val="Point2"/>
    <w:pPr>
      <w:numPr>
        <w:numId w:val="95"/>
      </w:numPr>
    </w:pPr>
  </w:style>
  <w:style w:type="paragraph" w:customStyle="1" w:styleId="Tiret3">
    <w:name w:val="Tiret 3"/>
    <w:basedOn w:val="Point3"/>
    <w:pPr>
      <w:numPr>
        <w:numId w:val="96"/>
      </w:numPr>
    </w:pPr>
  </w:style>
  <w:style w:type="paragraph" w:customStyle="1" w:styleId="Tiret4">
    <w:name w:val="Tiret 4"/>
    <w:basedOn w:val="Point4"/>
    <w:pPr>
      <w:numPr>
        <w:numId w:val="9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98"/>
      </w:numPr>
    </w:pPr>
  </w:style>
  <w:style w:type="paragraph" w:customStyle="1" w:styleId="NumPar2">
    <w:name w:val="NumPar 2"/>
    <w:basedOn w:val="Normal"/>
    <w:next w:val="Text1"/>
    <w:pPr>
      <w:numPr>
        <w:ilvl w:val="1"/>
        <w:numId w:val="98"/>
      </w:numPr>
    </w:pPr>
  </w:style>
  <w:style w:type="paragraph" w:customStyle="1" w:styleId="NumPar3">
    <w:name w:val="NumPar 3"/>
    <w:basedOn w:val="Normal"/>
    <w:next w:val="Text1"/>
    <w:pPr>
      <w:numPr>
        <w:ilvl w:val="2"/>
        <w:numId w:val="98"/>
      </w:numPr>
    </w:pPr>
  </w:style>
  <w:style w:type="paragraph" w:customStyle="1" w:styleId="NumPar4">
    <w:name w:val="NumPar 4"/>
    <w:basedOn w:val="Normal"/>
    <w:next w:val="Text1"/>
    <w:pPr>
      <w:numPr>
        <w:ilvl w:val="3"/>
        <w:numId w:val="9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00"/>
      </w:numPr>
    </w:pPr>
  </w:style>
  <w:style w:type="paragraph" w:customStyle="1" w:styleId="Point1number">
    <w:name w:val="Point 1 (number)"/>
    <w:basedOn w:val="Normal"/>
    <w:pPr>
      <w:numPr>
        <w:ilvl w:val="2"/>
        <w:numId w:val="100"/>
      </w:numPr>
    </w:pPr>
  </w:style>
  <w:style w:type="paragraph" w:customStyle="1" w:styleId="Point2number">
    <w:name w:val="Point 2 (number)"/>
    <w:basedOn w:val="Normal"/>
    <w:pPr>
      <w:numPr>
        <w:ilvl w:val="4"/>
        <w:numId w:val="100"/>
      </w:numPr>
    </w:pPr>
  </w:style>
  <w:style w:type="paragraph" w:customStyle="1" w:styleId="Point3number">
    <w:name w:val="Point 3 (number)"/>
    <w:basedOn w:val="Normal"/>
    <w:pPr>
      <w:numPr>
        <w:ilvl w:val="6"/>
        <w:numId w:val="100"/>
      </w:numPr>
    </w:pPr>
  </w:style>
  <w:style w:type="paragraph" w:customStyle="1" w:styleId="Point0letter">
    <w:name w:val="Point 0 (letter)"/>
    <w:basedOn w:val="Normal"/>
    <w:pPr>
      <w:numPr>
        <w:ilvl w:val="1"/>
        <w:numId w:val="100"/>
      </w:numPr>
    </w:pPr>
  </w:style>
  <w:style w:type="paragraph" w:customStyle="1" w:styleId="Point1letter">
    <w:name w:val="Point 1 (letter)"/>
    <w:basedOn w:val="Normal"/>
    <w:pPr>
      <w:numPr>
        <w:ilvl w:val="3"/>
        <w:numId w:val="100"/>
      </w:numPr>
    </w:pPr>
  </w:style>
  <w:style w:type="paragraph" w:customStyle="1" w:styleId="Point2letter">
    <w:name w:val="Point 2 (letter)"/>
    <w:basedOn w:val="Normal"/>
    <w:pPr>
      <w:numPr>
        <w:ilvl w:val="5"/>
        <w:numId w:val="100"/>
      </w:numPr>
    </w:pPr>
  </w:style>
  <w:style w:type="paragraph" w:customStyle="1" w:styleId="Point3letter">
    <w:name w:val="Point 3 (letter)"/>
    <w:basedOn w:val="Normal"/>
    <w:pPr>
      <w:numPr>
        <w:ilvl w:val="7"/>
        <w:numId w:val="100"/>
      </w:numPr>
    </w:pPr>
  </w:style>
  <w:style w:type="paragraph" w:customStyle="1" w:styleId="Point4letter">
    <w:name w:val="Point 4 (letter)"/>
    <w:basedOn w:val="Normal"/>
    <w:pPr>
      <w:numPr>
        <w:ilvl w:val="8"/>
        <w:numId w:val="100"/>
      </w:numPr>
    </w:pPr>
  </w:style>
  <w:style w:type="paragraph" w:customStyle="1" w:styleId="Bullet0">
    <w:name w:val="Bullet 0"/>
    <w:basedOn w:val="Normal"/>
    <w:pPr>
      <w:numPr>
        <w:numId w:val="101"/>
      </w:numPr>
    </w:pPr>
  </w:style>
  <w:style w:type="paragraph" w:customStyle="1" w:styleId="Bullet1">
    <w:name w:val="Bullet 1"/>
    <w:basedOn w:val="Normal"/>
    <w:pPr>
      <w:numPr>
        <w:numId w:val="102"/>
      </w:numPr>
    </w:pPr>
  </w:style>
  <w:style w:type="paragraph" w:customStyle="1" w:styleId="Bullet2">
    <w:name w:val="Bullet 2"/>
    <w:basedOn w:val="Normal"/>
    <w:pPr>
      <w:numPr>
        <w:numId w:val="103"/>
      </w:numPr>
    </w:pPr>
  </w:style>
  <w:style w:type="paragraph" w:customStyle="1" w:styleId="Bullet3">
    <w:name w:val="Bullet 3"/>
    <w:basedOn w:val="Normal"/>
    <w:pPr>
      <w:numPr>
        <w:numId w:val="104"/>
      </w:numPr>
    </w:pPr>
  </w:style>
  <w:style w:type="paragraph" w:customStyle="1" w:styleId="Bullet4">
    <w:name w:val="Bullet 4"/>
    <w:basedOn w:val="Normal"/>
    <w:pPr>
      <w:numPr>
        <w:numId w:val="10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0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823373">
      <w:bodyDiv w:val="1"/>
      <w:marLeft w:val="0"/>
      <w:marRight w:val="0"/>
      <w:marTop w:val="0"/>
      <w:marBottom w:val="0"/>
      <w:divBdr>
        <w:top w:val="none" w:sz="0" w:space="0" w:color="auto"/>
        <w:left w:val="none" w:sz="0" w:space="0" w:color="auto"/>
        <w:bottom w:val="none" w:sz="0" w:space="0" w:color="auto"/>
        <w:right w:val="none" w:sz="0" w:space="0" w:color="auto"/>
      </w:divBdr>
    </w:div>
    <w:div w:id="207716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7.xml"/><Relationship Id="rId33"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5.xml"/><Relationship Id="rId32"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header" Target="header8.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myintracomm.ec.europa.eu/budgweb/EN/man/budgmanag/Pages/budgmanag.aspx" TargetMode="External"/><Relationship Id="rId3" Type="http://schemas.openxmlformats.org/officeDocument/2006/relationships/hyperlink" Target="http://eur-lex.europa.eu/legal-content/AUTO/?uri=CELEX:32015D0443&amp;qid=1503904054104&amp;rid=1" TargetMode="External"/><Relationship Id="rId7" Type="http://schemas.openxmlformats.org/officeDocument/2006/relationships/hyperlink" Target="http://eur-lex.europa.eu/legal-content/AUTO/?uri=CELEX:31958R0001(01)&amp;qid=1503903628246&amp;rid=2" TargetMode="External"/><Relationship Id="rId2" Type="http://schemas.openxmlformats.org/officeDocument/2006/relationships/hyperlink" Target="https://erncip-project.jrc.ec.europa.eu/documents/introduction-european-iacs-components-cybersecurity-certification-framework-iccf" TargetMode="External"/><Relationship Id="rId1" Type="http://schemas.openxmlformats.org/officeDocument/2006/relationships/hyperlink" Target="https://www.enisa.europa.eu/publications/corporate/enisa-strategy" TargetMode="External"/><Relationship Id="rId6" Type="http://schemas.openxmlformats.org/officeDocument/2006/relationships/hyperlink" Target="http://eur-lex.europa.eu/legal-content/AUTO/?uri=CELEX:31996R2185&amp;qid=1503903277883&amp;rid=1" TargetMode="External"/><Relationship Id="rId5" Type="http://schemas.openxmlformats.org/officeDocument/2006/relationships/hyperlink" Target="http://eur-lex.europa.eu/legal-content/AUTO/?uri=CELEX:32013R0883&amp;qid=1503902900883&amp;rid=1" TargetMode="External"/><Relationship Id="rId4" Type="http://schemas.openxmlformats.org/officeDocument/2006/relationships/hyperlink" Target="http://eur-lex.europa.eu/legal-content/AUTO/?uri=CELEX:32015D0444&amp;qid=1503904120075&amp;ri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dhwna\AppData\Roaming\Microsoft\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69896359-b98d-4972-ac24-787626a39a52" xsi:nil="true"/>
    <EC_Collab_DocumentLanguage xmlns="69896359-b98d-4972-ac24-787626a39a52">EN</EC_Collab_DocumentLanguage>
    <_dlc_DocId xmlns="866aabb8-7ec2-447a-a7ff-f911015037e7">UVNUSV5RWJH5-860911943-375</_dlc_DocId>
    <_dlc_DocIdUrl xmlns="866aabb8-7ec2-447a-a7ff-f911015037e7">
      <Url>https://myintracomm-collab.ec.europa.eu/dg/CONNECT/directorateH/UnitH1/_layouts/15/DocIdRedir.aspx?ID=UVNUSV5RWJH5-860911943-375</Url>
      <Description>UVNUSV5RWJH5-860911943-375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716C6D809718154B85A00D8564272987" ma:contentTypeVersion="9" ma:contentTypeDescription="Create a new document." ma:contentTypeScope="" ma:versionID="e400d484b8aebbd8e56d91cb7a208e94">
  <xsd:schema xmlns:xsd="http://www.w3.org/2001/XMLSchema" xmlns:xs="http://www.w3.org/2001/XMLSchema" xmlns:p="http://schemas.microsoft.com/office/2006/metadata/properties" xmlns:ns3="69896359-b98d-4972-ac24-787626a39a52" xmlns:ns4="866aabb8-7ec2-447a-a7ff-f911015037e7" targetNamespace="http://schemas.microsoft.com/office/2006/metadata/properties" ma:root="true" ma:fieldsID="a02399e1f5cc7de95a172560ad66efe5" ns3:_="" ns4:_="">
    <xsd:import namespace="69896359-b98d-4972-ac24-787626a39a52"/>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96359-b98d-4972-ac24-787626a39a5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B0F90-4390-4417-B9C4-0CC002E76AE4}">
  <ds:schemaRefs>
    <ds:schemaRef ds:uri="http://purl.org/dc/terms/"/>
    <ds:schemaRef ds:uri="http://purl.org/dc/elements/1.1/"/>
    <ds:schemaRef ds:uri="http://www.w3.org/XML/1998/namespace"/>
    <ds:schemaRef ds:uri="69896359-b98d-4972-ac24-787626a39a52"/>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866aabb8-7ec2-447a-a7ff-f911015037e7"/>
  </ds:schemaRefs>
</ds:datastoreItem>
</file>

<file path=customXml/itemProps2.xml><?xml version="1.0" encoding="utf-8"?>
<ds:datastoreItem xmlns:ds="http://schemas.openxmlformats.org/officeDocument/2006/customXml" ds:itemID="{03D25583-2FB3-45E8-9B97-3C4DF99B1875}">
  <ds:schemaRefs>
    <ds:schemaRef ds:uri="http://schemas.microsoft.com/sharepoint/v3/contenttype/forms"/>
  </ds:schemaRefs>
</ds:datastoreItem>
</file>

<file path=customXml/itemProps3.xml><?xml version="1.0" encoding="utf-8"?>
<ds:datastoreItem xmlns:ds="http://schemas.openxmlformats.org/officeDocument/2006/customXml" ds:itemID="{A21BAB92-7A12-4DC9-A200-7409A51CDB5A}">
  <ds:schemaRefs>
    <ds:schemaRef ds:uri="http://schemas.microsoft.com/sharepoint/events"/>
  </ds:schemaRefs>
</ds:datastoreItem>
</file>

<file path=customXml/itemProps4.xml><?xml version="1.0" encoding="utf-8"?>
<ds:datastoreItem xmlns:ds="http://schemas.openxmlformats.org/officeDocument/2006/customXml" ds:itemID="{9361A0D1-1F98-4EE0-92BE-4B8DABC52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96359-b98d-4972-ac24-787626a39a52"/>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C6C397-CB4B-41F1-818E-BD9EBC3FD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90</Pages>
  <Words>24495</Words>
  <Characters>189595</Characters>
  <Application>Microsoft Office Word</Application>
  <DocSecurity>0</DocSecurity>
  <Lines>3869</Lines>
  <Paragraphs>1446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2018-02-05T10:31:00Z</dcterms:created>
  <dcterms:modified xsi:type="dcterms:W3CDTF">2018-02-22T14:50:00Z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ContentTypeId">
    <vt:lpwstr>0x010100258AA79CEB83498886A3A0868112325000716C6D809718154B85A00D8564272987</vt:lpwstr>
  </property>
  <property fmtid="{D5CDD505-2E9C-101B-9397-08002B2CF9AE}" pid="5" name="_dlc_DocIdItemGuid">
    <vt:lpwstr>118f61f3-23fb-47cb-9ed2-3a4ced82338d</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Level of sensitivity">
    <vt:lpwstr>Standard treatment</vt:lpwstr>
  </property>
  <property fmtid="{D5CDD505-2E9C-101B-9397-08002B2CF9AE}" pid="10" name="DQCStatus">
    <vt:lpwstr>Yellow (DQC version 03)</vt:lpwstr>
  </property>
</Properties>
</file>