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52B212-9646-4E1B-A380-DE3869092599"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 xml:space="preserve">Η Επιτροπή ενέκρινε σήμερα μια δέσμη μέτρων για την εμβάθυνση της Ένωσης Κεφαλαιαγορών, παράλληλα με την έκδοση της ανακοίνωσης «Ολοκλήρωση της Ένωσης Κεφαλαιαγορών έως το 2019 – καιρός να επιταχύνουμε την επίτευξη αποτελεσμάτων». Η δέσμη μέτρων περιλαμβάνει την παρούσα πρόταση, καθώς και μια πρόταση για ένα ευνοϊκό πλαίσιο σε επίπεδο ΕΕ για τα καλυμμένα ομόλογα, μια πρόταση με σκοπό τη διευκόλυνση της διασυνοριακής διανομής επενδυτικών κεφαλαίων, μια πρόταση σχετικά με το εφαρμοστέο δίκαιο στα έναντι τρίτων αποτελέσματα των εκχωρήσεων απαιτήσεων, καθώς και μια ανακοίνωση σχετικά με το εφαρμοστέο δίκαιο στα εμπράγματα αποτελέσματα των συναλλαγών επί κινητών αξιών. </w:t>
      </w:r>
    </w:p>
    <w:p>
      <w:pPr>
        <w:rPr>
          <w:noProof/>
        </w:rPr>
      </w:pPr>
      <w:r>
        <w:rPr>
          <w:noProof/>
        </w:rPr>
        <w:t xml:space="preserve">Η πρωτοβουλία αυτή εντάσσεται στην προτεραιότητα της Επιτροπής για την εδραίωση της Ένωσης Κεφαλαιαγορών, που έχει στόχο τη διεύρυνση της πρόσβασης των καινοτόμων εταιρειών, των νεοφυών επιχειρήσεων και άλλων μη εισηγμένων στο χρηματιστήριο επιχειρήσεων σε χρηματοδότηση. </w:t>
      </w:r>
    </w:p>
    <w:p>
      <w:pPr>
        <w:rPr>
          <w:noProof/>
        </w:rPr>
      </w:pPr>
      <w:r>
        <w:rPr>
          <w:noProof/>
        </w:rPr>
        <w:t>Σήμερα, η πρόσβαση σε χρηματοδότηση παραμένει δυσχερής για τις εν λόγω επιχειρήσεις, ιδίως κατά τη μετάβασή τους από τη φάση της εκκίνησης στη φάση της επέκτασης, λόγω ασύμμετρης πληροφόρησης, η οποία έχει μάλιστα διαρθρωτικό χαρακτήρα. Η υπερβολική εξάρτηση από τον βραχυπρόθεσμο, άνευ εξασφάλισης, τραπεζικό δανεισμό είναι, συχνά, υπερβολικά δαπανηρή για τις νεοφυείς επιχειρήσεις και, γενικότερα, για τις μικρές και μεσαίες επιχειρήσεις (ΜΜΕ). Επιπλέον, το ύψος των τραπεζικών χορηγήσεων τόσο προς νεοφυείς επιχειρήσεις όσο και προς ΜΜΕ επηρεάστηκε σημαντικά από τη χρηματοπιστωτική κρίση του 2008, με αποτέλεσμα η έλλειψη κεφαλαίων να αποτελεί σημαντική αιτία για τις πτωχεύσεις νεοφυών επιχειρήσεων.</w:t>
      </w:r>
    </w:p>
    <w:p>
      <w:pPr>
        <w:rPr>
          <w:noProof/>
        </w:rPr>
      </w:pPr>
      <w:r>
        <w:rPr>
          <w:noProof/>
        </w:rPr>
        <w:t>Υπό το πρίσμα των εν λόγω αδυναμιών της αγοράς, η πληθοχρηματοδότηση έχει εξελιχθεί σε καθιερωμένη μορφή πληθοπορισμού και εναλλακτικής χρηματοδότησης. Το μοντέλο πληθοχρηματοδότησης συνήθως περιλαμβάνει τους κύριους του έργου, οι οποίοι προτείνουν το προς χρηματοδότηση έργο, τους επενδυτές, οι οποίοι στηρίζουν το προτεινόμενο έργο μέσω χρηματοδότησης, και μια διαμεσολαβητική πλατφόρμα, η οποία φέρνει τα μέρη σε επαφή, για να χρηματοδοτηθεί και να ξεκινήσει το εν λόγω έργο. Οι πλατφόρμες πληθοχρηματοδότησης χρησιμοποιούνται όλο και περισσότερο ως μέσο για τη χρηματοδότηση των διαφόρων δραστηριοτήτων των μικρών και νεογενών επιχειρήσεων.</w:t>
      </w:r>
    </w:p>
    <w:p>
      <w:pPr>
        <w:rPr>
          <w:noProof/>
        </w:rPr>
      </w:pPr>
      <w:r>
        <w:rPr>
          <w:noProof/>
        </w:rPr>
        <w:t>Ανταποκρινόμενα στις εξελίξεις, κάποια κράτη μέλη έχουν καθιερώσει ήδη εγχώρια εξειδικευμένα καθεστώτα για την πληθοχρηματοδότηση. Ωστόσο, τα κράτη μέλη προσαρμόζουν τα κανονιστικά τους πλαίσια στα χαρακτηριστικά και τις ανάγκες των τοπικών αγορών και επενδυτών, γεγονός που οδηγεί σε διαφορές ως προς τον τρόπο σχεδιασμού και εφαρμογής των κανόνων όσον αφορά τους όρους λειτουργίας των πλατφορμών πληθοχρηματοδότησης, την έκταση των επιτρεπόμενων δραστηριοτήτων και τις απαιτήσεις αδειοδότησης. Ως αποτέλεσμα των διαφορετικών κανονιστικών προσεγγίσεων, τα επιχειρηματικά μοντέλα των πλατφορμών δεν είναι εύκολο να αποκτήσουν διαβατήριο παροχής υπηρεσιών σε ολόκληρη την Ένωση. Δεδομένης της αβεβαιότητας και του υψηλού κόστους συμμόρφωσης για τις πλατφόρμες σε διασυνοριακό πλαίσιο, που προκύπτουν λόγω της έλλειψης κατάλληλου πλαισίου της ΕΕ για την πληθοχρηματοδότηση, οι πάροχοι υπηρεσιών πληθοχρηματοδότησης αντιμετωπίζουν δυσκολίες να επεκτείνουν τις δραστηριότητές τους, και οι διασυνοριακές ροές παραμένουν περιορισμένες.</w:t>
      </w:r>
    </w:p>
    <w:p>
      <w:pPr>
        <w:rPr>
          <w:noProof/>
        </w:rPr>
      </w:pPr>
      <w:r>
        <w:rPr>
          <w:noProof/>
        </w:rPr>
        <w:lastRenderedPageBreak/>
        <w:t>Το Ευρωπαϊκό Κοινοβούλιο και το Συμβούλιο εξέδωσαν τον κανονισμό (ΕΕ) XXX/XXX  σχετικά με τους Ευρωπαίους παρόχους υπηρεσιών πληθοχρηματοδότησης</w:t>
      </w:r>
      <w:r>
        <w:rPr>
          <w:rStyle w:val="FootnoteReference"/>
          <w:noProof/>
        </w:rPr>
        <w:footnoteReference w:id="1"/>
      </w:r>
      <w:r>
        <w:rPr>
          <w:noProof/>
        </w:rPr>
        <w:t xml:space="preserve">, προκειμένου, μεταξύ άλλων, να καθοριστούν αναλογικές απαιτήσεις για την παροχή υπηρεσιών πληθοχρηματοδότησης και να διευκολυνθεί η παροχή τους σε διασυνοριακή βάση, με παράλληλη διαχείριση των λειτουργικών κινδύνων και διασφάλιση υψηλού επιπέδου διαφάνειας και προστασίας των επενδυτών. Ο κανονισμός (ΕΕ) XXX/XXXX [κανονισμός σχετικά με τους Ευρωπαίους παρόχους υπηρεσιών πληθοχρηματοδότησης] προβλέπει ενιαίες, αναλογικές και άμεσα εφαρμόσιμες απαιτήσεις για τη χορήγηση άδειας λειτουργίας και την εποπτεία, καθώς ένα ενιαίο σημείο συγκέντρωσης της εποπτείας. </w:t>
      </w:r>
    </w:p>
    <w:p>
      <w:pPr>
        <w:rPr>
          <w:noProof/>
        </w:rPr>
      </w:pPr>
      <w:r>
        <w:rPr>
          <w:noProof/>
        </w:rPr>
        <w:t>Επιπλέον, δεδομένης της ανάγκης να διασφαλίζεται σαφής διαχωρισμός των υπηρεσιών, για τη διαχείριση των συγκρούσεων συμφερόντων και για τη διασφάλιση αποτελεσματικής εποπτείας, ένα πρόσωπο εξουσιοδοτημένο ως πάροχος υπηρεσιών πληθοχρηματοδότησης βάσει του κανονισμού (ΕΕ) XXX/XXXX [κανονισμός σχετικά με τους Ευρωπαίους παρόχους υπηρεσιών πληθοχρηματοδότησης] δεν θα πρέπει να λαμβάνει άδεια λειτουργίας βάσει της οδηγίας 2014/65/ΕΕ, και αντιστρόφως.</w:t>
      </w:r>
    </w:p>
    <w:p>
      <w:pPr>
        <w:tabs>
          <w:tab w:val="left" w:pos="0"/>
        </w:tabs>
        <w:rPr>
          <w:noProof/>
        </w:rPr>
      </w:pPr>
      <w:r>
        <w:rPr>
          <w:noProof/>
        </w:rPr>
        <w:t xml:space="preserve">Για λόγους ασφάλειας δικαίου και προκειμένου να αποφευχθεί η εφαρμογή των απαιτήσεων που απορρέουν από την οδηγία 2014/65/ΕΕ στην παροχή υπηρεσιών πληθοχρηματοδότησης, είναι αναγκαίο να διευκρινιστεί ρητά ότι η οδηγία 2014/65/ΕΕ δεν εφαρμόζεται στα πρόσωπα που έχουν λάβει άδεια ως πάροχοι υπηρεσιών πληθοχρηματοδότησης, όπως ορίζονται στον κανονισμό (ΕΕ) XXX/XXX. </w:t>
      </w:r>
    </w:p>
    <w:p>
      <w:pPr>
        <w:pBdr>
          <w:top w:val="nil"/>
          <w:left w:val="nil"/>
          <w:bottom w:val="nil"/>
          <w:right w:val="nil"/>
          <w:between w:val="nil"/>
          <w:bar w:val="nil"/>
        </w:pBdr>
        <w:spacing w:before="0" w:after="240"/>
        <w:rPr>
          <w:rFonts w:eastAsia="Arial Unicode MS"/>
          <w:noProof/>
        </w:rPr>
      </w:pPr>
      <w:r>
        <w:rPr>
          <w:noProof/>
        </w:rPr>
        <w:t>Για τον σκοπό αυτόν, με την παρούσα πρόταση εξαιρούνται οι πάροχοι υπηρεσιών πληθοχρηματοδότησης από τις υποχρεώσεις που απορρέουν από την οδηγία 2014/65/ΕΕ για τις αγορές χρηματοπιστωτικών μέσων.</w:t>
      </w:r>
    </w:p>
    <w:p>
      <w:pPr>
        <w:pStyle w:val="ManualHeading2"/>
        <w:rPr>
          <w:rFonts w:eastAsia="Arial Unicode MS"/>
          <w:noProof/>
          <w:color w:val="000000"/>
          <w:szCs w:val="24"/>
          <w:u w:color="000000"/>
          <w:bdr w:val="nil"/>
        </w:rPr>
      </w:pPr>
      <w:r>
        <w:rPr>
          <w:noProof/>
          <w:color w:val="000000"/>
          <w:u w:color="000000"/>
          <w:bdr w:val="nil"/>
        </w:rPr>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rFonts w:eastAsia="Arial Unicode MS"/>
          <w:noProof/>
          <w:szCs w:val="24"/>
        </w:rPr>
      </w:pPr>
      <w:r>
        <w:rPr>
          <w:noProof/>
          <w:color w:val="000000"/>
          <w:u w:color="000000"/>
          <w:bdr w:val="nil"/>
        </w:rPr>
        <w:t>Η παροχή υπηρεσιών</w:t>
      </w:r>
      <w:r>
        <w:rPr>
          <w:noProof/>
        </w:rPr>
        <w:t xml:space="preserve"> πληθοχρηματοδότησης σε ολόκληρη την Ένωση ρυθμίζεται με τον κανονισμό (ΕΕ) XXXX/XX σχετικά με τους Ευρωπαίους παρόχους υπηρεσιών πληθοχρηματοδότησης, σε σχέση με τον οποίο η παρούσα πρόταση είναι αλληλοσυμπληρωματική.</w:t>
      </w:r>
    </w:p>
    <w:p>
      <w:pPr>
        <w:pStyle w:val="ManualHeading2"/>
        <w:rPr>
          <w:rFonts w:eastAsia="Arial Unicode MS"/>
          <w:noProof/>
          <w:szCs w:val="24"/>
        </w:rPr>
      </w:pPr>
      <w:r>
        <w:rPr>
          <w:noProof/>
          <w:color w:val="000000"/>
          <w:u w:color="000000"/>
          <w:bdr w:val="nil"/>
        </w:rPr>
        <w:t>•</w:t>
      </w:r>
      <w:r>
        <w:rPr>
          <w:noProof/>
        </w:rPr>
        <w:tab/>
        <w:t>Συνέπεια με άλλες πολιτικές της Ένωσης</w:t>
      </w:r>
    </w:p>
    <w:p>
      <w:pPr>
        <w:rPr>
          <w:rFonts w:eastAsia="Arial Unicode MS"/>
          <w:noProof/>
          <w:szCs w:val="24"/>
        </w:rPr>
      </w:pPr>
      <w:r>
        <w:rPr>
          <w:noProof/>
        </w:rPr>
        <w:t>Η πρόταση είναι συνεπής και συμπληρωματική προς τον κανονισμό (ΕΕ) XXXX/XX σχετικά με τους Ευρωπαίους παρόχους υπηρεσιών πληθοχρηματοδότησης στην Ευρωπαϊκή Ένωση, ο οποίος έχει ως στόχο τη διεύρυνση της πρόσβασης των καινοτόμων, νεοφυών και λοιπών μη εισηγμένων στο χρηματιστήριο επιχειρήσεων σε χρηματοδότηση, στο πλαίσιο της προτεραιότητας της Επιτροπής για τη δημιουργία Ένωσης Κεφαλαιαγορών. Προσφέροντας στους παρόχους υπηρεσιών πληθοχρηματοδότησης ένα πιο ευνοϊκό νομικό πλαίσιο, ο εν λόγω κανονισμός, συνοδευόμενος από την πρόταση, αποσκοπεί να βοηθήσει τις νεοφυείς επιχειρήσεις και τις ΜΜΕ να αποκτήσουν πρόσβαση σε εναλλακτικές πηγές κεφαλαίου, σε συνδυασμό και με άλλες πρωτοβουλίες που επιδιώκουν να διευκολύνουν την πρόσβαση αυτών των οντοτήτων σε χρηματοδότηση, όπως το πλαίσιο για τις ευρωπαϊκές εταιρείες επιχειρηματικού κεφαλαίου.</w:t>
      </w:r>
    </w:p>
    <w:p>
      <w:pPr>
        <w:pBdr>
          <w:top w:val="nil"/>
          <w:left w:val="nil"/>
          <w:bottom w:val="nil"/>
          <w:right w:val="nil"/>
          <w:between w:val="nil"/>
          <w:bar w:val="nil"/>
        </w:pBdr>
        <w:spacing w:before="0" w:after="240"/>
        <w:rPr>
          <w:rFonts w:eastAsia="Arial Unicode MS"/>
          <w:noProof/>
          <w:szCs w:val="24"/>
        </w:rPr>
      </w:pPr>
      <w:r>
        <w:rPr>
          <w:noProof/>
        </w:rPr>
        <w:t xml:space="preserve">Η πρωτοβουλία εντάσσεται επίσης στο Σχέδιο Δράσης για τη χρηματοοικονομική τεχνολογία (FinTech), στόχος του οποίου είναι να συμβάλει στην καλύτερη κατανόηση και αξιοποίηση της τεχνολογίας για τη στήριξη του τομέα χρηματοπιστωτικών υπηρεσιών. Μάλιστα, ο τομέας χρηματοπιστωτικών υπηρεσιών είναι ο μεγαλύτερος χρήστης ψηφιακών τεχνολογιών </w:t>
      </w:r>
      <w:r>
        <w:rPr>
          <w:noProof/>
        </w:rPr>
        <w:lastRenderedPageBreak/>
        <w:t>και αποτελεί καταλυτικό παράγοντα για τον ψηφιακό μετασχηματισμό της κοινωνίας μας. Αυτές οι νέες τεχνολογίες μεταβάλλουν τον τρόπο με τον οποίο καταναλωτές και επιχειρήσεις αποκτούν πρόσβαση σε υπηρεσίες και, παράλληλα, βελτιώνουν την ικανότητα κατανόησης και αποτίμησης των κινδύνων. Στόχος της Επιτροπής είναι να επιλεγεί μια προσέγγιση της χρηματοοικονομικής τεχνολογίας που θα είναι περισσότερο προσανατολισμένη στην καινοτομία, μέσω της διευκόλυνσης ενός ρυθμιστικού περιβάλλοντος όπου καινοτόμες χρηματοπιστωτικές υπηρεσίες, προϊόντα και λύσεις θα μπορούν να παρέχονται σε ολόκληρη την ΕΕ, σε ένα ασφαλές και οικονομικά σταθερό περιβάλλον τόσο για τους επενδυτές όσο και για τις επιχειρήσεις.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szCs w:val="24"/>
        </w:rPr>
      </w:pPr>
      <w:r>
        <w:rPr>
          <w:noProof/>
        </w:rPr>
        <w:t>Η νομική βάση της παρούσας πρότασης είναι το άρθρο 53 παράγραφος 1 της Συνθήκης για τη λειτουργία της Ευρωπαϊκής Ένωσης (ΣΛΕΕ), το οποίο επιτρέπει τη θέσπιση μέτρων για την προσέγγιση των εθνικών διατάξεων που αφορούν την πρόσβαση στις δραστηριότητες επιχειρήσεων επενδύσεων, ρυθμιζόμενων αγορών και παρόχων υπηρεσιών δεδομένων.</w:t>
      </w:r>
    </w:p>
    <w:p>
      <w:pPr>
        <w:pStyle w:val="ManualHeading2"/>
        <w:rPr>
          <w:rFonts w:eastAsia="Arial Unicode MS"/>
          <w:noProof/>
          <w:u w:color="000000"/>
          <w:bdr w:val="nil"/>
        </w:rPr>
      </w:pPr>
      <w:r>
        <w:rPr>
          <w:noProof/>
        </w:rPr>
        <w:t>•</w:t>
      </w:r>
      <w:r>
        <w:rPr>
          <w:noProof/>
        </w:rPr>
        <w:tab/>
        <w:t>Επικουρικότητα</w:t>
      </w:r>
    </w:p>
    <w:p>
      <w:pPr>
        <w:pBdr>
          <w:top w:val="nil"/>
          <w:left w:val="nil"/>
          <w:bottom w:val="nil"/>
          <w:right w:val="nil"/>
          <w:between w:val="nil"/>
          <w:bar w:val="nil"/>
        </w:pBdr>
        <w:spacing w:before="0" w:after="240"/>
        <w:rPr>
          <w:noProof/>
          <w:szCs w:val="24"/>
        </w:rPr>
      </w:pPr>
      <w:r>
        <w:rPr>
          <w:noProof/>
        </w:rPr>
        <w:t xml:space="preserve">Σύμφωνα με το άρθρο 4 της ΣΛΕΕ, η δράση της ΕΕ για την ολοκλήρωση της εσωτερικής αγοράς πρέπει να εκτιμάται υπό το πρίσμα της αρχής της επικουρικότητας, που διατυπώνεται στο άρθρο 5 παράγραφος 3 της Συνθήκης για την Ευρωπαϊκή Ένωση (ΣΕΕ). Πρέπει να εκτιμηθεί κατά πόσον οι στόχοι της πρότασης δεν θα ήταν δυνατόν να επιτευχθούν από τα κράτη μέλη στο πλαίσιο των εθνικών νομικών συστημάτων τους και, λόγω της κλίμακας και των αποτελεσμάτων τους, κατά πόσον μπορούν να επιτευχθούν καλύτερα σε επίπεδο ΕΕ. </w:t>
      </w:r>
    </w:p>
    <w:p>
      <w:pPr>
        <w:pBdr>
          <w:top w:val="nil"/>
          <w:left w:val="nil"/>
          <w:bottom w:val="nil"/>
          <w:right w:val="nil"/>
          <w:between w:val="nil"/>
          <w:bar w:val="nil"/>
        </w:pBdr>
        <w:spacing w:before="0" w:after="240"/>
        <w:rPr>
          <w:noProof/>
          <w:szCs w:val="24"/>
        </w:rPr>
      </w:pPr>
      <w:r>
        <w:rPr>
          <w:noProof/>
        </w:rPr>
        <w:t>Οι διαφορετικές προσεγγίσεις τις οποίες ακολουθούν τα κράτη μέλη της Ένωσης, καθώς και οι διαφορετικές ερμηνείες της δραστηριότητας πληθοχρηματοδότησης, έχουν δυσχεράνει την απόκτηση διαβατηρίου από τους παρόχους υπηρεσιών πληθοχρηματοδότησης για την παροχή των υπηρεσιών τους σε ολόκληρη την ΕΕ. Οι υπηρεσίες της Επιτροπής έχουν παρακολουθήσει τις εξελίξεις στην αγορά, από το 2013, και έχουν διαπιστώσει την ύπαρξη αυξανόμενων αποκλίσεων και μεγεθυνόμενων προβλημάτων, τα οποία καθιστούν αναγκαία την παρέμβαση σε επίπεδο ΕΕ. Εξάλλου, τα κράτη μέλη δεν έχουν αναλάβει έως τώρα πρωτοβουλίες για τον συντονισμό των κανόνων που διέπουν τις υπηρεσίες δανειακών χορηγήσεων από ιδρύματα που δεν δέχονται καταθέσεις, και η εφαρμογή των κανόνων της MiFID σε πλατφόρμες πληθοχρηματοδότησης με τη μορφή επενδύσεων δεν έχει ακόμη επαρκώς ενιαίο χαρακτήρα ώστε να καταστεί δυνατή η δραστηριοποίηση σε διασυνοριακό επίπεδο. Η ανάληψη περαιτέρω δράσης από τα κράτη μέλη μπορεί να εξασφαλίσει την αποκατάσταση μόνο της δικής τους εσωτερικής αγοράς, κάτι που δεν θα ήταν αρκετό για να περιοριστούν οι αρνητικές επιπτώσεις στη λειτουργία της ενιαίας αγοράς.</w:t>
      </w:r>
    </w:p>
    <w:p>
      <w:pPr>
        <w:pBdr>
          <w:top w:val="nil"/>
          <w:left w:val="nil"/>
          <w:bottom w:val="nil"/>
          <w:right w:val="nil"/>
          <w:between w:val="nil"/>
          <w:bar w:val="nil"/>
        </w:pBdr>
        <w:spacing w:before="0" w:after="240"/>
        <w:rPr>
          <w:noProof/>
          <w:szCs w:val="24"/>
        </w:rPr>
      </w:pPr>
      <w:r>
        <w:rPr>
          <w:noProof/>
        </w:rPr>
        <w:t>Ως εκ τούτου, ο στόχος να διευκολυνθεί η πρόσβαση σε χρηματοδότηση εκκίνησης και πρώιμου σταδίου για τις καινοτόμες, τις νεοφυείς και λοιπές μη εισηγμένες εταιρείες, καθώς και να διαμορφωθεί ένα σαφές, ενιαίο και διαφανές κανονιστικό περιβάλλον για τους επενδυτές που επιθυμούν να υποστηρίξουν τα έργα αυτά, δεν μπορεί να επιτευχθεί με μεμονωμένη δράση των κρατών μελών.</w:t>
      </w:r>
    </w:p>
    <w:p>
      <w:pPr>
        <w:pStyle w:val="ManualHeading2"/>
        <w:rPr>
          <w:rFonts w:eastAsia="Arial Unicode MS"/>
          <w:noProof/>
          <w:szCs w:val="24"/>
          <w:u w:color="000000"/>
          <w:bdr w:val="nil"/>
        </w:rPr>
      </w:pPr>
      <w:r>
        <w:rPr>
          <w:noProof/>
        </w:rPr>
        <w:t>•</w:t>
      </w:r>
      <w:r>
        <w:rPr>
          <w:noProof/>
        </w:rPr>
        <w:tab/>
        <w:t>Αναλογικότητα</w:t>
      </w:r>
    </w:p>
    <w:p>
      <w:pPr>
        <w:rPr>
          <w:noProof/>
          <w:szCs w:val="24"/>
        </w:rPr>
      </w:pPr>
      <w:r>
        <w:rPr>
          <w:noProof/>
        </w:rPr>
        <w:t xml:space="preserve">Σύμφωνα με την αρχή της αναλογικότητας, το περιεχόμενο και η μορφή της δράσης της ΕΕ δεν θα πρέπει υπερβαίνουν τα αναγκαία όρια για την επίτευξη των στόχων των Συνθηκών. </w:t>
      </w:r>
    </w:p>
    <w:p>
      <w:pPr>
        <w:rPr>
          <w:noProof/>
          <w:szCs w:val="24"/>
        </w:rPr>
      </w:pPr>
      <w:r>
        <w:rPr>
          <w:noProof/>
        </w:rPr>
        <w:lastRenderedPageBreak/>
        <w:t xml:space="preserve">Η πληθοχρηματοδότηση αφορά μικρότερης κλίμακας δραστηριότητες άντλησης κεφαλαίων για καινούργιες νεοφυείς επιχειρήσεις ή μικρές επεκτεινόμενες επιχειρήσεις. Ωστόσο, σε ορισμένα κράτη μέλη, οι πάροχοι θα πρέπει να εφαρμόζουν την ισχύουσα τομεακή νομοθεσία, λόγου χάρη την οδηγία για τις αγορές χρηματοπιστωτικών μέσων (MiFID II) και τον κανονισμό για τις αγορές χρηματοπιστωτικών μέσων (MiFIR). Οι εν λόγω κανόνες ενδέχεται να έχουν δυσανάλογο χαρακτήρα όταν πρόκειται για δραστηριότητες μικρής κλίμακας. Επιπλέον, οι κανόνες αυτοί ενδέχεται να μην είναι κατάλληλοι για τον σκοπό για τον οποίο προορίζονται. Η πληθοχρηματοδότηση περιλαμβάνει πληθώρα διαφορετικών επιχειρηματικών μοντέλων, τα οποία ενδεχομένως δεν υπόκεινται σε ρύθμιση στο σύνολό τους, με αποτέλεσμα να υπάρξουν ενδεχομένως απρόβλεπτες δευτερογενείς συνέπειες σε ρυθμιστικό επίπεδο. Κατά συνέπεια, ενδέχεται να μην είναι δυνατή η κάλυψη, με αναλογικό τρόπο, ενός αυξανόμενου αριθμού πλατφορμών που συνδυάζουν διαφορετικά επιχειρηματικά μοντέλα, τα οποία μπορεί να περιλαμβάνουν συναλλαγές δανειοδοτικού και επενδυτικού χαρακτήρα, καθώς και τη χρήση νεοεμφανιζόμενων, απροσδιόριστων μέσων. </w:t>
      </w:r>
    </w:p>
    <w:p>
      <w:pPr>
        <w:rPr>
          <w:noProof/>
          <w:szCs w:val="24"/>
        </w:rPr>
      </w:pPr>
      <w:r>
        <w:rPr>
          <w:noProof/>
        </w:rPr>
        <w:t>Για τους λόγους αυτούς, η εξαίρεση των παρόχων υπηρεσιών πληθοχρηματοδότησης από τις υποχρεώσεις της οδηγίας MiFID, και η επακόλουθη αποκλειστική εφαρμογή του κανονισμού (ΕΕ) XXXX/XX για τα εν λόγω πρόσωπα, θα έχουν ως αποτέλεσμα ένα περισσότερο αναλογικό κανονιστικό περιβάλλον για τους παρόχους υπηρεσιών πληθοχρηματοδότησης.</w:t>
      </w:r>
    </w:p>
    <w:p>
      <w:pPr>
        <w:pBdr>
          <w:top w:val="nil"/>
          <w:left w:val="nil"/>
          <w:bottom w:val="nil"/>
          <w:right w:val="nil"/>
          <w:between w:val="nil"/>
          <w:bar w:val="nil"/>
        </w:pBdr>
        <w:spacing w:before="0" w:after="240"/>
        <w:rPr>
          <w:rFonts w:eastAsia="Arial Unicode MS"/>
          <w:noProof/>
          <w:szCs w:val="24"/>
        </w:rPr>
      </w:pPr>
      <w:r>
        <w:rPr>
          <w:noProof/>
        </w:rPr>
        <w:t>Συν τοις άλλοις, με τον τρόπο αυτόν θα εξασφαλιστεί σχετικά ταχεία και αισθητή μείωση του κόστους εισόδου στην αγορά (που σχετίζεται με τη ρύθμιση και την εποπτεία) για τις πλατφόρμες πληθοχρηματοδότησης που δραστηριοποιούνται (ή προτίθενται να δραστηριοποιηθούν) διασυνοριακά, δεδομένου ότι θα λαμβάνουν άδεια λειτουργίας μόνο μία φορά και θα επωφελούνται από τον περιορισμό της ρυθμιστικής αβεβαιότητας.</w:t>
      </w:r>
    </w:p>
    <w:p>
      <w:pPr>
        <w:pStyle w:val="ManualHeading2"/>
        <w:rPr>
          <w:rFonts w:eastAsia="Arial Unicode MS"/>
          <w:noProof/>
          <w:szCs w:val="24"/>
          <w:u w:color="000000"/>
          <w:bdr w:val="nil"/>
        </w:rPr>
      </w:pPr>
      <w:r>
        <w:rPr>
          <w:noProof/>
        </w:rPr>
        <w:t>•</w:t>
      </w:r>
      <w:r>
        <w:rPr>
          <w:noProof/>
        </w:rPr>
        <w:tab/>
        <w:t>Επιλογή της νομικής πράξης</w:t>
      </w:r>
    </w:p>
    <w:p>
      <w:pPr>
        <w:pBdr>
          <w:top w:val="nil"/>
          <w:left w:val="nil"/>
          <w:bottom w:val="nil"/>
          <w:right w:val="nil"/>
          <w:between w:val="nil"/>
          <w:bar w:val="nil"/>
        </w:pBdr>
        <w:spacing w:before="0" w:after="240"/>
        <w:rPr>
          <w:rFonts w:eastAsia="Arial Unicode MS"/>
          <w:noProof/>
          <w:szCs w:val="24"/>
        </w:rPr>
      </w:pPr>
      <w:r>
        <w:rPr>
          <w:noProof/>
        </w:rPr>
        <w:t>Το άρθρο 53 παράγραφος 1 της ΣΛΕΕ επιτρέπει την έκδοση πράξεων υπό τη μορφή οδηγίας ή κανονισμού. Η τροποποίηση του πεδίου εφαρμογής της οδηγίας 2014/65/ΕΕ μπορεί να επιτευχθεί, με τον πλέον απλό και νομικά συνεπή τρόπο, μέσω οδηγίας του Ευρωπαϊκού Κοινοβουλίου και του Συμβουλίου για την τροποποίηση της οδηγίας 2014/65/ΕΕ.</w:t>
      </w:r>
    </w:p>
    <w:p>
      <w:pPr>
        <w:pStyle w:val="ManualHeading1"/>
        <w:rPr>
          <w:noProof/>
          <w:szCs w:val="24"/>
        </w:rPr>
      </w:pPr>
      <w:r>
        <w:rPr>
          <w:noProof/>
        </w:rPr>
        <w:t>3.</w:t>
      </w:r>
      <w:r>
        <w:rPr>
          <w:noProof/>
        </w:rPr>
        <w:tab/>
        <w:t>ΕΚΤΙΜΗΣΗ ΕΠΙΠΤΩΣΕΩΝ</w:t>
      </w:r>
    </w:p>
    <w:p>
      <w:pPr>
        <w:pStyle w:val="ManualHeading2"/>
        <w:rPr>
          <w:rFonts w:eastAsia="Arial Unicode MS"/>
          <w:noProof/>
          <w:szCs w:val="24"/>
          <w:u w:color="000000"/>
          <w:bdr w:val="nil"/>
        </w:rPr>
      </w:pPr>
      <w:r>
        <w:rPr>
          <w:noProof/>
        </w:rPr>
        <w:t>•</w:t>
      </w:r>
      <w:r>
        <w:rPr>
          <w:noProof/>
        </w:rPr>
        <w:tab/>
        <w:t>Εκτίμηση επιπτώσεων</w:t>
      </w:r>
    </w:p>
    <w:p>
      <w:pPr>
        <w:pBdr>
          <w:top w:val="nil"/>
          <w:left w:val="nil"/>
          <w:bottom w:val="nil"/>
          <w:right w:val="nil"/>
          <w:between w:val="nil"/>
          <w:bar w:val="nil"/>
        </w:pBdr>
        <w:spacing w:before="0" w:after="240"/>
        <w:rPr>
          <w:rFonts w:eastAsia="Arial Unicode MS"/>
          <w:noProof/>
          <w:szCs w:val="24"/>
        </w:rPr>
      </w:pPr>
      <w:r>
        <w:rPr>
          <w:noProof/>
        </w:rPr>
        <w:t>Οι κυριότερες οικονομικές και κοινωνικές επιπτώσεις εξετάστηκαν λεπτομερώς στην εκτίμηση επιπτώσεων που συνοδεύει την πρόταση κανονισμού του Ευρωπαϊκού Κοινοβουλίου και του Συμβουλίου σχετικά με τους Ευρωπαίους παρόχους υπηρεσιών πληθοχρηματοδότησης.</w:t>
      </w:r>
    </w:p>
    <w:p>
      <w:pPr>
        <w:pStyle w:val="ManualHeading2"/>
        <w:rPr>
          <w:rFonts w:eastAsia="Arial Unicode MS"/>
          <w:noProof/>
          <w:szCs w:val="24"/>
          <w:u w:color="000000"/>
          <w:bdr w:val="nil"/>
        </w:rPr>
      </w:pPr>
      <w:r>
        <w:rPr>
          <w:noProof/>
        </w:rPr>
        <w:t>•</w:t>
      </w:r>
      <w:r>
        <w:rPr>
          <w:noProof/>
        </w:rPr>
        <w:tab/>
        <w:t>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noProof/>
          <w:szCs w:val="24"/>
        </w:rPr>
      </w:pPr>
      <w:r>
        <w:rPr>
          <w:noProof/>
        </w:rPr>
        <w:t>Άνευ αντικειμένου.</w:t>
      </w:r>
    </w:p>
    <w:p>
      <w:pPr>
        <w:pStyle w:val="ManualHeading2"/>
        <w:rPr>
          <w:rFonts w:eastAsia="Arial Unicode MS"/>
          <w:noProof/>
          <w:szCs w:val="24"/>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rFonts w:eastAsia="Arial Unicode MS"/>
          <w:noProof/>
          <w:szCs w:val="24"/>
        </w:rPr>
      </w:pPr>
      <w:r>
        <w:rPr>
          <w:noProof/>
        </w:rPr>
        <w:t>Δεν υπάρχει σημαντική επίπτωση στα θεμελιώδη δικαιώματα από την παρούσα πρωτοβουλία.</w:t>
      </w:r>
    </w:p>
    <w:p>
      <w:pPr>
        <w:pStyle w:val="ManualHeading1"/>
        <w:rPr>
          <w:noProof/>
          <w:szCs w:val="24"/>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szCs w:val="24"/>
        </w:rPr>
      </w:pPr>
      <w:r>
        <w:rPr>
          <w:noProof/>
        </w:rPr>
        <w:t>Η παρούσα πρόταση δεν έχει επιπτώσεις στον προϋπολογισμό της Ένωσης.</w:t>
      </w:r>
    </w:p>
    <w:p>
      <w:pPr>
        <w:pStyle w:val="ManualHeading1"/>
        <w:rPr>
          <w:noProof/>
          <w:szCs w:val="24"/>
        </w:rPr>
      </w:pPr>
      <w:r>
        <w:rPr>
          <w:noProof/>
        </w:rPr>
        <w:lastRenderedPageBreak/>
        <w:t>5.</w:t>
      </w:r>
      <w:r>
        <w:rPr>
          <w:noProof/>
        </w:rPr>
        <w:tab/>
        <w:t>ΛΟΙΠΑ ΣΤΟΙΧΕΙΑ</w:t>
      </w:r>
    </w:p>
    <w:p>
      <w:pPr>
        <w:pStyle w:val="ManualHeading2"/>
        <w:rPr>
          <w:rFonts w:eastAsia="Arial Unicode MS"/>
          <w:noProof/>
          <w:szCs w:val="24"/>
          <w:u w:color="000000"/>
          <w:bdr w:val="nil"/>
        </w:rPr>
      </w:pPr>
      <w:r>
        <w:rPr>
          <w:noProof/>
        </w:rPr>
        <w:t>•</w:t>
      </w:r>
      <w:r>
        <w:rPr>
          <w:noProof/>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szCs w:val="24"/>
        </w:rPr>
      </w:pPr>
      <w:r>
        <w:rPr>
          <w:noProof/>
        </w:rPr>
        <w:t>Άνευ αντικειμένου.</w:t>
      </w:r>
    </w:p>
    <w:p>
      <w:pPr>
        <w:pStyle w:val="ManualHeading2"/>
        <w:rPr>
          <w:rFonts w:eastAsia="Arial Unicode MS"/>
          <w:noProof/>
          <w:szCs w:val="24"/>
          <w:u w:color="000000"/>
          <w:bdr w:val="nil"/>
        </w:rPr>
      </w:pPr>
      <w:r>
        <w:rPr>
          <w:noProof/>
        </w:rPr>
        <w:t>•</w:t>
      </w:r>
      <w:r>
        <w:rPr>
          <w:noProof/>
        </w:rPr>
        <w:tab/>
        <w:t>Αναλυτική επεξήγηση των επιμέρους διατάξεων της πρότασης</w:t>
      </w:r>
    </w:p>
    <w:p>
      <w:pPr>
        <w:spacing w:before="0" w:after="0"/>
        <w:rPr>
          <w:noProof/>
          <w:szCs w:val="24"/>
        </w:rPr>
      </w:pPr>
      <w:r>
        <w:rPr>
          <w:noProof/>
        </w:rPr>
        <w:t>Το άρθρο 1 είναι η μόνη σημαντική διάταξη της πρότασης. Τροποποιεί το πεδίο εφαρμογής της οδηγίας 2014/65/ΕΕ, με την προσθήκη των παρόχων υπηρεσιών πληθοχρηματοδότησης που έχουν αδειοδοτηθεί βάσει του κανονισμού (ΕΕ) XXX/XXXX [κανονισμός σχετικά με τους Ευρωπαίους παρόχους υπηρεσιών πληθοχρηματοδότησης] στον κατάλογο των εξαιρούμενων οντοτήτων στις οποίες δεν εφαρμόζεται το πεδίο εφαρμογής της οδηγίας 2014/65/ΕΕ. Βάσει του άρθρου 2 απαιτείται από τα κράτη μέλη να διασφαλίσουν τη μεταφορά των διατάξεων της οδηγίας στο εθνικό δίκαιο. Το άρθρο 3 καθορίζει την ημερομηνία έναρξης ισχύος της τροποποιημένης οδηγίας 2004/65/ΕΕ.</w:t>
      </w:r>
    </w:p>
    <w:p>
      <w:pPr>
        <w:spacing w:before="0" w:after="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2018/0047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για την τροποποίηση της οδηγίας 2014/65/ΕΕ για τις αγορές χρηματοπιστωτικών μέσων</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53 παράγραφος 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Κεντρικής Τράπεζας</w:t>
      </w:r>
      <w:r>
        <w:rPr>
          <w:rStyle w:val="FootnoteReference"/>
          <w:noProof/>
        </w:rPr>
        <w:footnoteReference w:id="2"/>
      </w:r>
      <w:r>
        <w:rPr>
          <w:noProof/>
        </w:rPr>
        <w:t>,</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3"/>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 xml:space="preserve">Η πληθοχρηματοδότηση παρέχει εναλλακτική πρόσβαση σε χρηματοδότηση για τις επιχειρήσεις, συμβάλλοντας με τον τρόπο αυτόν στην επίτευξη των στόχων της Ένωσης Κεφαλαιαγορών (CMU). </w:t>
      </w:r>
    </w:p>
    <w:p>
      <w:pPr>
        <w:pStyle w:val="ManualConsidrant"/>
        <w:rPr>
          <w:noProof/>
        </w:rPr>
      </w:pPr>
      <w:r>
        <w:t>(2)</w:t>
      </w:r>
      <w:r>
        <w:tab/>
      </w:r>
      <w:r>
        <w:rPr>
          <w:noProof/>
        </w:rPr>
        <w:t>Σύμφωνα με τον κανονισμό (ΕΕ) XXX/XXX του Ευρωπαϊκού Κοινοβουλίου και του Συμβουλίου</w:t>
      </w:r>
      <w:r>
        <w:rPr>
          <w:rStyle w:val="FootnoteReference"/>
          <w:noProof/>
        </w:rPr>
        <w:footnoteReference w:id="4"/>
      </w:r>
      <w:r>
        <w:rPr>
          <w:noProof/>
        </w:rPr>
        <w:t xml:space="preserve">, τα νομικά πρόσωπα μπορούν να επιλέξουν να υποβάλουν στην Ευρωπαϊκή Αρχή Κινητών Αξιών και Αγορών αίτηση για χορήγηση άδειας ως πάροχοι υπηρεσιών πληθοχρηματοδότησης. </w:t>
      </w:r>
    </w:p>
    <w:p>
      <w:pPr>
        <w:pStyle w:val="ManualConsidrant"/>
        <w:rPr>
          <w:noProof/>
        </w:rPr>
      </w:pPr>
      <w:r>
        <w:t>(3)</w:t>
      </w:r>
      <w:r>
        <w:tab/>
      </w:r>
      <w:r>
        <w:rPr>
          <w:noProof/>
        </w:rPr>
        <w:t>Ο κανονισμός (ΕΕ) XXX/XXXX [κανονισμός σχετικά με τους Ευρωπαίους παρόχους υπηρεσιών πληθοχρηματοδότησης] προβλέπει ενιαίες, αναλογικές και άμεσα εφαρμόσιμες απαιτήσεις για τη χορήγηση άδειας λειτουργίας και την εποπτεία των παρόχων υπηρεσιών πληθοχρηματοδότησης, και συγκεντρώνει την εποπτεία των εν λόγω παρόχων υπηρεσιών πληθοχρηματοδότησης στο πλαίσιο της Ευρωπαϊκής Αρχής Κινητών Αξιών και Αγορών.</w:t>
      </w:r>
    </w:p>
    <w:p>
      <w:pPr>
        <w:pStyle w:val="ManualConsidrant"/>
        <w:rPr>
          <w:noProof/>
          <w:szCs w:val="24"/>
        </w:rPr>
      </w:pPr>
      <w:r>
        <w:t>(4)</w:t>
      </w:r>
      <w:r>
        <w:tab/>
      </w:r>
      <w:r>
        <w:rPr>
          <w:noProof/>
        </w:rPr>
        <w:t>Για να υπάρχει ασφάλεια δικαίου όσον αφορά το φάσμα των προσώπων και των δραστηριοτήτων που εμπίπτουν στο πεδίο εφαρμογής του κανονισμού (ΕΕ) XXX/XXXX και της οδηγίας 2014/65/ΕΕ του Ευρωπαϊκού Κοινοβουλίου και του Συμβουλίου</w:t>
      </w:r>
      <w:r>
        <w:rPr>
          <w:rStyle w:val="FootnoteReference"/>
          <w:noProof/>
        </w:rPr>
        <w:footnoteReference w:id="5"/>
      </w:r>
      <w:r>
        <w:rPr>
          <w:noProof/>
        </w:rPr>
        <w:t xml:space="preserve">, και προκειμένου να αποφευχθεί να υπόκειται η ίδια δραστηριότητα σε </w:t>
      </w:r>
      <w:r>
        <w:rPr>
          <w:noProof/>
        </w:rPr>
        <w:lastRenderedPageBreak/>
        <w:t>διαφορετικές άδειες εντός της Ένωσης, τα νομικά πρόσωπα που έχουν λάβει άδεια λειτουργίας ως πάροχοι υπηρεσιών πληθοχρηματοδότησης βάσει του κανονισμού (ΕΕ) XXX/XXXX [κανονισμός σχετικά με τους Ευρωπαίους παρόχους υπηρεσιών πληθοχρηματοδότησης] θα πρέπει να εξαιρούνται από το πεδίο εφαρμογής της οδηγίας 2014/65/ΕΕ.</w:t>
      </w:r>
    </w:p>
    <w:p>
      <w:pPr>
        <w:pStyle w:val="ManualConsidrant"/>
        <w:rPr>
          <w:noProof/>
        </w:rPr>
      </w:pPr>
      <w:r>
        <w:t>(5)</w:t>
      </w:r>
      <w:r>
        <w:tab/>
      </w:r>
      <w:r>
        <w:rPr>
          <w:noProof/>
        </w:rPr>
        <w:t>Δεδομένου ότι η τροποποίηση που προβλέπεται στην παρούσα οδηγία συνδέεται άμεσα με τον κανονισμό (ΕΕ) αριθ. XXX/XXXX [κανονισμός σχετικά με τους Ευρωπαίους παρόχους υπηρεσιών πληθοχρηματοδότησης], θα πρέπει να μετατεθεί η ημερομηνία από την οποία τα κράτη μέλη πρέπει να εφαρμόσουν τα εθνικά μέτρα μεταφοράς της εν λόγω τροποποίησης στο εθνικό δίκαιο, ώστε να συμπίπτει με την ημερομηνία εφαρμογής που προβλέπεται στον εν λόγω κανονισμό,</w:t>
      </w:r>
    </w:p>
    <w:p>
      <w:pPr>
        <w:pStyle w:val="Formuledadoption"/>
        <w:rPr>
          <w:noProof/>
        </w:rPr>
      </w:pPr>
      <w:r>
        <w:rPr>
          <w:noProof/>
        </w:rPr>
        <w:t>ΕΞΕΔΩΣΑΝ ΤΗΝ ΠΑΡΟΥΣΑ ΟΔΗΓΙΑ:</w:t>
      </w:r>
    </w:p>
    <w:p>
      <w:pPr>
        <w:pStyle w:val="Titrearticle"/>
        <w:rPr>
          <w:b/>
          <w:i w:val="0"/>
          <w:noProof/>
        </w:rPr>
      </w:pPr>
      <w:r>
        <w:rPr>
          <w:noProof/>
        </w:rPr>
        <w:t>Άρθρο 1</w:t>
      </w:r>
    </w:p>
    <w:p>
      <w:pPr>
        <w:tabs>
          <w:tab w:val="left" w:pos="567"/>
        </w:tabs>
        <w:jc w:val="left"/>
        <w:rPr>
          <w:noProof/>
        </w:rPr>
      </w:pPr>
      <w:r>
        <w:rPr>
          <w:noProof/>
        </w:rPr>
        <w:t>Στο άρθρο 2 παράγραφος 1 της οδηγίας 2014/65/ΕΕ, προστίθεται το ακόλουθο στοιχείο ιστ):</w:t>
      </w:r>
    </w:p>
    <w:p>
      <w:pPr>
        <w:pStyle w:val="QuotedText"/>
        <w:rPr>
          <w:noProof/>
        </w:rPr>
      </w:pPr>
      <w:r>
        <w:rPr>
          <w:noProof/>
        </w:rPr>
        <w:t>«ιστ)</w:t>
      </w:r>
      <w:r>
        <w:rPr>
          <w:noProof/>
        </w:rPr>
        <w:tab/>
        <w:t>στους παρόχους υπηρεσιών πληθοχρηματοδότησης, όπως ορίζονται στο άρθρο 3 παράγραφος 1 στοιχείο γ) του κανονισμού (ΕΕ) XXX/XXX του Ευρωπαϊκού Κοινοβουλίου και του Συμβουλίου*.</w:t>
      </w:r>
    </w:p>
    <w:p>
      <w:pPr>
        <w:pStyle w:val="QuotedText"/>
        <w:rPr>
          <w:noProof/>
        </w:rPr>
      </w:pPr>
      <w:r>
        <w:rPr>
          <w:noProof/>
        </w:rPr>
        <w:t>_____________________________________________________________</w:t>
      </w:r>
    </w:p>
    <w:p>
      <w:pPr>
        <w:pStyle w:val="QuotedText"/>
        <w:rPr>
          <w:noProof/>
          <w:sz w:val="20"/>
          <w:szCs w:val="20"/>
        </w:rPr>
      </w:pPr>
      <w:r>
        <w:rPr>
          <w:noProof/>
          <w:sz w:val="20"/>
        </w:rPr>
        <w:t>*</w:t>
      </w:r>
      <w:r>
        <w:rPr>
          <w:noProof/>
        </w:rPr>
        <w:tab/>
      </w:r>
      <w:r>
        <w:rPr>
          <w:noProof/>
          <w:sz w:val="20"/>
        </w:rPr>
        <w:t>Κανονισμός (ΕΕ) XXX/XXX του Ευρωπαϊκού Κοινοβουλίου και του Συμβουλίου σχετικά με τους Ευρωπαίους παρόχους υπηρεσιών πληθοχρηματοδότησης (ΕΕ L [...] της [...], σ. [...]).».</w:t>
      </w:r>
    </w:p>
    <w:p>
      <w:pPr>
        <w:pStyle w:val="Titrearticle"/>
        <w:rPr>
          <w:noProof/>
        </w:rPr>
      </w:pPr>
      <w:r>
        <w:rPr>
          <w:noProof/>
        </w:rPr>
        <w:t>Άρθρο 2</w:t>
      </w:r>
    </w:p>
    <w:p>
      <w:pPr>
        <w:pStyle w:val="Point0"/>
        <w:rPr>
          <w:noProof/>
        </w:rPr>
      </w:pPr>
      <w:r>
        <w:rPr>
          <w:noProof/>
        </w:rPr>
        <w:t>1.</w:t>
      </w:r>
      <w:r>
        <w:rPr>
          <w:noProof/>
        </w:rPr>
        <w:tab/>
        <w:t xml:space="preserve">Τα κράτη μέλη θεσπίζουν και δημοσιεύουν, το αργότερο την/στις [Υπηρεσία Εκδόσεων: 6 μήνες από την έναρξη ισχύος του κανονισμού για την πληθοχρηματοδότηση], τις αναγκαίες νομοθετικές, κανονιστικές και διοικητικές διατάξεις για να συμμορφωθούν προς την παρούσα οδηγία. </w:t>
      </w:r>
    </w:p>
    <w:p>
      <w:pPr>
        <w:pStyle w:val="Text1"/>
        <w:rPr>
          <w:noProof/>
        </w:rPr>
      </w:pPr>
      <w:r>
        <w:rPr>
          <w:noProof/>
        </w:rPr>
        <w:t>Τα κράτη μέλη εφαρμόζουν τα μέτρα αυτά από [Υπηρεσία Εκδόσεων: ημερομηνία έναρξης εφαρμογής του κανονισμού για την πληθοχρηματοδότηση].</w:t>
      </w:r>
    </w:p>
    <w:p>
      <w:pPr>
        <w:pStyle w:val="Point0"/>
        <w:rPr>
          <w:noProof/>
        </w:rPr>
      </w:pPr>
      <w:r>
        <w:rPr>
          <w:noProof/>
        </w:rPr>
        <w:t>2.</w:t>
      </w:r>
      <w:r>
        <w:rPr>
          <w:noProof/>
        </w:rPr>
        <w:tab/>
        <w:t>Τα κράτη μέλη ανακοινώνουν στην Επιτροπή και στην ESMA το κείμενο των ουσιωδών διατάξεων εσωτερικού δικαίου τις οποίες θεσπίζουν στον τομέα που διέπεται από την παρούσα οδηγία.</w:t>
      </w:r>
    </w:p>
    <w:p>
      <w:pPr>
        <w:pStyle w:val="Titrearticle"/>
        <w:rPr>
          <w:noProof/>
        </w:rPr>
      </w:pPr>
      <w:r>
        <w:rPr>
          <w:noProof/>
        </w:rPr>
        <w:t>Άρθρο 3</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lastRenderedPageBreak/>
        <w:t>Άρθρο 4</w:t>
      </w:r>
    </w:p>
    <w:p>
      <w:pPr>
        <w:keepNext/>
        <w:keepLines/>
        <w:rPr>
          <w:noProof/>
        </w:rPr>
      </w:pPr>
      <w:r>
        <w:rPr>
          <w:noProof/>
        </w:rPr>
        <w:t>Η παρούσα οδηγία απευθύνεται στα κράτη μέλη.</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Ο/Η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Κανονισμός (ΕΕ) XXXΧ/XΧXX του Ευρωπαϊκού Κοινοβουλίου και του Συμβουλίου σχετικά με τους Ευρωπαίους παρόχους υπηρεσιών πληθοχρηματοδότησης (ΕΕ L [...] της [...], σ. [...]).</w:t>
      </w:r>
    </w:p>
  </w:footnote>
  <w:footnote w:id="2">
    <w:p>
      <w:pPr>
        <w:pStyle w:val="FootnoteText"/>
      </w:pPr>
      <w:r>
        <w:rPr>
          <w:rStyle w:val="FootnoteReference"/>
        </w:rPr>
        <w:footnoteRef/>
      </w:r>
      <w:r>
        <w:tab/>
        <w:t>ΕΕ C […] της […], σ. […].</w:t>
      </w:r>
    </w:p>
  </w:footnote>
  <w:footnote w:id="3">
    <w:p>
      <w:pPr>
        <w:pStyle w:val="FootnoteText"/>
      </w:pPr>
      <w:r>
        <w:rPr>
          <w:rStyle w:val="FootnoteReference"/>
        </w:rPr>
        <w:footnoteRef/>
      </w:r>
      <w:r>
        <w:tab/>
        <w:t>ΕΕ C […] της […], σ. […].</w:t>
      </w:r>
    </w:p>
  </w:footnote>
  <w:footnote w:id="4">
    <w:p>
      <w:pPr>
        <w:pStyle w:val="FootnoteText"/>
      </w:pPr>
      <w:r>
        <w:rPr>
          <w:rStyle w:val="FootnoteReference"/>
        </w:rPr>
        <w:footnoteRef/>
      </w:r>
      <w:r>
        <w:tab/>
        <w:t>Κανονισμός (ΕΕ) XXX/XXX του Ευρωπαϊκού Κοινοβουλίου και του Συμβουλίου σχετικά με τους Ευρωπαίους παρόχους υπηρεσιών πληθοχρηματοδότησης (ΕΕ L [...] της [...], σ. [...]).</w:t>
      </w:r>
    </w:p>
  </w:footnote>
  <w:footnote w:id="5">
    <w:p>
      <w:pPr>
        <w:pStyle w:val="FootnoteText"/>
      </w:pPr>
      <w:r>
        <w:rPr>
          <w:rStyle w:val="FootnoteReference"/>
        </w:rPr>
        <w:footnoteRef/>
      </w:r>
      <w:r>
        <w:tab/>
        <w:t>Οδηγία 2014/65/ΕΕ του Ευρωπαϊκού Κοινοβουλίου και του Συμβουλίου, της 15ης Μαΐου 2014, για τις αγορές χρηματοπιστωτικών μέσων και την τροποποίηση της οδηγίας 2002/92/ΕΚ και της οδηγίας 2011/61/ΕΕ (ΕΕ L 173 της 12.6.2014, σ.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28E2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D07D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C4D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0DE1D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7A3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2965E12"/>
    <w:lvl w:ilvl="0">
      <w:start w:val="1"/>
      <w:numFmt w:val="decimal"/>
      <w:pStyle w:val="ListNumber"/>
      <w:lvlText w:val="%1."/>
      <w:lvlJc w:val="left"/>
      <w:pPr>
        <w:tabs>
          <w:tab w:val="num" w:pos="360"/>
        </w:tabs>
        <w:ind w:left="360" w:hanging="360"/>
      </w:pPr>
    </w:lvl>
  </w:abstractNum>
  <w:abstractNum w:abstractNumId="7">
    <w:nsid w:val="FFFFFF89"/>
    <w:multiLevelType w:val="singleLevel"/>
    <w:tmpl w:val="373A07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9:18: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A52B212-9646-4E1B-A380-DE3869092599"/>
    <w:docVar w:name="LW_COVERPAGE_TYPE" w:val="1"/>
    <w:docVar w:name="LW_CROSSREFERENCE" w:val="{SWD(2018) 56}_x000a_{SWD(2018) 57}"/>
    <w:docVar w:name="LW_DocType" w:val="COM"/>
    <w:docVar w:name="LW_EMISSION" w:val="8.3.2018"/>
    <w:docVar w:name="LW_EMISSION_ISODATE" w:val="2018-03-08"/>
    <w:docVar w:name="LW_EMISSION_LOCATION" w:val="BRX"/>
    <w:docVar w:name="LW_EMISSION_PREFIX" w:val="Βρυξέλλες,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47"/>
    <w:docVar w:name="LW_REF.II.NEW.CP_YEAR" w:val="2018"/>
    <w:docVar w:name="LW_REF.INST.NEW" w:val="COM"/>
    <w:docVar w:name="LW_REF.INST.NEW_ADOPTED" w:val="final"/>
    <w:docVar w:name="LW_REF.INST.NEW_TEXT" w:val="(2018)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1?\u962? \u959?\u948?\u951?\u947?\u943?\u945?\u962? 2014/65/\u917?\u917? \u947?\u953?\u945? \u964?\u953?\u962? \u945?\u947?\u959?\u961?\u941?\u962? \u967?\u961?\u951?\u956?\u945?\u964?\u959?\u960?\u953?\u963?\u964?\u969?\u964?\u953?\u954?\u974?\u957? \u956?\u941?\u963?\u969?\u957?"/>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13DF-A312-434D-B9E0-AB2DBD99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2401</Words>
  <Characters>15226</Characters>
  <Application>Microsoft Office Word</Application>
  <DocSecurity>0</DocSecurity>
  <Lines>262</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2018-03-14T19:19:00Z</dcterms:created>
  <dcterms:modified xsi:type="dcterms:W3CDTF">2018-03-15T08:18:00Z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