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972A191-F9A1-41E6-B94A-984FD39B87A5" style="width:450.75pt;height:422.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rPr>
          <w:noProof/>
        </w:rPr>
        <w:t>1.</w:t>
      </w:r>
      <w:r>
        <w:rPr>
          <w:noProof/>
        </w:rPr>
        <w:tab/>
        <w:t>BAKGRUND TILL FÖRSLAGET</w:t>
      </w:r>
    </w:p>
    <w:p>
      <w:pPr>
        <w:pStyle w:val="ManualHeading2"/>
        <w:rPr>
          <w:rFonts w:eastAsia="Arial Unicode MS"/>
          <w:noProof/>
        </w:rPr>
      </w:pPr>
      <w:r>
        <w:rPr>
          <w:noProof/>
          <w:color w:val="000000"/>
          <w:u w:color="000000"/>
          <w:bdr w:val="nil"/>
        </w:rPr>
        <w:t>•</w:t>
      </w:r>
      <w:r>
        <w:rPr>
          <w:noProof/>
        </w:rPr>
        <w:tab/>
        <w:t>Motiv och syfte med förslaget</w:t>
      </w:r>
    </w:p>
    <w:p>
      <w:pPr>
        <w:rPr>
          <w:noProof/>
        </w:rPr>
      </w:pPr>
      <w:r>
        <w:rPr>
          <w:noProof/>
        </w:rPr>
        <w:t xml:space="preserve">Kommissionen har i dag antagit ett åtgärdspaket för att fördjupa </w:t>
      </w:r>
      <w:r>
        <w:rPr>
          <w:b/>
          <w:noProof/>
        </w:rPr>
        <w:t>kapitalmarknadsunionen</w:t>
      </w:r>
      <w:r>
        <w:rPr>
          <w:noProof/>
        </w:rPr>
        <w:t>, tillsammans med meddelandet ”Fullbordande av kapitalmarknadsunionen 2019 – dags att påskynda arbetet”. I paketet ingår detta förslag tillsammans med ett förslag till förordning om främjande av gränsöverskridande distribution av kollektiva investeringsfonder som också ändrar förordningarna (EU) nr 345/2013</w:t>
      </w:r>
      <w:r>
        <w:rPr>
          <w:rStyle w:val="FootnoteReference"/>
          <w:noProof/>
        </w:rPr>
        <w:footnoteReference w:id="2"/>
      </w:r>
      <w:r>
        <w:rPr>
          <w:noProof/>
        </w:rPr>
        <w:t xml:space="preserve"> och 346/2013</w:t>
      </w:r>
      <w:r>
        <w:rPr>
          <w:rStyle w:val="FootnoteReference"/>
          <w:noProof/>
        </w:rPr>
        <w:footnoteReference w:id="3"/>
      </w:r>
      <w:r>
        <w:rPr>
          <w:noProof/>
        </w:rPr>
        <w:t>, samt ett förslag om ett EU-regelverk för säkerställda obligationer, ett förslag om ett regelverk för europeiska tillhandahållare av gräsrotsfinansiering till företag, ett förslag om tillämplig lag för rättsverkan gentemot tredje man av överlåtelse av fordringar och ett meddelande om tillämplig lag för egendomsrättslig verkan av värdepapperstransaktioner.</w:t>
      </w:r>
    </w:p>
    <w:p>
      <w:pPr>
        <w:rPr>
          <w:noProof/>
        </w:rPr>
      </w:pPr>
      <w:r>
        <w:rPr>
          <w:noProof/>
        </w:rPr>
        <w:t>Genom detta förslag ändras vissa bestämmelser i direktiv 2009/65/EG</w:t>
      </w:r>
      <w:r>
        <w:rPr>
          <w:rStyle w:val="FootnoteReference"/>
          <w:noProof/>
        </w:rPr>
        <w:footnoteReference w:id="4"/>
      </w:r>
      <w:r>
        <w:rPr>
          <w:noProof/>
        </w:rPr>
        <w:t xml:space="preserve"> och direktiv 2011/61/EU</w:t>
      </w:r>
      <w:r>
        <w:rPr>
          <w:rStyle w:val="FootnoteReference"/>
          <w:noProof/>
        </w:rPr>
        <w:footnoteReference w:id="5"/>
      </w:r>
      <w:r>
        <w:rPr>
          <w:noProof/>
        </w:rPr>
        <w:t xml:space="preserve"> i syfte att minska rättsliga hinder för gränsöverskridande distribution av investeringsfonder i EU. Dessa nya åtgärder väntas minska fondförvaltarnas kostnader för gränsöverskridande verksamhet och leda till mer gränsöverskridande marknadsföring av investeringsfonder. Ökad konkurrens i EU kommer att bidra till att ge investerarna större valfrihet och bättre avkastning.</w:t>
      </w:r>
    </w:p>
    <w:p>
      <w:pPr>
        <w:rPr>
          <w:noProof/>
        </w:rPr>
      </w:pPr>
      <w:r>
        <w:rPr>
          <w:noProof/>
        </w:rPr>
        <w:t>Detta förslag var planerat i kommissionens arbetsprogram 2018</w:t>
      </w:r>
      <w:r>
        <w:rPr>
          <w:rStyle w:val="FootnoteReference"/>
          <w:noProof/>
        </w:rPr>
        <w:footnoteReference w:id="6"/>
      </w:r>
      <w:r>
        <w:rPr>
          <w:noProof/>
        </w:rPr>
        <w:t xml:space="preserve"> och ska ses i ett bredare sammanhang, i ljuset av </w:t>
      </w:r>
      <w:r>
        <w:rPr>
          <w:b/>
          <w:noProof/>
        </w:rPr>
        <w:t>handlingsplanen för kapitalmarknadsunionen</w:t>
      </w:r>
      <w:r>
        <w:rPr>
          <w:rStyle w:val="FootnoteReference"/>
          <w:noProof/>
        </w:rPr>
        <w:footnoteReference w:id="7"/>
      </w:r>
      <w:r>
        <w:rPr>
          <w:noProof/>
        </w:rPr>
        <w:t xml:space="preserve"> och </w:t>
      </w:r>
      <w:r>
        <w:rPr>
          <w:b/>
          <w:noProof/>
        </w:rPr>
        <w:t>halvtidsöversynen över kapitalmarknadsunionen</w:t>
      </w:r>
      <w:r>
        <w:rPr>
          <w:rStyle w:val="FootnoteReference"/>
          <w:noProof/>
        </w:rPr>
        <w:footnoteReference w:id="8"/>
      </w:r>
      <w:r>
        <w:rPr>
          <w:noProof/>
        </w:rPr>
        <w:t xml:space="preserve">. Syftet är att få till stånd en genuin inre kapitalmarknad genom att komma till rätta med fragmenteringen av kapitalmarknaderna, undanröja rättsliga hinder för finansiering av ekonomin och öka utbudet av kapital för företag. Rättsliga hinder, såsom medlemsstaternas marknadsföringskrav, föreskrivna avgifter och administrativa krav och krav på underrättelse avskräcker i betydande grad distribution av gränsöverskridande fonder. Dessa hinder identifierades i svaren på </w:t>
      </w:r>
      <w:r>
        <w:rPr>
          <w:b/>
          <w:noProof/>
        </w:rPr>
        <w:t>grönboken om kapitalmarknadsunionen</w:t>
      </w:r>
      <w:r>
        <w:rPr>
          <w:rStyle w:val="FootnoteReference"/>
          <w:noProof/>
        </w:rPr>
        <w:footnoteReference w:id="9"/>
      </w:r>
      <w:r>
        <w:rPr>
          <w:noProof/>
        </w:rPr>
        <w:t xml:space="preserve">, </w:t>
      </w:r>
      <w:r>
        <w:rPr>
          <w:b/>
          <w:noProof/>
        </w:rPr>
        <w:t xml:space="preserve">uppmaningen att lämna synpunkter på EU:s regelverk för </w:t>
      </w:r>
      <w:r>
        <w:rPr>
          <w:b/>
          <w:noProof/>
        </w:rPr>
        <w:lastRenderedPageBreak/>
        <w:t>finansiella tjänster</w:t>
      </w:r>
      <w:r>
        <w:rPr>
          <w:rStyle w:val="FootnoteReference"/>
          <w:noProof/>
        </w:rPr>
        <w:footnoteReference w:id="10"/>
      </w:r>
      <w:r>
        <w:rPr>
          <w:noProof/>
        </w:rPr>
        <w:t xml:space="preserve"> och </w:t>
      </w:r>
      <w:r>
        <w:rPr>
          <w:b/>
          <w:noProof/>
        </w:rPr>
        <w:t>det offentliga samrådet om hinder för gränsöverskridande distribution av investeringsfonder</w:t>
      </w:r>
      <w:r>
        <w:rPr>
          <w:rStyle w:val="FootnoteReference"/>
          <w:noProof/>
        </w:rPr>
        <w:footnoteReference w:id="11"/>
      </w:r>
      <w:r>
        <w:rPr>
          <w:noProof/>
        </w:rPr>
        <w:t xml:space="preserve">. </w:t>
      </w:r>
    </w:p>
    <w:p>
      <w:pPr>
        <w:pBdr>
          <w:top w:val="nil"/>
          <w:left w:val="nil"/>
          <w:bottom w:val="nil"/>
          <w:right w:val="nil"/>
          <w:between w:val="nil"/>
          <w:bar w:val="nil"/>
        </w:pBdr>
        <w:spacing w:before="0" w:after="240"/>
        <w:rPr>
          <w:noProof/>
        </w:rPr>
      </w:pPr>
      <w:r>
        <w:rPr>
          <w:noProof/>
        </w:rPr>
        <w:t xml:space="preserve">Investeringsfonder är investeringsprodukter framtagna med det enda syftet att slå ihop investerares kapital och investera kapitalet kollektivt genom en portfölj av finansiella instrument såsom aktier, obligationer och andra värdepapper. Inom EU kan investeringsfonderna kategoriseras som företag för kollektiva investeringar i överlåtbara värdepapper (nedan kallade </w:t>
      </w:r>
      <w:r>
        <w:rPr>
          <w:i/>
          <w:noProof/>
        </w:rPr>
        <w:t>fondföretag</w:t>
      </w:r>
      <w:r>
        <w:rPr>
          <w:noProof/>
        </w:rPr>
        <w:t xml:space="preserve">) och alternativa investeringsfonder (nedan kallade </w:t>
      </w:r>
      <w:r>
        <w:rPr>
          <w:i/>
          <w:noProof/>
        </w:rPr>
        <w:t>AIF-fonder</w:t>
      </w:r>
      <w:r>
        <w:rPr>
          <w:noProof/>
        </w:rPr>
        <w:t>) som förvaltas av förvaltare av alternativa investeringsfonder. Fondföretag omfattas av direktiv 2009/65/EG och AIF-fonder av direktiv 2011/61/EU. Direktiv 2011/61/EU kompletteras av fyra fondregelverk, nämligen</w:t>
      </w:r>
    </w:p>
    <w:p>
      <w:pPr>
        <w:pStyle w:val="Bullet0"/>
        <w:numPr>
          <w:ilvl w:val="0"/>
          <w:numId w:val="17"/>
        </w:numPr>
        <w:rPr>
          <w:noProof/>
        </w:rPr>
      </w:pPr>
      <w:r>
        <w:rPr>
          <w:noProof/>
        </w:rPr>
        <w:t xml:space="preserve">förordning (EU) nr 345/2013 om europeiska riskkapitalfonder, </w:t>
      </w:r>
    </w:p>
    <w:p>
      <w:pPr>
        <w:pStyle w:val="Bullet0"/>
        <w:rPr>
          <w:noProof/>
        </w:rPr>
      </w:pPr>
      <w:r>
        <w:rPr>
          <w:noProof/>
        </w:rPr>
        <w:t xml:space="preserve">förordning (EU) nr 346/2013 om europeiska fonder för socialt företagande, </w:t>
      </w:r>
    </w:p>
    <w:p>
      <w:pPr>
        <w:pStyle w:val="Bullet0"/>
        <w:rPr>
          <w:noProof/>
        </w:rPr>
      </w:pPr>
      <w:r>
        <w:rPr>
          <w:noProof/>
        </w:rPr>
        <w:t>förordning 2015/460</w:t>
      </w:r>
      <w:r>
        <w:rPr>
          <w:rStyle w:val="FootnoteReference"/>
          <w:noProof/>
        </w:rPr>
        <w:footnoteReference w:id="12"/>
      </w:r>
      <w:r>
        <w:rPr>
          <w:noProof/>
        </w:rPr>
        <w:t xml:space="preserve"> om europeiska långsiktiga investeringsfonder, och </w:t>
      </w:r>
    </w:p>
    <w:p>
      <w:pPr>
        <w:pStyle w:val="Bullet0"/>
        <w:rPr>
          <w:noProof/>
        </w:rPr>
      </w:pPr>
      <w:r>
        <w:rPr>
          <w:noProof/>
        </w:rPr>
        <w:t>förordning 2017/1131</w:t>
      </w:r>
      <w:r>
        <w:rPr>
          <w:rStyle w:val="FootnoteReference"/>
          <w:noProof/>
        </w:rPr>
        <w:footnoteReference w:id="13"/>
      </w:r>
      <w:r>
        <w:rPr>
          <w:noProof/>
        </w:rPr>
        <w:t xml:space="preserve"> om penningmarknadsfonder. </w:t>
      </w:r>
    </w:p>
    <w:p>
      <w:pPr>
        <w:pBdr>
          <w:top w:val="nil"/>
          <w:left w:val="nil"/>
          <w:bottom w:val="nil"/>
          <w:right w:val="nil"/>
          <w:between w:val="nil"/>
          <w:bar w:val="nil"/>
        </w:pBdr>
        <w:spacing w:before="0" w:after="240"/>
        <w:rPr>
          <w:noProof/>
        </w:rPr>
      </w:pPr>
      <w:r>
        <w:rPr>
          <w:noProof/>
        </w:rPr>
        <w:t>Dessa regelverk har som gemensamt syfte att göra gränsöverskridande distribution enklare samtidigt som ett starkt investerarskydd säkerställs.</w:t>
      </w:r>
    </w:p>
    <w:p>
      <w:pPr>
        <w:rPr>
          <w:noProof/>
        </w:rPr>
      </w:pPr>
      <w:r>
        <w:rPr>
          <w:noProof/>
        </w:rPr>
        <w:t>Regler för EU-investeringsfonder gör det möjligt för fondförvaltare att distribuera, och med vissa undantag, även förvalta sina fonder över hela EU. Även om förekomsten av EU-investeringsfonder har ökat kraftigt, med totalt 14 310 miljarder euro i förvaltade tillgångar i juni 2017</w:t>
      </w:r>
      <w:r>
        <w:rPr>
          <w:rStyle w:val="FootnoteReference"/>
          <w:noProof/>
        </w:rPr>
        <w:footnoteReference w:id="14"/>
      </w:r>
      <w:r>
        <w:rPr>
          <w:noProof/>
        </w:rPr>
        <w:t>, är EU:s marknad för investeringsfonder fortfarande till övervägande del organiserad som nationella marknader: 70 % av alla tillgångar under förvaltning innehas av investeringsfonder som är registrerade för försäljning endast inom sin nationella marknad</w:t>
      </w:r>
      <w:r>
        <w:rPr>
          <w:rStyle w:val="FootnoteReference"/>
          <w:noProof/>
        </w:rPr>
        <w:footnoteReference w:id="15"/>
      </w:r>
      <w:r>
        <w:rPr>
          <w:noProof/>
        </w:rPr>
        <w:t>. Endast 37 % av fondföretagen och cirka 3 % av AIF-fonderna är registrerade för försäljning i mer än tre medlemsstater. Jämfört med USA är EU-marknaden mindre i termer av förvaltade tillgångar. Ändå finns det betydligt fler fonder i EU (58 125 i EU jämfört med 15 415 i USA</w:t>
      </w:r>
      <w:r>
        <w:rPr>
          <w:rStyle w:val="FootnoteReference"/>
          <w:noProof/>
        </w:rPr>
        <w:footnoteReference w:id="16"/>
      </w:r>
      <w:r>
        <w:rPr>
          <w:noProof/>
        </w:rPr>
        <w:t>). Detta betyder att EU-fonder i genomsnitt är betydligt mindre. Vilket i sin tur betyder mindre stordriftsfördelar, negativa effekter i form av avgifter som måste betalas av investerare och negativa effekter för den inre marknaden för investeringsfonder som helhet.</w:t>
      </w:r>
    </w:p>
    <w:p>
      <w:pPr>
        <w:pBdr>
          <w:top w:val="nil"/>
          <w:left w:val="nil"/>
          <w:bottom w:val="nil"/>
          <w:right w:val="nil"/>
          <w:between w:val="nil"/>
          <w:bar w:val="nil"/>
        </w:pBdr>
        <w:spacing w:before="0" w:after="240"/>
        <w:rPr>
          <w:rFonts w:eastAsia="Arial Unicode MS"/>
          <w:noProof/>
        </w:rPr>
      </w:pPr>
      <w:r>
        <w:rPr>
          <w:noProof/>
        </w:rPr>
        <w:t xml:space="preserve">Förslaget tar också hänsyn till att det finns andra faktorer, utanför detta förslags tillämpningsområde, som håller tillbaka den gränsöverskridande distributionen av investeringsfonder i EU. Till dessa faktorer hör nationella skatteregler för investeringsfonder </w:t>
      </w:r>
      <w:r>
        <w:rPr>
          <w:noProof/>
        </w:rPr>
        <w:lastRenderedPageBreak/>
        <w:t>och investerare, vertikala distributionskanaler och kulturella preferenser för inhemska produkter.</w:t>
      </w:r>
    </w:p>
    <w:p>
      <w:pPr>
        <w:pStyle w:val="ManualHeading2"/>
        <w:rPr>
          <w:noProof/>
          <w:color w:val="000000"/>
          <w:u w:color="000000"/>
          <w:bdr w:val="nil"/>
        </w:rPr>
      </w:pPr>
      <w:r>
        <w:rPr>
          <w:noProof/>
          <w:color w:val="000000"/>
          <w:u w:color="000000"/>
          <w:bdr w:val="nil"/>
        </w:rPr>
        <w:t>•</w:t>
      </w:r>
      <w:r>
        <w:rPr>
          <w:noProof/>
        </w:rPr>
        <w:tab/>
        <w:t>Förenlighet med befintliga bestämmelser inom området</w:t>
      </w:r>
    </w:p>
    <w:p>
      <w:pPr>
        <w:pBdr>
          <w:top w:val="nil"/>
          <w:left w:val="nil"/>
          <w:bottom w:val="nil"/>
          <w:right w:val="nil"/>
          <w:between w:val="nil"/>
          <w:bar w:val="nil"/>
        </w:pBdr>
        <w:spacing w:before="0" w:after="240"/>
        <w:rPr>
          <w:rFonts w:eastAsia="Arial Unicode MS"/>
          <w:noProof/>
        </w:rPr>
      </w:pPr>
      <w:r>
        <w:rPr>
          <w:noProof/>
        </w:rPr>
        <w:t>Detta direktiv läggs fram tillsammans med ett förslag till förordning om underlättande av gränsöverskridande distribution av kollektiva investeringsfonder och om ändring av förordningarna (EU) nr 345/2013 och (EU) nr 346/2013. Det innehåller ändringar av vissa bestämmelser i direktiv 2009/65/EG och direktiv 2011/61/EU som gäller för gränsöverskridande distribution av investeringsfonder. Bestämmelserna har pekats ut som betungande eller oklara och har lett till överreglering när de har införlivats med de nationella rättsordningarna. Dessa ändringar är förenliga med direktivens mål, nämligen att inrätta en inre marknad för investeringsfonder och främja gränsöverskridande distribution av investeringsfonder. Förslaget harmoniserar också reglerna i de olika regelverken för investeringsfonder. Därmed behålls förenligheten med befintliga bestämmelser.</w:t>
      </w:r>
    </w:p>
    <w:p>
      <w:pPr>
        <w:pStyle w:val="ManualHeading2"/>
        <w:rPr>
          <w:rFonts w:eastAsia="Arial Unicode MS"/>
          <w:noProof/>
        </w:rPr>
      </w:pPr>
      <w:r>
        <w:rPr>
          <w:noProof/>
          <w:color w:val="000000"/>
          <w:u w:color="000000"/>
          <w:bdr w:val="nil"/>
        </w:rPr>
        <w:t>•</w:t>
      </w:r>
      <w:r>
        <w:rPr>
          <w:noProof/>
        </w:rPr>
        <w:tab/>
        <w:t>Förenlighet med unionens politik inom andra områden</w:t>
      </w:r>
    </w:p>
    <w:p>
      <w:pPr>
        <w:pBdr>
          <w:top w:val="nil"/>
          <w:left w:val="nil"/>
          <w:bottom w:val="nil"/>
          <w:right w:val="nil"/>
          <w:between w:val="nil"/>
          <w:bar w:val="nil"/>
        </w:pBdr>
        <w:spacing w:before="0" w:after="240"/>
        <w:rPr>
          <w:rFonts w:eastAsia="Arial Unicode MS"/>
          <w:noProof/>
        </w:rPr>
      </w:pPr>
      <w:r>
        <w:rPr>
          <w:noProof/>
        </w:rPr>
        <w:t>Kommissionens främsta prioritering är att stärka Europas ekonomi och stimulera investeringar för att skapa arbetstillfällen. En mycket viktig del av</w:t>
      </w:r>
      <w:r>
        <w:rPr>
          <w:b/>
          <w:noProof/>
        </w:rPr>
        <w:t xml:space="preserve"> investeringsplanen för Europa</w:t>
      </w:r>
      <w:r>
        <w:rPr>
          <w:rStyle w:val="FootnoteReference"/>
          <w:noProof/>
        </w:rPr>
        <w:footnoteReference w:id="17"/>
      </w:r>
      <w:r>
        <w:rPr>
          <w:noProof/>
        </w:rPr>
        <w:t xml:space="preserve">, som syftar till att stärka Europas ekonomi och främja investeringar i alla 28 medlemsstaterna, är att skapa en fördjupad inre marknad för kapital – en </w:t>
      </w:r>
      <w:r>
        <w:rPr>
          <w:b/>
          <w:noProof/>
        </w:rPr>
        <w:t>kapitalmarknadsunion</w:t>
      </w:r>
      <w:r>
        <w:rPr>
          <w:noProof/>
        </w:rPr>
        <w:t>. Djupare och integrerade kapitalmarknader kommer att förbättra tillgången på kapital för företag samtidigt som de bidrar till framväxten av nya investeringsmöjligheter för småsparare.</w:t>
      </w:r>
    </w:p>
    <w:p>
      <w:pPr>
        <w:pBdr>
          <w:top w:val="nil"/>
          <w:left w:val="nil"/>
          <w:bottom w:val="nil"/>
          <w:right w:val="nil"/>
          <w:between w:val="nil"/>
          <w:bar w:val="nil"/>
        </w:pBdr>
        <w:spacing w:before="0" w:after="240"/>
        <w:rPr>
          <w:noProof/>
        </w:rPr>
      </w:pPr>
      <w:r>
        <w:rPr>
          <w:noProof/>
        </w:rPr>
        <w:t xml:space="preserve">Förslaget är ett komplement till detta mål och en </w:t>
      </w:r>
      <w:r>
        <w:rPr>
          <w:b/>
          <w:noProof/>
        </w:rPr>
        <w:t>prioriterad åtgärd enligt halvtidsöversynen av kapitalmarknadsunionen</w:t>
      </w:r>
      <w:r>
        <w:rPr>
          <w:rStyle w:val="FootnoteReference"/>
          <w:noProof/>
        </w:rPr>
        <w:footnoteReference w:id="18"/>
      </w:r>
      <w:r>
        <w:rPr>
          <w:noProof/>
        </w:rPr>
        <w:t>, eftersom det innehåller åtgärder för att undanröja kapitalmarknadshinder. Det bidrar till framväxten av mer integrerade kapitalmarknader genom att det blir lättare för investerare, fondförvaltare och investerade företag att dra nytta av den inre marknaden.</w:t>
      </w:r>
    </w:p>
    <w:p>
      <w:pPr>
        <w:pStyle w:val="ManualHeading1"/>
        <w:rPr>
          <w:noProof/>
        </w:rPr>
      </w:pPr>
      <w:r>
        <w:rPr>
          <w:noProof/>
        </w:rPr>
        <w:t>2.</w:t>
      </w:r>
      <w:r>
        <w:rPr>
          <w:noProof/>
        </w:rPr>
        <w:tab/>
        <w:t>RÄTTSLIG GRUND, SUBSIDIARITETSPRINCIPEN OCH PROPORTIONALITETSPRINCIPEN</w:t>
      </w:r>
    </w:p>
    <w:p>
      <w:pPr>
        <w:pStyle w:val="ManualHeading2"/>
        <w:rPr>
          <w:noProof/>
        </w:rPr>
      </w:pPr>
      <w:r>
        <w:rPr>
          <w:noProof/>
        </w:rPr>
        <w:t>•</w:t>
      </w:r>
      <w:r>
        <w:rPr>
          <w:noProof/>
        </w:rPr>
        <w:tab/>
        <w:t>Rättslig grund</w:t>
      </w:r>
    </w:p>
    <w:p>
      <w:pPr>
        <w:pBdr>
          <w:top w:val="nil"/>
          <w:left w:val="nil"/>
          <w:bottom w:val="nil"/>
          <w:right w:val="nil"/>
          <w:between w:val="nil"/>
          <w:bar w:val="nil"/>
        </w:pBdr>
        <w:spacing w:before="0" w:after="240"/>
        <w:rPr>
          <w:noProof/>
        </w:rPr>
      </w:pPr>
      <w:r>
        <w:rPr>
          <w:noProof/>
        </w:rPr>
        <w:t xml:space="preserve">Detta lagstiftningsinitiativ ligger inom ett område där delad befogenhet gäller i enlighet med artikel 4.2 a i fördraget om Europeiska unionens funktionssätt (EUF-fördraget). Dess syfte är att underlätta etablering och tillhandahållande av tjänster på den inre marknaden genom att vidareutveckla och genomföra de allmänna principerna om etableringsfrihet och friheten att tillhandahålla tjänster, vilka slås fast i artiklarna 49 och 56 i EUF-fördraget. </w:t>
      </w:r>
    </w:p>
    <w:p>
      <w:pPr>
        <w:pBdr>
          <w:top w:val="nil"/>
          <w:left w:val="nil"/>
          <w:bottom w:val="nil"/>
          <w:right w:val="nil"/>
          <w:between w:val="nil"/>
          <w:bar w:val="nil"/>
        </w:pBdr>
        <w:spacing w:before="0" w:after="240"/>
        <w:rPr>
          <w:rFonts w:eastAsia="Arial Unicode MS"/>
          <w:noProof/>
        </w:rPr>
      </w:pPr>
      <w:r>
        <w:rPr>
          <w:noProof/>
        </w:rPr>
        <w:t>Förslaget har sin rättsliga grund i artikel 53.1 i EUF-fördraget, som är rättslig grund för direktiv 2009/65/EG (f.d. artikel 47.2 i EG-fördraget) och direktiv 2011/61/EU. Den inre marknaden för investeringsfonder kan för närvarande inte utnyttjas till sin fulla potential på grund av rättsliga hinder. Det kan till exempel röra sig om att de två direktiven har genomförts på olika sätt i olika länder vilket gör det svårt att fullt ut utnyttja friheterna enligt EUF-</w:t>
      </w:r>
      <w:r>
        <w:rPr>
          <w:noProof/>
        </w:rPr>
        <w:lastRenderedPageBreak/>
        <w:t xml:space="preserve">fördraget när det gäller investeringsfonder. Några av de föreslagna ändringarna av de gällande reglerna är avsedda att harmonisera dem och göra dem tydligare där så behövs. Dessa ändringsförslag syftar till att åtgärda de negativa effekterna av de identifierade hindren för marknadstillträde för förvaltare som vill erbjuda sina investeringsfonder i en annan medlemsstat genom att tillhandahålla gränsöverskridande tjänster eller genom att etablera en filial i en annan medlemsstat. Förslaget innebär en harmonisering av bestämmelserna för fondföretag och AIF-förvaltare och det innehåller också nya åtgärder för att undanröja hinder för gränsöverskridande distribution av fonder. </w:t>
      </w:r>
      <w:r>
        <w:t xml:space="preserve">  </w:t>
      </w:r>
    </w:p>
    <w:p>
      <w:pPr>
        <w:pStyle w:val="ManualHeading2"/>
        <w:rPr>
          <w:noProof/>
          <w:u w:color="000000"/>
          <w:bdr w:val="nil"/>
        </w:rPr>
      </w:pPr>
      <w:r>
        <w:rPr>
          <w:noProof/>
        </w:rPr>
        <w:t>•</w:t>
      </w:r>
      <w:r>
        <w:rPr>
          <w:noProof/>
        </w:rPr>
        <w:tab/>
        <w:t>Subsidiaritetsprincipen (för icke-exklusiv befogenhet)</w:t>
      </w:r>
    </w:p>
    <w:p>
      <w:pPr>
        <w:pBdr>
          <w:top w:val="nil"/>
          <w:left w:val="nil"/>
          <w:bottom w:val="nil"/>
          <w:right w:val="nil"/>
          <w:between w:val="nil"/>
          <w:bar w:val="nil"/>
        </w:pBdr>
        <w:spacing w:before="0" w:after="240"/>
        <w:rPr>
          <w:noProof/>
        </w:rPr>
      </w:pPr>
      <w:r>
        <w:rPr>
          <w:noProof/>
        </w:rPr>
        <w:t>Förslaget är förenligt med subsidiaritetsprincipen i artikel 5 i fördraget om Europeiska unionen (EU-fördraget).</w:t>
      </w:r>
    </w:p>
    <w:p>
      <w:pPr>
        <w:pBdr>
          <w:top w:val="nil"/>
          <w:left w:val="nil"/>
          <w:bottom w:val="nil"/>
          <w:right w:val="nil"/>
          <w:between w:val="nil"/>
          <w:bar w:val="nil"/>
        </w:pBdr>
        <w:spacing w:before="0" w:after="240"/>
        <w:rPr>
          <w:rFonts w:eastAsia="Arial Unicode MS"/>
          <w:noProof/>
        </w:rPr>
      </w:pPr>
      <w:r>
        <w:rPr>
          <w:noProof/>
        </w:rPr>
        <w:t>Enligt subsidiaritetsprincipen får åtgärder på unionsnivå endast vidtas om medlemsstaterna på egen hand inte kan uppnå målen för den planerade åtgärden. Det aktuella problemet – rättsliga hinder för gränsöverskridande distribution av investeringsfonder – är inte begränsat till en enda medlemsstats territorium. Följaktligen är förslagets syfte att säkerställa att den inre marknaden för investeringsfondstjänster fungerar smidigt, till exempel genom (ytterligare) harmonisering av kraven för lokala funktioner för investerare i värdmedlemsstaterna. Vidare är åtgärder på EU-nivå ett bättre sätt att skapa enhetlighet och rättssäkerhet i utövandet av friheterna enligt fördraget.</w:t>
      </w:r>
    </w:p>
    <w:p>
      <w:pPr>
        <w:pStyle w:val="ManualHeading2"/>
        <w:rPr>
          <w:noProof/>
          <w:u w:color="000000"/>
          <w:bdr w:val="nil"/>
        </w:rPr>
      </w:pPr>
      <w:r>
        <w:rPr>
          <w:noProof/>
        </w:rPr>
        <w:t>•</w:t>
      </w:r>
      <w:r>
        <w:rPr>
          <w:noProof/>
        </w:rPr>
        <w:tab/>
        <w:t>Proportionalitetsprincipen</w:t>
      </w:r>
    </w:p>
    <w:p>
      <w:pPr>
        <w:pBdr>
          <w:top w:val="nil"/>
          <w:left w:val="nil"/>
          <w:bottom w:val="nil"/>
          <w:right w:val="nil"/>
          <w:between w:val="nil"/>
          <w:bar w:val="nil"/>
        </w:pBdr>
        <w:spacing w:before="0" w:after="240"/>
        <w:rPr>
          <w:noProof/>
        </w:rPr>
      </w:pPr>
      <w:r>
        <w:rPr>
          <w:noProof/>
        </w:rPr>
        <w:t>Förslaget är förenligt med proportionalitetsprincipen i artikel 5 i EU-fördraget. De föreslagna åtgärderna är nödvändiga för att uppnå målet att minska onödiga rättsliga hinder för gränsöverskridande distribution av investeringsfonder inom EU. De kvarvarande rättsliga hindren kräver åtgärder på EU-nivå som möjliggör harmoniserade regler, och frågan kan inte lösas av medlemsstaterna själva.</w:t>
      </w:r>
    </w:p>
    <w:p>
      <w:pPr>
        <w:spacing w:before="0" w:after="240"/>
        <w:rPr>
          <w:rFonts w:eastAsia="Arial Unicode MS"/>
          <w:noProof/>
        </w:rPr>
      </w:pPr>
      <w:r>
        <w:rPr>
          <w:noProof/>
        </w:rPr>
        <w:t>Konsekvensbedömningen som åtföljer detta förslag innehåller preliminära beräkningar av kostnadsbesparingar baserade på sakliga och realistiska antaganden. Förslaget kommer att göra det lättare och mindre kostsamt för investeringsfonder att efterleva kraven eftersom det undanröjer betungande krav och den onödiga komplexiteten och rättsosäkerheten i reglerna för gränsöverskridande distribution av fonder. Följaktligen går förslaget inte utöver vad som är nödvändigt för att ta itu med dessa frågor på EU-nivå.</w:t>
      </w:r>
    </w:p>
    <w:p>
      <w:pPr>
        <w:pStyle w:val="ManualHeading2"/>
        <w:rPr>
          <w:noProof/>
        </w:rPr>
      </w:pPr>
      <w:r>
        <w:rPr>
          <w:noProof/>
        </w:rPr>
        <w:t>•</w:t>
      </w:r>
      <w:r>
        <w:rPr>
          <w:noProof/>
        </w:rPr>
        <w:tab/>
        <w:t>Val av instrument</w:t>
      </w:r>
    </w:p>
    <w:p>
      <w:pPr>
        <w:pBdr>
          <w:top w:val="nil"/>
          <w:left w:val="nil"/>
          <w:bottom w:val="nil"/>
          <w:right w:val="nil"/>
          <w:between w:val="nil"/>
          <w:bar w:val="nil"/>
        </w:pBdr>
        <w:spacing w:before="0" w:after="240"/>
        <w:rPr>
          <w:noProof/>
        </w:rPr>
      </w:pPr>
      <w:r>
        <w:rPr>
          <w:noProof/>
        </w:rPr>
        <w:t>Detta förslag avser en ändring av direktiv 2009/65/EG och direktiv 2011/61/EU. Därför är det lämpligt att välja ett direktiv som instrument för att ändra de gällande bestämmelserna i dessa direktiv för att säkerställa att de identifierade hindren undanröjs.</w:t>
      </w:r>
    </w:p>
    <w:p>
      <w:pPr>
        <w:pBdr>
          <w:top w:val="nil"/>
          <w:left w:val="nil"/>
          <w:bottom w:val="nil"/>
          <w:right w:val="nil"/>
          <w:between w:val="nil"/>
          <w:bar w:val="nil"/>
        </w:pBdr>
        <w:spacing w:before="0" w:after="240"/>
        <w:rPr>
          <w:rFonts w:eastAsia="Arial Unicode MS"/>
          <w:noProof/>
        </w:rPr>
      </w:pPr>
      <w:r>
        <w:rPr>
          <w:noProof/>
        </w:rPr>
        <w:t>Syftet med de nya förfarandena för sonderande marknadsföring och avanmälan som införs i detta förslag ligger i linje med syftet med direktiv 2009/65/EG och direktiv 2011/61/EU, som är att underlätta marknadstillträde för förvaltare av kollektiva investeringsfonder. Dessa förfaranden innebär harmonisering av olika praxis i vissa medlemsstater på områden där harmonisering saknas. Med hänsyn till att medlemsstaterna antingen måste komplettera eller ändra den nationella lagstiftning som reglerar tillträdet för förvaltare av investeringsfonder till den inhemska marknaden är ett direktiv det lämpligaste alternativet för att införa dessa nya förfaranden i EU:s befintliga regelverk.</w:t>
      </w:r>
    </w:p>
    <w:p>
      <w:pPr>
        <w:pStyle w:val="ManualHeading1"/>
        <w:rPr>
          <w:noProof/>
        </w:rPr>
      </w:pPr>
      <w:r>
        <w:rPr>
          <w:noProof/>
        </w:rPr>
        <w:lastRenderedPageBreak/>
        <w:t>3.</w:t>
      </w:r>
      <w:r>
        <w:rPr>
          <w:noProof/>
        </w:rPr>
        <w:tab/>
        <w:t>RESULTAT AV EFTERHANDSUTVÄRDERINGAR, SAMRÅD MED BERÖRDA PARTER OCH KONSEKVENSBEDÖMNINGAR</w:t>
      </w:r>
    </w:p>
    <w:p>
      <w:pPr>
        <w:pStyle w:val="ManualHeading2"/>
        <w:rPr>
          <w:noProof/>
          <w:u w:color="000000"/>
          <w:bdr w:val="nil"/>
        </w:rPr>
      </w:pPr>
      <w:r>
        <w:rPr>
          <w:noProof/>
        </w:rPr>
        <w:t>•</w:t>
      </w:r>
      <w:r>
        <w:rPr>
          <w:noProof/>
        </w:rPr>
        <w:tab/>
        <w:t>Efterhandsutvärderingar/kontroller av ändamålsenligheten med befintlig lagstiftning</w:t>
      </w:r>
    </w:p>
    <w:p>
      <w:pPr>
        <w:rPr>
          <w:noProof/>
        </w:rPr>
      </w:pPr>
      <w:r>
        <w:rPr>
          <w:noProof/>
        </w:rPr>
        <w:t>I samband med utarbetandet av detta förslag har kommissionen genomfört en djupanalys av relevanta bestämmelser i direktiv 2009/65/EG och direktiv 2011/61/EU och ytterligare krav som medlemsstaterna infört.</w:t>
      </w:r>
    </w:p>
    <w:p>
      <w:pPr>
        <w:pBdr>
          <w:top w:val="nil"/>
          <w:left w:val="nil"/>
          <w:bottom w:val="nil"/>
          <w:right w:val="nil"/>
          <w:between w:val="nil"/>
          <w:bar w:val="nil"/>
        </w:pBdr>
        <w:spacing w:before="0" w:after="240"/>
        <w:rPr>
          <w:rFonts w:eastAsia="Arial Unicode MS"/>
          <w:noProof/>
        </w:rPr>
      </w:pPr>
      <w:r>
        <w:rPr>
          <w:noProof/>
        </w:rPr>
        <w:t>Utvärderingen visar att samtidigt som den inre marknaden blivit relativt framgångsrik har den fulla potentialen när det gäller gränsöverskridande distribution av investeringsfonder inte utnyttjats eftersom fonderna fortfarande ställs inför många hinder. Dessutom ger det nuvarande regelverket inte tillräcklig transparens vad gäller de rättsliga krav och den administrativa praxis som faller utanför den harmonisering som infördes genom direktiv 2009/65/EG och direktiv 2011/61/EU. Kommissionens utvärdering visade att medlemsstaterna har väldigt olika sätt att gripa sig an kraven på verifieringen av marknadsföringskommunikation. Storleken på de avgifter som tas ut för tillsynsarbete i enlighet med direktiv 2009/65/EG och direktiv 2011/61/EU skiljer sig dessutom mycket åt mellan de nationella behöriga myndigheterna. Allt detta utgör hinder för en bredare gränsöverskridande distribution av investeringsfonder.</w:t>
      </w:r>
    </w:p>
    <w:p>
      <w:pPr>
        <w:pStyle w:val="ManualHeading2"/>
        <w:rPr>
          <w:noProof/>
          <w:u w:color="000000"/>
          <w:bdr w:val="nil"/>
        </w:rPr>
      </w:pPr>
      <w:r>
        <w:rPr>
          <w:noProof/>
        </w:rPr>
        <w:t>•</w:t>
      </w:r>
      <w:r>
        <w:rPr>
          <w:noProof/>
        </w:rPr>
        <w:tab/>
        <w:t>Samråd med berörda parter</w:t>
      </w:r>
    </w:p>
    <w:p>
      <w:pPr>
        <w:pBdr>
          <w:top w:val="nil"/>
          <w:left w:val="nil"/>
          <w:bottom w:val="nil"/>
          <w:right w:val="nil"/>
          <w:between w:val="nil"/>
          <w:bar w:val="nil"/>
        </w:pBdr>
        <w:spacing w:before="0" w:after="240"/>
        <w:rPr>
          <w:rFonts w:eastAsia="Arial Unicode MS"/>
          <w:noProof/>
        </w:rPr>
      </w:pPr>
      <w:r>
        <w:rPr>
          <w:noProof/>
        </w:rPr>
        <w:t xml:space="preserve">Svar från två samråd gav vid handen att rättsliga hinder för gränsöverskridande distribution av investeringsfonder står i vägen för att alla den inre marknadens fördelar ska kunna realiseras. Det första samrådet, </w:t>
      </w:r>
      <w:r>
        <w:rPr>
          <w:b/>
          <w:noProof/>
        </w:rPr>
        <w:t>grönboken om kapitalmarknadsunionen</w:t>
      </w:r>
      <w:r>
        <w:rPr>
          <w:noProof/>
        </w:rPr>
        <w:t xml:space="preserve">, inleddes den 18 februari 2015. Det andra samrådet, </w:t>
      </w:r>
      <w:r>
        <w:rPr>
          <w:b/>
          <w:noProof/>
        </w:rPr>
        <w:t>synpunkter från berörda parter på EU:s regelverk för finansiella tjänster</w:t>
      </w:r>
      <w:r>
        <w:rPr>
          <w:noProof/>
        </w:rPr>
        <w:t xml:space="preserve">, inleddes den 30 september 2015. </w:t>
      </w:r>
    </w:p>
    <w:p>
      <w:pPr>
        <w:pBdr>
          <w:top w:val="nil"/>
          <w:left w:val="nil"/>
          <w:bottom w:val="nil"/>
          <w:right w:val="nil"/>
          <w:between w:val="nil"/>
          <w:bar w:val="nil"/>
        </w:pBdr>
        <w:spacing w:before="0" w:after="240"/>
        <w:rPr>
          <w:rFonts w:eastAsia="Arial Unicode MS"/>
          <w:noProof/>
        </w:rPr>
      </w:pPr>
      <w:r>
        <w:rPr>
          <w:b/>
          <w:noProof/>
        </w:rPr>
        <w:t>Ytterligare information</w:t>
      </w:r>
      <w:r>
        <w:rPr>
          <w:noProof/>
        </w:rPr>
        <w:t xml:space="preserve"> om nationell praxis inhämtades </w:t>
      </w:r>
      <w:r>
        <w:rPr>
          <w:b/>
          <w:noProof/>
        </w:rPr>
        <w:t>från</w:t>
      </w:r>
      <w:r>
        <w:rPr>
          <w:noProof/>
        </w:rPr>
        <w:t xml:space="preserve"> </w:t>
      </w:r>
      <w:r>
        <w:rPr>
          <w:b/>
          <w:noProof/>
        </w:rPr>
        <w:t>behöriga myndigheter och Europiska värdepappers- och marknadsmyndigheten (Esma)</w:t>
      </w:r>
      <w:r>
        <w:rPr>
          <w:noProof/>
        </w:rPr>
        <w:t>. På kommissionens begäran genomförde Esma under 2016 en undersökning bland behöriga myndigheter och frågade efter närmare upplysningar om rådande nationell praxis på områden såsom föreskrivna avgifter och marknadsföringskrav.</w:t>
      </w:r>
    </w:p>
    <w:p>
      <w:pPr>
        <w:pBdr>
          <w:top w:val="nil"/>
          <w:left w:val="nil"/>
          <w:bottom w:val="nil"/>
          <w:right w:val="nil"/>
          <w:between w:val="nil"/>
          <w:bar w:val="nil"/>
        </w:pBdr>
        <w:spacing w:before="0" w:after="240"/>
        <w:rPr>
          <w:rFonts w:eastAsia="Arial Unicode MS"/>
          <w:noProof/>
        </w:rPr>
      </w:pPr>
      <w:r>
        <w:rPr>
          <w:noProof/>
        </w:rPr>
        <w:t xml:space="preserve">Baserat på de uppgifter som inkom i samband med grönboken om kapitalmarknadsunionen och synpunkterna från berörda parter på EU:s regelverk höll kommissionen ett </w:t>
      </w:r>
      <w:r>
        <w:rPr>
          <w:b/>
          <w:noProof/>
        </w:rPr>
        <w:t>offentligt samråd</w:t>
      </w:r>
      <w:r>
        <w:rPr>
          <w:noProof/>
        </w:rPr>
        <w:t xml:space="preserve"> den 2 juni 2016 om </w:t>
      </w:r>
      <w:r>
        <w:rPr>
          <w:b/>
          <w:noProof/>
        </w:rPr>
        <w:t>gränsöverskridande distribution av investeringsfonder</w:t>
      </w:r>
      <w:r>
        <w:rPr>
          <w:rStyle w:val="FootnoteReference"/>
          <w:noProof/>
        </w:rPr>
        <w:footnoteReference w:id="19"/>
      </w:r>
      <w:r>
        <w:rPr>
          <w:noProof/>
        </w:rPr>
        <w:t xml:space="preserve">. Baserat på den återkoppling som redan inkommit syftade samrådet till att samla in praktiska exempel på de problem man stött på och belägg för förekomsten av sådana problem. För att få in så många svar som möjligt organiserade kommissionen </w:t>
      </w:r>
      <w:r>
        <w:rPr>
          <w:b/>
          <w:noProof/>
        </w:rPr>
        <w:t>kampanjturnéer</w:t>
      </w:r>
      <w:r>
        <w:rPr>
          <w:noProof/>
        </w:rPr>
        <w:t xml:space="preserve"> tillsammans med kapitalförvaltningsorganisationer och deras medlemmar i EU:s viktigaste nav för kapitalförvaltning, dvs. Luxemburg, Frankrike, Irland, Förenade kungariket, Tyskland och Belgien. Ett antal möten och konferenssamtal hölls tillsammans med europeiska och nationella investerarorganisationer och samrådet presenterades för </w:t>
      </w:r>
      <w:r>
        <w:rPr>
          <w:b/>
          <w:noProof/>
        </w:rPr>
        <w:t>användargruppen för finansiella tjänster</w:t>
      </w:r>
      <w:r>
        <w:rPr>
          <w:noProof/>
        </w:rPr>
        <w:t xml:space="preserve"> den 15 september 2016. Totalt inkom 64 svar. 52 från organisationer eller företag, 8 från offentliga myndigheter eller internationella organisationer och 4 från enskilda. De flesta svar indikerade att rättsliga hinder i hög grad avskräckte gränsöverskridande finansiering.</w:t>
      </w:r>
    </w:p>
    <w:p>
      <w:pPr>
        <w:pBdr>
          <w:top w:val="nil"/>
          <w:left w:val="nil"/>
          <w:bottom w:val="nil"/>
          <w:right w:val="nil"/>
          <w:between w:val="nil"/>
          <w:bar w:val="nil"/>
        </w:pBdr>
        <w:spacing w:before="0" w:after="240"/>
        <w:rPr>
          <w:rFonts w:eastAsia="Arial Unicode MS"/>
          <w:noProof/>
        </w:rPr>
      </w:pPr>
      <w:r>
        <w:rPr>
          <w:noProof/>
        </w:rPr>
        <w:lastRenderedPageBreak/>
        <w:t>På kommissionens begäran och på grundval av de belägg som inkommit genomförde Esma en uppföljningsundersökning 2017 för att skaffa sig ytterligare information om särskild marknadspraxis och krav på upplysning i medlemsstaterna.</w:t>
      </w:r>
    </w:p>
    <w:p>
      <w:pPr>
        <w:pBdr>
          <w:top w:val="nil"/>
          <w:left w:val="nil"/>
          <w:bottom w:val="nil"/>
          <w:right w:val="nil"/>
          <w:between w:val="nil"/>
          <w:bar w:val="nil"/>
        </w:pBdr>
        <w:spacing w:before="0" w:after="240"/>
        <w:rPr>
          <w:rFonts w:eastAsia="Arial Unicode MS"/>
          <w:noProof/>
        </w:rPr>
      </w:pPr>
      <w:r>
        <w:rPr>
          <w:noProof/>
        </w:rPr>
        <w:t xml:space="preserve">Kommissionen organiserade också möten med investeringsfondbranschen och europeiska investeringsorganisationer för mer information. Ett frågeformulär skickades ut den 30 maj 2017 till åtta handelsorgan om de olika områden som omfattas av gränsöverskridande distribution av investeringsfonder. Särskilt fokus låg på att kvantifiera kostnaderna som orsakats av rättsliga hinder för gränsöverskridande distribution och att fastställa den potentiella nyttan av att undanröja dessa hinder för kapitalförvaltare och investerare. Återkopplingen gav vid handen att kostnaderna till följd av rättsliga hinder är betydande: de uppgår till 1–4 % av de övergripande kostnaderna för investeringsfonder. En </w:t>
      </w:r>
      <w:r>
        <w:rPr>
          <w:b/>
          <w:noProof/>
        </w:rPr>
        <w:t>riktad undersökning</w:t>
      </w:r>
      <w:r>
        <w:rPr>
          <w:noProof/>
        </w:rPr>
        <w:t xml:space="preserve"> av 60 jämt fördelade små, medelstora och stora investeringsfonder baserat på ett stratifierat slumpmässigt urval genomfördes i oktober 2017. Undersökningen bekräftade betydelsen av rättsliga hinder och behovet av åtgärder på EU-nivå.</w:t>
      </w:r>
    </w:p>
    <w:p>
      <w:pPr>
        <w:pBdr>
          <w:top w:val="nil"/>
          <w:left w:val="nil"/>
          <w:bottom w:val="nil"/>
          <w:right w:val="nil"/>
          <w:between w:val="nil"/>
          <w:bar w:val="nil"/>
        </w:pBdr>
        <w:spacing w:before="0" w:after="240"/>
        <w:rPr>
          <w:rFonts w:eastAsia="Arial Unicode MS"/>
          <w:noProof/>
        </w:rPr>
      </w:pPr>
      <w:r>
        <w:rPr>
          <w:noProof/>
        </w:rPr>
        <w:t xml:space="preserve">Kommissionen samrådde också med berörda parter i juni och juli 2017 genom en </w:t>
      </w:r>
      <w:r>
        <w:rPr>
          <w:b/>
          <w:noProof/>
        </w:rPr>
        <w:t>inledande konsekvensbedömning</w:t>
      </w:r>
      <w:r>
        <w:rPr>
          <w:rStyle w:val="FootnoteReference"/>
          <w:noProof/>
        </w:rPr>
        <w:footnoteReference w:id="20"/>
      </w:r>
      <w:r>
        <w:rPr>
          <w:noProof/>
        </w:rPr>
        <w:t xml:space="preserve"> De fem svar som inkom från kapitalförvaltare, deras organisationer och organisationer för finansiella rådgivare stödde kommissionens initiativ att minska hindren för gränsöverskridande distribution av investeringsfonder.</w:t>
      </w:r>
    </w:p>
    <w:p>
      <w:pPr>
        <w:pStyle w:val="ManualHeading2"/>
        <w:rPr>
          <w:noProof/>
          <w:u w:color="000000"/>
          <w:bdr w:val="nil"/>
        </w:rPr>
      </w:pPr>
      <w:r>
        <w:rPr>
          <w:noProof/>
        </w:rPr>
        <w:t>•</w:t>
      </w:r>
      <w:r>
        <w:rPr>
          <w:noProof/>
        </w:rPr>
        <w:tab/>
        <w:t>Insamling och användning av sakkunnigutlåtanden</w:t>
      </w:r>
    </w:p>
    <w:p>
      <w:pPr>
        <w:pBdr>
          <w:top w:val="nil"/>
          <w:left w:val="nil"/>
          <w:bottom w:val="nil"/>
          <w:right w:val="nil"/>
          <w:between w:val="nil"/>
          <w:bar w:val="nil"/>
        </w:pBdr>
        <w:spacing w:before="0" w:after="240"/>
        <w:rPr>
          <w:rFonts w:eastAsia="Arial Unicode MS"/>
          <w:noProof/>
        </w:rPr>
      </w:pPr>
      <w:r>
        <w:rPr>
          <w:noProof/>
        </w:rPr>
        <w:t>Kommissionen förlitade sig på information och data från Morningstar</w:t>
      </w:r>
      <w:r>
        <w:rPr>
          <w:rStyle w:val="FootnoteReference"/>
          <w:noProof/>
        </w:rPr>
        <w:footnoteReference w:id="21"/>
      </w:r>
      <w:r>
        <w:rPr>
          <w:noProof/>
        </w:rPr>
        <w:t>, European Fund and Asset Management Association (EFAMA) och marknadsrapporter och studier av privata företag. Vidare gicks akademisk litteratur igenom, i synnerhet litteratur om konsekvenserna av gränsöverskridande distribution på konkurrenskraft och förväntat konsumentbeteende.</w:t>
      </w:r>
    </w:p>
    <w:p>
      <w:pPr>
        <w:pStyle w:val="ManualHeading2"/>
        <w:rPr>
          <w:noProof/>
          <w:u w:color="000000"/>
          <w:bdr w:val="nil"/>
        </w:rPr>
      </w:pPr>
      <w:r>
        <w:rPr>
          <w:noProof/>
        </w:rPr>
        <w:t>•</w:t>
      </w:r>
      <w:r>
        <w:rPr>
          <w:noProof/>
        </w:rPr>
        <w:tab/>
        <w:t>Konsekvensbedömning</w:t>
      </w:r>
    </w:p>
    <w:p>
      <w:pPr>
        <w:pBdr>
          <w:top w:val="nil"/>
          <w:left w:val="nil"/>
          <w:bottom w:val="nil"/>
          <w:right w:val="nil"/>
          <w:between w:val="nil"/>
          <w:bar w:val="nil"/>
        </w:pBdr>
        <w:spacing w:before="0" w:after="240"/>
        <w:rPr>
          <w:noProof/>
        </w:rPr>
      </w:pPr>
      <w:r>
        <w:rPr>
          <w:noProof/>
        </w:rPr>
        <w:t>En konsekvensbedömning genomfördes inför utarbetandet av detta initiativ.</w:t>
      </w:r>
    </w:p>
    <w:p>
      <w:pPr>
        <w:pBdr>
          <w:top w:val="nil"/>
          <w:left w:val="nil"/>
          <w:bottom w:val="nil"/>
          <w:right w:val="nil"/>
          <w:between w:val="nil"/>
          <w:bar w:val="nil"/>
        </w:pBdr>
        <w:spacing w:before="0" w:after="240"/>
        <w:rPr>
          <w:rFonts w:eastAsia="Arial Unicode MS"/>
          <w:noProof/>
        </w:rPr>
      </w:pPr>
      <w:r>
        <w:rPr>
          <w:noProof/>
        </w:rPr>
        <w:t>Den 1 december 2017 avgav konsekvensbedömningsnämnden ett positivt yttrande med rekommendationer att ytterligare förbättra utkastet till konsekvensbedömningsrapport. Utkastet till rapport ändrades följaktligen i enlighet med nämndens kommentarer</w:t>
      </w:r>
      <w:r>
        <w:rPr>
          <w:rStyle w:val="FootnoteReference"/>
          <w:noProof/>
        </w:rPr>
        <w:footnoteReference w:id="22"/>
      </w:r>
      <w:r>
        <w:rPr>
          <w:noProof/>
        </w:rPr>
        <w:t xml:space="preserve">. De huvudsakliga ändringar som nämnden rekommenderade avser </w:t>
      </w:r>
    </w:p>
    <w:p>
      <w:pPr>
        <w:pStyle w:val="Bullet0"/>
        <w:rPr>
          <w:rFonts w:eastAsia="Arial Unicode MS"/>
          <w:noProof/>
        </w:rPr>
      </w:pPr>
      <w:r>
        <w:rPr>
          <w:noProof/>
        </w:rPr>
        <w:t xml:space="preserve">faktorer som påverkar sådan gränsöverskridande distribution som inte omfattas av detta initiativ, </w:t>
      </w:r>
    </w:p>
    <w:p>
      <w:pPr>
        <w:pStyle w:val="Bullet0"/>
        <w:rPr>
          <w:rFonts w:eastAsia="Arial Unicode MS"/>
          <w:noProof/>
        </w:rPr>
      </w:pPr>
      <w:r>
        <w:rPr>
          <w:noProof/>
        </w:rPr>
        <w:t xml:space="preserve">en beskrivning i referensscenariot av nyligen lanserade initiativ som har en (indirekt) påverkan på gränsöverskridande distribution av fonder, </w:t>
      </w:r>
    </w:p>
    <w:p>
      <w:pPr>
        <w:pStyle w:val="Bullet0"/>
        <w:rPr>
          <w:rFonts w:eastAsia="Arial Unicode MS"/>
          <w:noProof/>
        </w:rPr>
      </w:pPr>
      <w:r>
        <w:rPr>
          <w:noProof/>
        </w:rPr>
        <w:t xml:space="preserve">struktur för och presentation, bedömning och jämförelse av alternativen, och </w:t>
      </w:r>
    </w:p>
    <w:p>
      <w:pPr>
        <w:pStyle w:val="Bullet0"/>
        <w:rPr>
          <w:rFonts w:eastAsia="Arial Unicode MS"/>
          <w:noProof/>
        </w:rPr>
      </w:pPr>
      <w:r>
        <w:rPr>
          <w:noProof/>
        </w:rPr>
        <w:t xml:space="preserve">presentation, dokumentation och kvalificeringen av de kvalitativa metoderna och deras resultat. </w:t>
      </w:r>
    </w:p>
    <w:p>
      <w:pPr>
        <w:pBdr>
          <w:top w:val="nil"/>
          <w:left w:val="nil"/>
          <w:bottom w:val="nil"/>
          <w:right w:val="nil"/>
          <w:between w:val="nil"/>
          <w:bar w:val="nil"/>
        </w:pBdr>
        <w:spacing w:before="0" w:after="240"/>
        <w:rPr>
          <w:rFonts w:eastAsia="Arial Unicode MS"/>
          <w:noProof/>
        </w:rPr>
      </w:pPr>
      <w:r>
        <w:rPr>
          <w:noProof/>
        </w:rPr>
        <w:lastRenderedPageBreak/>
        <w:t>Den reviderade konsekvensbedömningsrapporten och en sammanfattning av den offentliggörs med detta förslag</w:t>
      </w:r>
      <w:r>
        <w:rPr>
          <w:rStyle w:val="FootnoteReference"/>
          <w:noProof/>
        </w:rPr>
        <w:footnoteReference w:id="23"/>
      </w:r>
      <w:r>
        <w:rPr>
          <w:noProof/>
        </w:rPr>
        <w:t xml:space="preserve">. </w:t>
      </w:r>
    </w:p>
    <w:p>
      <w:pPr>
        <w:pBdr>
          <w:top w:val="nil"/>
          <w:left w:val="nil"/>
          <w:bottom w:val="nil"/>
          <w:right w:val="nil"/>
          <w:between w:val="nil"/>
          <w:bar w:val="nil"/>
        </w:pBdr>
        <w:spacing w:before="0" w:after="240"/>
        <w:rPr>
          <w:noProof/>
          <w:szCs w:val="24"/>
        </w:rPr>
      </w:pPr>
      <w:r>
        <w:rPr>
          <w:noProof/>
        </w:rPr>
        <w:t>Konsekvensbedömningsrapporten tar upp en rad policyalternativ. På grundval av bedömningen av dem föll valet på följande:</w:t>
      </w:r>
    </w:p>
    <w:p>
      <w:pPr>
        <w:pStyle w:val="Point0letter"/>
        <w:numPr>
          <w:ilvl w:val="1"/>
          <w:numId w:val="18"/>
        </w:numPr>
        <w:rPr>
          <w:noProof/>
        </w:rPr>
      </w:pPr>
      <w:r>
        <w:rPr>
          <w:noProof/>
        </w:rPr>
        <w:t>Nationella marknadsföringskrav bör vara mer transparenta på nationell nivå och EU-nivå. Dessutom bör definitionen av sonderande marknadsföring i direktiv 2011/61/EU harmoniseras och förfarandet för att kontrollera marknadsföringsmaterial bör fastställas tydligare.</w:t>
      </w:r>
    </w:p>
    <w:p>
      <w:pPr>
        <w:pStyle w:val="Point0letter"/>
        <w:rPr>
          <w:noProof/>
        </w:rPr>
      </w:pPr>
      <w:r>
        <w:rPr>
          <w:noProof/>
        </w:rPr>
        <w:t>Föreskrivna avgifter bör bli mer transparenta på EU-nivå och övergripande principer bör införas för att säkerställa enhetlighet i fråga om hur föreskrivna avgifter fastställs.</w:t>
      </w:r>
    </w:p>
    <w:p>
      <w:pPr>
        <w:pStyle w:val="Point0letter"/>
        <w:rPr>
          <w:noProof/>
        </w:rPr>
      </w:pPr>
      <w:r>
        <w:rPr>
          <w:noProof/>
        </w:rPr>
        <w:t>Val av sätt att stödja lokala investerare bör lämnas till förvaltare av investeringsfonder med skyddsmekanismer för investerare.</w:t>
      </w:r>
    </w:p>
    <w:p>
      <w:pPr>
        <w:pStyle w:val="Point0letter"/>
        <w:rPr>
          <w:noProof/>
        </w:rPr>
      </w:pPr>
      <w:r>
        <w:rPr>
          <w:noProof/>
        </w:rPr>
        <w:t>Förfarandena och kraven för att uppdatera anmälningar och avanmälningar av ansökningar om marknadsföringspass bör harmoniseras mer.</w:t>
      </w:r>
    </w:p>
    <w:p>
      <w:pPr>
        <w:spacing w:before="0"/>
        <w:rPr>
          <w:noProof/>
        </w:rPr>
      </w:pPr>
      <w:r>
        <w:rPr>
          <w:noProof/>
        </w:rPr>
        <w:t>Tillsammans minskar de valda policyalternativen de rättsliga hindren i betydlig grad. De ökar potentialen för att fler fonder kan marknadsföras över gränserna, ökar konkurrensen, minskar marknadsfragmenteringen och ger investerare inom EU fler valmöjligheter. De valda policyalternativen har också indirekta fördelar till följd av deras sociala påverkan och miljöpåverkan. Mer gränsöverskridande distribution bör leda till fler möjligheter att investera i investeringsfonder med sociala mål och miljömål. Detta kan i sin tur snabba på tillväxten inom dessa områden.</w:t>
      </w:r>
    </w:p>
    <w:p>
      <w:pPr>
        <w:pBdr>
          <w:top w:val="nil"/>
          <w:left w:val="nil"/>
          <w:bottom w:val="nil"/>
          <w:right w:val="nil"/>
          <w:between w:val="nil"/>
          <w:bar w:val="nil"/>
        </w:pBdr>
        <w:spacing w:before="0"/>
        <w:rPr>
          <w:noProof/>
        </w:rPr>
      </w:pPr>
      <w:r>
        <w:rPr>
          <w:noProof/>
        </w:rPr>
        <w:t>För alla investeringsfonder som för närvarande marknadsförs på gränsöverskridande basis inom EU beräknas de valda policyalternativen årligen spara 306–440 miljoner euro i kostnader (löpande kostnader). Besparingarna i engångskostnader förväntas bli ännu högre: 378–467 miljoner euro. Dessa kostnadsminskningar bör fungera som incitament för mer gränsöverskridande verksamhet och främja en mer integrerad inre marknad för investeringsfonder.</w:t>
      </w:r>
    </w:p>
    <w:p>
      <w:pPr>
        <w:pBdr>
          <w:top w:val="nil"/>
          <w:left w:val="nil"/>
          <w:bottom w:val="nil"/>
          <w:right w:val="nil"/>
          <w:between w:val="nil"/>
          <w:bar w:val="nil"/>
        </w:pBdr>
        <w:spacing w:before="0" w:after="240"/>
        <w:rPr>
          <w:rFonts w:eastAsia="Arial Unicode MS"/>
          <w:noProof/>
        </w:rPr>
      </w:pPr>
      <w:r>
        <w:rPr>
          <w:noProof/>
        </w:rPr>
        <w:t>Detta direktiv omfattar de valda policyalternativen c och d. Den förordning som läggs fram separat omfattar de valda policyalternativen a och b.</w:t>
      </w:r>
    </w:p>
    <w:p>
      <w:pPr>
        <w:pStyle w:val="ManualHeading2"/>
        <w:rPr>
          <w:noProof/>
          <w:u w:color="000000"/>
          <w:bdr w:val="nil"/>
        </w:rPr>
      </w:pPr>
      <w:r>
        <w:rPr>
          <w:noProof/>
        </w:rPr>
        <w:t>•</w:t>
      </w:r>
      <w:r>
        <w:rPr>
          <w:noProof/>
        </w:rPr>
        <w:tab/>
        <w:t>Lagstiftningens ändamålsenlighet och förenkling</w:t>
      </w:r>
    </w:p>
    <w:p>
      <w:pPr>
        <w:pBdr>
          <w:top w:val="nil"/>
          <w:left w:val="nil"/>
          <w:bottom w:val="nil"/>
          <w:right w:val="nil"/>
          <w:between w:val="nil"/>
          <w:bar w:val="nil"/>
        </w:pBdr>
        <w:spacing w:before="0" w:after="240"/>
        <w:rPr>
          <w:rFonts w:eastAsia="Arial Unicode MS"/>
          <w:noProof/>
        </w:rPr>
      </w:pPr>
      <w:r>
        <w:rPr>
          <w:noProof/>
        </w:rPr>
        <w:t>Detta förslag bör leda till betydande kostnadsminskningar för förvaltare av investeringsfonder som distribuerar eller har för avsikt att distribuera sina fonder gränsöverskridande inom EU. Dessa kostnadsminskningar kommer särskilt att vara positiva för förvaltare av fonder som antingen förvaltar ett mindre antal investeringsfonder eller investeringsfonder med mindre betydande förvaltade tillgångar eftersom de har en liten bas som de kan sprida kostnaderna på.</w:t>
      </w:r>
    </w:p>
    <w:p>
      <w:pPr>
        <w:pBdr>
          <w:top w:val="nil"/>
          <w:left w:val="nil"/>
          <w:bottom w:val="nil"/>
          <w:right w:val="nil"/>
          <w:between w:val="nil"/>
          <w:bar w:val="nil"/>
        </w:pBdr>
        <w:spacing w:before="0" w:after="240"/>
        <w:rPr>
          <w:rFonts w:eastAsia="Arial Unicode MS"/>
          <w:noProof/>
        </w:rPr>
      </w:pPr>
      <w:r>
        <w:rPr>
          <w:noProof/>
        </w:rPr>
        <w:t>Även om detta förslag inte direkt riktar sig till små och medelstora företag kommer sådana företag indirekt att tjäna på förslaget. Ökad gränsöverskridande distribution av investeringsfonder kommer att leda till ökad tillväxt av EU-investeringsfonder och deras investeringar i små och medelstora företag, särskilt från riskkapitalfonder.</w:t>
      </w:r>
    </w:p>
    <w:p>
      <w:pPr>
        <w:pStyle w:val="ManualHeading2"/>
        <w:rPr>
          <w:noProof/>
          <w:u w:color="000000"/>
          <w:bdr w:val="nil"/>
        </w:rPr>
      </w:pPr>
      <w:r>
        <w:rPr>
          <w:noProof/>
        </w:rPr>
        <w:lastRenderedPageBreak/>
        <w:t>•</w:t>
      </w:r>
      <w:r>
        <w:rPr>
          <w:noProof/>
        </w:rPr>
        <w:tab/>
        <w:t>Grundläggande rättigheter</w:t>
      </w:r>
    </w:p>
    <w:p>
      <w:pPr>
        <w:pBdr>
          <w:top w:val="nil"/>
          <w:left w:val="nil"/>
          <w:bottom w:val="nil"/>
          <w:right w:val="nil"/>
          <w:between w:val="nil"/>
          <w:bar w:val="nil"/>
        </w:pBdr>
        <w:spacing w:before="0" w:after="240"/>
        <w:rPr>
          <w:rFonts w:eastAsia="Arial Unicode MS"/>
          <w:noProof/>
        </w:rPr>
      </w:pPr>
      <w:r>
        <w:rPr>
          <w:noProof/>
        </w:rPr>
        <w:t xml:space="preserve">Förslaget främjar de rättigheter som fastställs i Europeiska unionens stadga om de grundläggande rättigheterna (nedan kallad </w:t>
      </w:r>
      <w:r>
        <w:rPr>
          <w:i/>
          <w:noProof/>
        </w:rPr>
        <w:t>stadgan</w:t>
      </w:r>
      <w:r>
        <w:rPr>
          <w:noProof/>
        </w:rPr>
        <w:t>). Huvudsyftet med detta initiativ är att underlätta rätten att tillhandahålla tjänster i alla medlemsstater, som föreskrivs i artikel 15.2 i stadgan, samt att säkra att ingen diskrimineras (även indirekt) på grund av nationalitet (ytterligare genomförande av artikel 21.2 i stadgan). Vidare kommer förbudet mot missbruk av rättigheter, dvs. friheten att tillhandahålla tjänster, att vederbörligen beaktas i enlighet med artikel 54 i stadgan.</w:t>
      </w:r>
    </w:p>
    <w:p>
      <w:pPr>
        <w:pStyle w:val="ManualHeading1"/>
        <w:rPr>
          <w:noProof/>
        </w:rPr>
      </w:pPr>
      <w:r>
        <w:rPr>
          <w:noProof/>
        </w:rPr>
        <w:t>4.</w:t>
      </w:r>
      <w:r>
        <w:rPr>
          <w:noProof/>
        </w:rPr>
        <w:tab/>
        <w:t>BUDGETKONSEKVENSER</w:t>
      </w:r>
    </w:p>
    <w:p>
      <w:pPr>
        <w:pBdr>
          <w:top w:val="nil"/>
          <w:left w:val="nil"/>
          <w:bottom w:val="nil"/>
          <w:right w:val="nil"/>
          <w:between w:val="nil"/>
          <w:bar w:val="nil"/>
        </w:pBdr>
        <w:spacing w:before="0" w:after="240"/>
        <w:rPr>
          <w:rFonts w:eastAsia="Arial Unicode MS"/>
          <w:noProof/>
        </w:rPr>
      </w:pPr>
      <w:r>
        <w:rPr>
          <w:noProof/>
        </w:rPr>
        <w:t>Förslaget har inga budgetkonsekvenser för kommissionen.</w:t>
      </w:r>
    </w:p>
    <w:p>
      <w:pPr>
        <w:pStyle w:val="ManualHeading1"/>
        <w:rPr>
          <w:rFonts w:eastAsia="Arial Unicode MS"/>
          <w:noProof/>
          <w:bdr w:val="none" w:sz="0" w:space="0" w:color="auto" w:frame="1"/>
        </w:rPr>
      </w:pPr>
      <w:r>
        <w:rPr>
          <w:noProof/>
        </w:rPr>
        <w:t>5.</w:t>
      </w:r>
      <w:r>
        <w:rPr>
          <w:noProof/>
        </w:rPr>
        <w:tab/>
        <w:t>ÖVRIGA INSLAG</w:t>
      </w:r>
    </w:p>
    <w:p>
      <w:pPr>
        <w:pStyle w:val="Bullet2"/>
        <w:numPr>
          <w:ilvl w:val="0"/>
          <w:numId w:val="19"/>
        </w:numPr>
        <w:rPr>
          <w:b/>
          <w:noProof/>
          <w:u w:color="000000"/>
          <w:bdr w:val="nil"/>
        </w:rPr>
      </w:pPr>
      <w:r>
        <w:rPr>
          <w:b/>
          <w:noProof/>
          <w:u w:color="000000"/>
          <w:bdr w:val="nil"/>
        </w:rPr>
        <w:t>Utvärdering</w:t>
      </w:r>
    </w:p>
    <w:p>
      <w:pPr>
        <w:rPr>
          <w:rFonts w:eastAsia="Times New Roman"/>
          <w:noProof/>
          <w:color w:val="1F497D"/>
        </w:rPr>
      </w:pPr>
      <w:r>
        <w:rPr>
          <w:noProof/>
        </w:rPr>
        <w:t>En utvärdering av detta direktiv och förordningen om att underlätta gränsöverskridande distribution av kollektiva investeringsfonder samt om ändring av förordningarna (EU) nr 345/2013 och (EU) nr 346/2013 kommer att genomföras 36 månader efter dagen för införlivande av detta direktiv. Kommissionen kommer att utgå från offentliga samråd och diskussioner med Esma och behöriga myndigheter.</w:t>
      </w:r>
    </w:p>
    <w:p>
      <w:pPr>
        <w:pStyle w:val="ManualHeading2"/>
        <w:ind w:left="0" w:firstLine="0"/>
        <w:rPr>
          <w:noProof/>
        </w:rPr>
      </w:pPr>
      <w:r>
        <w:rPr>
          <w:noProof/>
        </w:rPr>
        <w:t>•</w:t>
      </w:r>
      <w:r>
        <w:rPr>
          <w:noProof/>
        </w:rPr>
        <w:tab/>
        <w:t>Ingående redogörelse för de specifika bestämmelserna i förslaget</w:t>
      </w:r>
    </w:p>
    <w:p>
      <w:pPr>
        <w:pBdr>
          <w:top w:val="nil"/>
          <w:left w:val="nil"/>
          <w:bottom w:val="nil"/>
          <w:right w:val="nil"/>
          <w:between w:val="nil"/>
          <w:bar w:val="nil"/>
        </w:pBdr>
        <w:spacing w:before="0" w:after="240"/>
        <w:rPr>
          <w:noProof/>
        </w:rPr>
      </w:pPr>
      <w:r>
        <w:rPr>
          <w:noProof/>
        </w:rPr>
        <w:t>Förslaget innehåller följande ändringar:</w:t>
      </w:r>
    </w:p>
    <w:p>
      <w:pPr>
        <w:pStyle w:val="Point0number"/>
        <w:numPr>
          <w:ilvl w:val="0"/>
          <w:numId w:val="13"/>
        </w:numPr>
        <w:rPr>
          <w:noProof/>
        </w:rPr>
      </w:pPr>
      <w:r>
        <w:rPr>
          <w:noProof/>
        </w:rPr>
        <w:t>Ändring av direktiv 2009/65/EG (artikel 1)</w:t>
      </w:r>
    </w:p>
    <w:p>
      <w:pPr>
        <w:pBdr>
          <w:top w:val="nil"/>
          <w:left w:val="nil"/>
          <w:bottom w:val="nil"/>
          <w:right w:val="nil"/>
          <w:between w:val="nil"/>
          <w:bar w:val="nil"/>
        </w:pBdr>
        <w:spacing w:before="0" w:after="240"/>
        <w:rPr>
          <w:noProof/>
        </w:rPr>
      </w:pPr>
      <w:r>
        <w:rPr>
          <w:noProof/>
        </w:rPr>
        <w:t xml:space="preserve">Artikel 77 i direktiv 2009/65/EG föreslås utgå. Skärpta krav för marknadsföringskommunikation fastställs i förslaget till förordning om underlättande av gränsöverskridande distribution av fonder. Dessa principer för marknadsföringskommunikation kommer att gälla alla kapitalförvaltare som marknadsför sina fonder, oavsett typ. Ändringen kommer att leda till lika villkor och samma nivå av investerarskydd i alla medlemsstater. </w:t>
      </w:r>
    </w:p>
    <w:p>
      <w:pPr>
        <w:pBdr>
          <w:top w:val="nil"/>
          <w:left w:val="nil"/>
          <w:bottom w:val="nil"/>
          <w:right w:val="nil"/>
          <w:between w:val="nil"/>
          <w:bar w:val="nil"/>
        </w:pBdr>
        <w:spacing w:before="0" w:after="240"/>
        <w:rPr>
          <w:noProof/>
        </w:rPr>
      </w:pPr>
      <w:r>
        <w:rPr>
          <w:noProof/>
        </w:rPr>
        <w:t>Artikel 91.3 i direktiv 2009/65/EG föreslås utgå. Denna bestämmelse innebär att medlemsstaterna måste se till att deras nationella lagar och andra författningar som reglerar gränsöverskridande marknadsföring av fondföretag inom deras territorier är lätta att tillgå på distans, på elektronisk väg och på ett språk som är brukligt att använda i internationella finanskretsar. Det parallella förslaget till förordning om underlättande av gränsöverskridande distribution av fonder innehåller särskilda bestämmelser om öppenhet för nationella lagar och krav som gäller marknadsföringskommunikation avseende alla kollektiva investeringsfonder. Dessa nya bestämmelser kommer att leda till att fullständig, tydlig och aktuell information samlas in och offentliggörs av Esma.</w:t>
      </w:r>
    </w:p>
    <w:p>
      <w:pPr>
        <w:pBdr>
          <w:top w:val="nil"/>
          <w:left w:val="nil"/>
          <w:bottom w:val="nil"/>
          <w:right w:val="nil"/>
          <w:between w:val="nil"/>
          <w:bar w:val="nil"/>
        </w:pBdr>
        <w:spacing w:before="0" w:after="240"/>
        <w:rPr>
          <w:noProof/>
        </w:rPr>
      </w:pPr>
      <w:r>
        <w:rPr>
          <w:noProof/>
        </w:rPr>
        <w:t>En ändring föreslås av artikel 92 i direktiv 2009/65/EG. Denna artikel innebär inte någon skyldighet för fondföretag att ha lokala funktioner i alla medlemsstater där fondföretaget marknadsförs. I praktiken kräver dock många medlemsstater att det på deras territorium finns funktioner som kan göra utbetalningar till andelsägare, återköpa och lösa in andelar och tillhandahålla obligatorisk fondinformation. Några medlemsstater kräver även att dessa lokala funktioner utför ytterligare uppgifter, såsom att hantera klagomål, sköta lokal distribution eller vara juridiskt ombud (inklusive relationer med den nationella behöriga myndigheten).</w:t>
      </w:r>
    </w:p>
    <w:p>
      <w:pPr>
        <w:pBdr>
          <w:top w:val="nil"/>
          <w:left w:val="nil"/>
          <w:bottom w:val="nil"/>
          <w:right w:val="nil"/>
          <w:between w:val="nil"/>
          <w:bar w:val="nil"/>
        </w:pBdr>
        <w:spacing w:before="0" w:after="240"/>
        <w:rPr>
          <w:noProof/>
        </w:rPr>
      </w:pPr>
      <w:r>
        <w:rPr>
          <w:noProof/>
        </w:rPr>
        <w:lastRenderedPageBreak/>
        <w:t>Krav på att ha lokala funktioner innebär höga kostnader och medför begränsat mervärde med tanke på användningen av digital teknik. Enligt detta förslag blir det därför förbjudet att ställa krav på fysisk närvaro. Samtidigt som det krävs att det i varje medlemsstat där marknadsföringsverksamhet bedrivs finns funktioner som används i situationer som inbegriper teckning av andelar, utbetalningar eller återköp eller inlösen, blir det enligt detta förslag möjligt för fondförvaltare att kommunicera med investerare på elektronisk väg eller genom andra typer av distanskommunikation. Informationen och kommunikationsverktyget måste vara tillgängliga för investerarna på det eller de officiella språken i den medlemsstat där de är etablerade.</w:t>
      </w:r>
    </w:p>
    <w:p>
      <w:pPr>
        <w:pBdr>
          <w:top w:val="nil"/>
          <w:left w:val="nil"/>
          <w:bottom w:val="nil"/>
          <w:right w:val="nil"/>
          <w:between w:val="nil"/>
          <w:bar w:val="nil"/>
        </w:pBdr>
        <w:spacing w:before="0" w:after="240"/>
        <w:rPr>
          <w:noProof/>
        </w:rPr>
      </w:pPr>
      <w:r>
        <w:rPr>
          <w:noProof/>
        </w:rPr>
        <w:t xml:space="preserve">Ändringarna av artiklarna 17 och 93 i direktiv 2009/65/EG syftar till att harmonisera nationella förfaranden för ändringar av anmälningsförfaranden för fondföretag för olika fonder och i olika medlemsstater. Det är framför allt nödvändigt med en exakt angiven tidsfrist för delgivning av de behöriga myndigheternas beslut, för att garantera enhetliga regler och effektivisera de förfaranden som är tillämpliga på förvaltare av kollektiva fonder. En exakt angiven tidsfrist är också nödvändig för att förfarandena för att ändra de uppgifter som AIF-förvaltare har lämnat i anmälningsförfarandet ska bli anpassade till direktiv 2011/61/EU. </w:t>
      </w:r>
    </w:p>
    <w:p>
      <w:pPr>
        <w:pBdr>
          <w:top w:val="nil"/>
          <w:left w:val="nil"/>
          <w:bottom w:val="nil"/>
          <w:right w:val="nil"/>
          <w:between w:val="nil"/>
          <w:bar w:val="nil"/>
        </w:pBdr>
        <w:spacing w:before="0" w:after="240"/>
        <w:rPr>
          <w:noProof/>
        </w:rPr>
      </w:pPr>
      <w:r>
        <w:rPr>
          <w:noProof/>
        </w:rPr>
        <w:t>En ny artikel införs som artikel 93a i direktiv 2009/65/EG för att komplettera anmälningsförfarandena med villkoren som gäller för fondföretag som beslutar att upphöra med sin marknadsföringsverksamhet i en medlemsstat. Kapitalförvaltare tillåts avanmäla marknadsföring av sitt fondföretag endast om högst 10 investerare som innehar högst 1 % av de förvaltade tillgångarna i fondföretaget har andelar i detta fondföretag i en viss medlemsstat. De behöriga myndigheterna i fondföretagets hemmedlemsstat kommer att kontrollera att detta krav uppfylls, och även kontrollera kraven på öppenhet och offentliggörande för investerare samt erbjudande om återköp. Alla upplysningskrav fortsätter att gälla gentemot de investerare som återstår efter en avanmälan om marknadsföringsverksamhet i en medlemsstat.</w:t>
      </w:r>
    </w:p>
    <w:p>
      <w:pPr>
        <w:pStyle w:val="Point0number"/>
        <w:rPr>
          <w:noProof/>
        </w:rPr>
      </w:pPr>
      <w:r>
        <w:rPr>
          <w:noProof/>
        </w:rPr>
        <w:t>Ändringar av direktivet om förvaltning av alternativa investeringsfonder (artikel 2)</w:t>
      </w:r>
    </w:p>
    <w:p>
      <w:pPr>
        <w:pBdr>
          <w:top w:val="nil"/>
          <w:left w:val="nil"/>
          <w:bottom w:val="nil"/>
          <w:right w:val="nil"/>
          <w:between w:val="nil"/>
          <w:bar w:val="nil"/>
        </w:pBdr>
        <w:spacing w:before="0" w:after="240"/>
        <w:rPr>
          <w:noProof/>
        </w:rPr>
      </w:pPr>
      <w:r>
        <w:rPr>
          <w:noProof/>
        </w:rPr>
        <w:t>Enligt förslaget läggs definitionen av sonderande marknadsföring till i artikel 4.1 i direktiv 2011/61/EU. Vidare förs en ny artikel in som artikel 30a där det fastställs vilka villkor som gäller för att en EU-baserad AIF-förvaltare ska få bedriva sådan verksamhet. Det är viktigt med tillräckliga garantier mot eventuellt kringgående av kraven i direktiv 2011/61/EU, vilka gäller vid marknadsföring av AIF-fonder i hemmedlemsstaten eller i en annan medlemsstat. AIF-förvaltare ges därför rätt att testa intresset för en investeringsidé eller en investeringsstrategi hos professionella investerare, men de får inte marknadsföra en etablerad AIF-fond utan anmälan, enligt vad som föreskrivs i direktivet. Om professionella investerare återkommer till AIF-förvaltaren efter sonderande marknadsföring, kommer dessutom teckning av andelar eller aktier i en AIF-fond som slutligen etableras, eller i en liknande AIF-fond som förvaltas av AIF-förvaltaren, att anses vara ett resultat av marknadsföring.</w:t>
      </w:r>
    </w:p>
    <w:p>
      <w:pPr>
        <w:pBdr>
          <w:top w:val="nil"/>
          <w:left w:val="nil"/>
          <w:bottom w:val="nil"/>
          <w:right w:val="nil"/>
          <w:between w:val="nil"/>
          <w:bar w:val="nil"/>
        </w:pBdr>
        <w:spacing w:before="0" w:after="240"/>
        <w:rPr>
          <w:noProof/>
        </w:rPr>
      </w:pPr>
      <w:r>
        <w:rPr>
          <w:noProof/>
        </w:rPr>
        <w:t xml:space="preserve">En ny artikel införs som artikel 32a i direktiv 2011/61/EG för att komplettera anmälningsförfarandena med förfarandet och villkoren för AIF-förvaltare som önskar upphöra med sin marknadsföringsverksamhet i en viss medlemsstat. En AIF-förvaltare kan tillåtas avanmäla marknadsföring av den förvaltade EU-baserade AIF-fonden endast om det finns högst 10 investerare som innehar högst 1 % av de förvaltade tillgångarna i AIF-fonden i en viss medlemsstat. AIF-förvaltaren måste underrätta de behöriga myndigheterna i sin hemmedlemsstat om hur den uppfyller villkoren för avanmälan och för offentliggörande av detta. AIF-förvaltaren måste även underrätta myndigheterna om erbjudanden till investerare att återköpa andelar eller aktier i den AIF-fond som inte längre kommer att marknadsföras i </w:t>
      </w:r>
      <w:r>
        <w:rPr>
          <w:noProof/>
        </w:rPr>
        <w:lastRenderedPageBreak/>
        <w:t>deras medlemsstat. Alla krav på öppenhet och insyn som investerarna måste uppfylla i enlighet med direktiv 2011/61/EU fortsätter att gälla för investerare som behåller sina investeringar efter avanmälan av marknadsföringsverksamheten i den aktuella medlemsstaten.</w:t>
      </w:r>
    </w:p>
    <w:p>
      <w:pPr>
        <w:pBdr>
          <w:top w:val="nil"/>
          <w:left w:val="nil"/>
          <w:bottom w:val="nil"/>
          <w:right w:val="nil"/>
          <w:between w:val="nil"/>
          <w:bar w:val="nil"/>
        </w:pBdr>
        <w:spacing w:before="0" w:after="240"/>
        <w:rPr>
          <w:noProof/>
        </w:rPr>
        <w:sectPr>
          <w:footerReference w:type="default" r:id="rId16"/>
          <w:footerReference w:type="first" r:id="rId17"/>
          <w:pgSz w:w="11907" w:h="16839"/>
          <w:pgMar w:top="1134" w:right="1417" w:bottom="1134" w:left="1417" w:header="709" w:footer="709" w:gutter="0"/>
          <w:cols w:space="708"/>
          <w:docGrid w:linePitch="360"/>
        </w:sectPr>
      </w:pPr>
      <w:r>
        <w:rPr>
          <w:noProof/>
        </w:rPr>
        <w:t>En ny artikel införs som artikel 43a i direktiv 2011/61/EU för att säkerställa enhetlig behandling av icke-professionella investerare, oberoende av vilken typ av fond de beslutar att investera i. Om medlemsstaterna tillåter att AIF-förvaltare marknadsför andelar eller aktier i AIF-fonder till icke-professionella investerare inom sitt territorium, måste dessa AIF-förvaltare också se till att det finns funktioner till förfogande för icke-professionella investerare som möjliggör teckning av andelar, utbetalningar eller återköp eller inlösen. AIF-förvaltare kommer att kunna använda elektronisk kommunikation eller andra typer av distanskommunikation för detta.</w:t>
      </w:r>
    </w:p>
    <w:p>
      <w:pPr>
        <w:pStyle w:val="Rfrenceinterinstitutionnelle"/>
        <w:rPr>
          <w:noProof/>
        </w:rPr>
      </w:pPr>
      <w:r>
        <w:rPr>
          <w:noProof/>
        </w:rPr>
        <w:lastRenderedPageBreak/>
        <w:t>2018/0041 (COD)</w:t>
      </w:r>
    </w:p>
    <w:p>
      <w:pPr>
        <w:pStyle w:val="Statut"/>
        <w:rPr>
          <w:noProof/>
        </w:rPr>
      </w:pPr>
      <w:r>
        <w:rPr>
          <w:noProof/>
        </w:rPr>
        <w:t>Förslag till</w:t>
      </w:r>
    </w:p>
    <w:p>
      <w:pPr>
        <w:pStyle w:val="Typedudocument"/>
        <w:rPr>
          <w:noProof/>
        </w:rPr>
      </w:pPr>
      <w:r>
        <w:rPr>
          <w:noProof/>
        </w:rPr>
        <w:t>EUROPAPARLAMENTETS OCH RÅDETS DIREKTIV</w:t>
      </w:r>
    </w:p>
    <w:p>
      <w:pPr>
        <w:pStyle w:val="Titreobjet"/>
        <w:rPr>
          <w:noProof/>
        </w:rPr>
      </w:pPr>
      <w:r>
        <w:rPr>
          <w:noProof/>
        </w:rPr>
        <w:t xml:space="preserve"> om ändring av Europaparlamentets och rådets direktiv 2009/65/EG och av Europaparlamentets och rådets direktiv 2011/61/EU avseende gränsöverskridande distribution av kollektiva investeringsfonder</w:t>
      </w:r>
    </w:p>
    <w:p>
      <w:pPr>
        <w:pStyle w:val="IntrtEEE"/>
        <w:rPr>
          <w:noProof/>
        </w:rPr>
      </w:pPr>
      <w:r>
        <w:rPr>
          <w:noProof/>
        </w:rPr>
        <w:t>(Text av betydelse för EES)</w:t>
      </w:r>
    </w:p>
    <w:p>
      <w:pPr>
        <w:pStyle w:val="Institutionquiagit"/>
        <w:rPr>
          <w:noProof/>
        </w:rPr>
      </w:pPr>
      <w:r>
        <w:rPr>
          <w:noProof/>
        </w:rPr>
        <w:t>EUROPAPARLAMENTET OCH EUROPEISKA UNIONENS RÅD HAR ANTAGIT DETTA DIREKTIV</w:t>
      </w:r>
    </w:p>
    <w:p>
      <w:pPr>
        <w:rPr>
          <w:noProof/>
        </w:rPr>
      </w:pPr>
      <w:r>
        <w:rPr>
          <w:noProof/>
        </w:rPr>
        <w:t>med beaktande av fördraget om Europeiska unionens funktionssätt, särskilt artikel 53.1,</w:t>
      </w:r>
    </w:p>
    <w:p>
      <w:pPr>
        <w:rPr>
          <w:noProof/>
        </w:rPr>
      </w:pPr>
      <w:r>
        <w:rPr>
          <w:noProof/>
        </w:rPr>
        <w:t>med beaktande av Europeiska kommissionens förslag,</w:t>
      </w:r>
    </w:p>
    <w:p>
      <w:pPr>
        <w:rPr>
          <w:noProof/>
        </w:rPr>
      </w:pPr>
      <w:r>
        <w:rPr>
          <w:noProof/>
        </w:rPr>
        <w:t>efter översändande av utkastet till lagstiftningsakt till de nationella parlamenten,</w:t>
      </w:r>
    </w:p>
    <w:p>
      <w:pPr>
        <w:rPr>
          <w:noProof/>
        </w:rPr>
      </w:pPr>
      <w:r>
        <w:rPr>
          <w:noProof/>
        </w:rPr>
        <w:t>med beaktande av Europeiska centralbankens yttrande</w:t>
      </w:r>
      <w:r>
        <w:rPr>
          <w:rStyle w:val="FootnoteReference"/>
          <w:noProof/>
        </w:rPr>
        <w:footnoteReference w:id="24"/>
      </w:r>
      <w:r>
        <w:rPr>
          <w:noProof/>
        </w:rPr>
        <w:t>,</w:t>
      </w:r>
    </w:p>
    <w:p>
      <w:pPr>
        <w:rPr>
          <w:noProof/>
        </w:rPr>
      </w:pPr>
      <w:r>
        <w:rPr>
          <w:noProof/>
        </w:rPr>
        <w:t>med beaktande av Europeiska ekonomiska och sociala kommitténs yttrande</w:t>
      </w:r>
      <w:r>
        <w:rPr>
          <w:rStyle w:val="FootnoteReference"/>
          <w:noProof/>
        </w:rPr>
        <w:footnoteReference w:id="25"/>
      </w:r>
      <w:r>
        <w:rPr>
          <w:noProof/>
        </w:rPr>
        <w:t xml:space="preserve">, </w:t>
      </w:r>
    </w:p>
    <w:p>
      <w:pPr>
        <w:rPr>
          <w:noProof/>
        </w:rPr>
      </w:pPr>
      <w:r>
        <w:rPr>
          <w:noProof/>
        </w:rPr>
        <w:t>i enlighet med det ordinarie lagstiftningsförfarandet, och</w:t>
      </w:r>
    </w:p>
    <w:p>
      <w:pPr>
        <w:rPr>
          <w:noProof/>
        </w:rPr>
      </w:pPr>
      <w:r>
        <w:rPr>
          <w:noProof/>
        </w:rPr>
        <w:t>av följande skäl:</w:t>
      </w:r>
    </w:p>
    <w:p>
      <w:pPr>
        <w:pStyle w:val="Point0number"/>
        <w:numPr>
          <w:ilvl w:val="0"/>
          <w:numId w:val="16"/>
        </w:numPr>
        <w:rPr>
          <w:noProof/>
        </w:rPr>
      </w:pPr>
      <w:r>
        <w:rPr>
          <w:noProof/>
        </w:rPr>
        <w:t>Ett gemensamt mål för Europaparlamentets och rådets direktiv 2009/65/EG</w:t>
      </w:r>
      <w:r>
        <w:rPr>
          <w:rStyle w:val="FootnoteReference"/>
          <w:noProof/>
        </w:rPr>
        <w:footnoteReference w:id="26"/>
      </w:r>
      <w:r>
        <w:rPr>
          <w:noProof/>
        </w:rPr>
        <w:t xml:space="preserve"> och Europaparlamentets och rådets direktiv 2011/61/EU</w:t>
      </w:r>
      <w:r>
        <w:rPr>
          <w:rStyle w:val="FootnoteReference"/>
          <w:noProof/>
        </w:rPr>
        <w:footnoteReference w:id="27"/>
      </w:r>
      <w:r>
        <w:rPr>
          <w:noProof/>
        </w:rPr>
        <w:t xml:space="preserve"> är att säkerställa lika konkurrensvillkor för företag för kollektiva investeringar och att undanröja hinder för den fria rörligheten för andelar och aktier i sådana företag i unionen, och samtidigt säkerställa ett mer enhetligt investerarskydd. Dessa mål har i stort sett uppnåtts men det finns fortfarande vissa hinder för att fondförvaltare ska kunna dra full nytta av den inre marknaden.</w:t>
      </w:r>
    </w:p>
    <w:p>
      <w:pPr>
        <w:pStyle w:val="Point0number"/>
        <w:numPr>
          <w:ilvl w:val="0"/>
          <w:numId w:val="16"/>
        </w:numPr>
        <w:rPr>
          <w:noProof/>
        </w:rPr>
      </w:pPr>
      <w:r>
        <w:rPr>
          <w:noProof/>
        </w:rPr>
        <w:t>Bestämmelserna i detta direktiv kompletteras av en särskild förordning [</w:t>
      </w:r>
      <w:r>
        <w:rPr>
          <w:i/>
          <w:noProof/>
        </w:rPr>
        <w:t>om underlättande av gränsöverskridande distribution av kollektiva investeringsfonder och om ändring av förordningarna (EU) nr 345/2013 och (EU) nr 346/2013</w:t>
      </w:r>
      <w:r>
        <w:rPr>
          <w:noProof/>
        </w:rPr>
        <w:t xml:space="preserve">]. I förordningen fastställs ytterligare regler och förfaranden avseende företag för kollektiva investeringar i överlåtbara värdepapper (fondföretag) och förvaltare av alternativa investeringsfonder (AIF-förvaltare). Tillsammans leder förordningen och detta direktiv till ytterligare samordning av villkoren för fondförvaltare som är </w:t>
      </w:r>
      <w:r>
        <w:rPr>
          <w:noProof/>
        </w:rPr>
        <w:lastRenderedPageBreak/>
        <w:t xml:space="preserve">verksamma på den inre marknaden och till underlättad gränsöverskridande distribution av de fonder som de förvaltar.      </w:t>
      </w:r>
    </w:p>
    <w:p>
      <w:pPr>
        <w:pStyle w:val="Point0number"/>
        <w:numPr>
          <w:ilvl w:val="0"/>
          <w:numId w:val="16"/>
        </w:numPr>
        <w:rPr>
          <w:noProof/>
        </w:rPr>
      </w:pPr>
      <w:r>
        <w:rPr>
          <w:noProof/>
        </w:rPr>
        <w:t xml:space="preserve">Det är nödvändigt att komplettera luckor i regelverket och anpassa förfarandet för anmälan till de behöriga myndigheterna om ändringar som fondföretaget planerar avseende sina förvaltade fonder till de förfaranden som fastställs i direktiv 2011/61/EU. </w:t>
      </w:r>
    </w:p>
    <w:p>
      <w:pPr>
        <w:pStyle w:val="Point0number"/>
        <w:numPr>
          <w:ilvl w:val="0"/>
          <w:numId w:val="16"/>
        </w:numPr>
        <w:rPr>
          <w:noProof/>
        </w:rPr>
      </w:pPr>
      <w:r>
        <w:rPr>
          <w:noProof/>
        </w:rPr>
        <w:t>Förordning [</w:t>
      </w:r>
      <w:r>
        <w:rPr>
          <w:i/>
          <w:noProof/>
        </w:rPr>
        <w:t>om underlättande av gränsöverskridande distribution av kollektiva investeringsfonder och om ändring av förordningarna (EU) nr 345/2013 och (EU) nr 346/2013</w:t>
      </w:r>
      <w:r>
        <w:rPr>
          <w:noProof/>
        </w:rPr>
        <w:t xml:space="preserve">] innehåller nya bestämmelser som föreskriver att Europeiska värdepappers- och marknadsmyndigheten (Esma) ska utarbeta förslag till tekniska tillsynsstandarder och förslag till tekniska genomförandestandarder för att närmare ange vilka uppgifter som krävs, och standardformulär, mallar och förfaranden för överlämnande av uppgifterna, avseende förvaltning av fonder och start eller upphörande av marknadsföring av fonder enligt direktiv 2009/65/EG och direktiv 2011/61/EU. De bestämmelser i dessa två direktiv som innebär att Esma ges diskretionär befogenhet att utarbeta tekniska tillsynsstandarder och förslag till tekniska genomförandestandarder avseende anmälningar är därför inte längre nödvändiga och bör utgå.  </w:t>
      </w:r>
    </w:p>
    <w:p>
      <w:pPr>
        <w:pStyle w:val="Point0number"/>
        <w:numPr>
          <w:ilvl w:val="0"/>
          <w:numId w:val="16"/>
        </w:numPr>
        <w:rPr>
          <w:noProof/>
        </w:rPr>
      </w:pPr>
      <w:r>
        <w:rPr>
          <w:noProof/>
        </w:rPr>
        <w:t>Genom förordning [</w:t>
      </w:r>
      <w:r>
        <w:rPr>
          <w:i/>
          <w:noProof/>
        </w:rPr>
        <w:t>om underlättande av gränsöverskridande distribution av kollektiva investeringsfonder och om ändring av förordningarna (EU) nr 345/2013 och (EU) nr 346/2013</w:t>
      </w:r>
      <w:r>
        <w:rPr>
          <w:noProof/>
        </w:rPr>
        <w:t>] skärps principerna för marknadskommunikation som regleras genom direktiv 2009/65/EG, och dess tillämpning utvidgas till AIF-förvaltare, vilket leder till ett starkt investerarskydd oavsett typ av investerare. Motsvarande bestämmelser i direktiv 2009/65/EG om marknadsföringskommunikation och tillgång till nationella lagar och andra författningar som rör marknadsföring av andelar i fondföretag är därför inte längre nödvändiga och bör utgå.</w:t>
      </w:r>
    </w:p>
    <w:p>
      <w:pPr>
        <w:pStyle w:val="Point0number"/>
        <w:numPr>
          <w:ilvl w:val="0"/>
          <w:numId w:val="16"/>
        </w:numPr>
        <w:rPr>
          <w:noProof/>
        </w:rPr>
      </w:pPr>
      <w:r>
        <w:rPr>
          <w:noProof/>
        </w:rPr>
        <w:t>Bestämmelserna i direktiv 2009/65/EG som är införlivade i vissa nationella rättssystem och som kräver att nödvändiga funktioner tillhandahålls investerare har visat sig vara betungande. Dessa lokala funktioner används dessutom sällan av investerarna på det sätt som avses i direktivet. Numera föredrar investerare direkt kontakt med fondförvaltaren, antingen elektroniskt eller per telefon, medan betalningar och inlösen genomförs via andra kanaler. Även om dessa funktioner används för administrativa ändamål, till exempel återvinning av föreskrivna avgifter över landsgränserna, bör sådana ärenden skötas på annat sätt, inbegripet genom samarbete mellan behöriga myndigheter. Det bör därför fastställas bestämmelser som moderniserar och närmare anger de krav som gäller för att tillhandahålla funktioner till icke-professionella investerare, och medlemsstaterna bör inte kräva fysisk närvaro. Bestämmelserna bör samtidigt garantera att investerarna har tillgång till den information som de har rätt till.</w:t>
      </w:r>
    </w:p>
    <w:p>
      <w:pPr>
        <w:pStyle w:val="Point0number"/>
        <w:numPr>
          <w:ilvl w:val="0"/>
          <w:numId w:val="16"/>
        </w:numPr>
        <w:rPr>
          <w:noProof/>
        </w:rPr>
      </w:pPr>
      <w:r>
        <w:rPr>
          <w:noProof/>
        </w:rPr>
        <w:t>För att säkerställa att icke-professionella investerare ges likvärdig behandling är det nödvändigt att kraven på funktioner även tillämpas på AIF-förvaltare om medlemsstaterna tillåter dem att marknadsföra andelar eller aktier i AIF-fonder till icke-professionella investerare inom sina territorier.</w:t>
      </w:r>
    </w:p>
    <w:p>
      <w:pPr>
        <w:pStyle w:val="Point0number"/>
        <w:numPr>
          <w:ilvl w:val="0"/>
          <w:numId w:val="16"/>
        </w:numPr>
        <w:rPr>
          <w:noProof/>
        </w:rPr>
      </w:pPr>
      <w:r>
        <w:rPr>
          <w:noProof/>
        </w:rPr>
        <w:t xml:space="preserve">Eftersom det saknas tydliga och enhetliga villkor för upphörande av marknadsföring av andelar eller aktier i ett fondföretag eller en AIF-fond i en värdmedlemsstat uppstår ekonomisk och rättslig osäkerhet för fondförvaltare. Detta förslag fastställer därför tydliga villkor, inklusive tröskelvärden, som gäller för avregistrering. Tröskelvärdena ger en indikation på när fondförvaltaren kan anse att verksamheten </w:t>
      </w:r>
      <w:r>
        <w:rPr>
          <w:noProof/>
        </w:rPr>
        <w:lastRenderedPageBreak/>
        <w:t xml:space="preserve">har blivit obetydlig i en viss värdmedlemsstat. Villkoren har satts upp på ett sådant sätt att en balans uppnås mellan å ena sidan fondförvaltarnas intresse av att kunna avregistrera marknadsförda fonder när de fastställda villkoren är uppfyllda och, å andra sidan, investerarnas intressen i fonden i den berörda värdmedlemsstaten. </w:t>
      </w:r>
    </w:p>
    <w:p>
      <w:pPr>
        <w:pStyle w:val="Point0number"/>
        <w:numPr>
          <w:ilvl w:val="0"/>
          <w:numId w:val="16"/>
        </w:numPr>
        <w:rPr>
          <w:noProof/>
        </w:rPr>
      </w:pPr>
      <w:r>
        <w:rPr>
          <w:noProof/>
        </w:rPr>
        <w:t xml:space="preserve">Möjligheten att upphöra med marknadsföring av fondföretag eller EU-baserade AIF-fonder i en viss medlemsstat bör inte innebära en kostnad för investerarna eller försämra deras garantier enligt direktiv 2009/65/EG eller direktiv 2011/61/EU, särskilt vad gäller deras rätt till korrekt information om fondernas fortsatta verksamhet.  </w:t>
      </w:r>
    </w:p>
    <w:p>
      <w:pPr>
        <w:pStyle w:val="Point0number"/>
        <w:numPr>
          <w:ilvl w:val="0"/>
          <w:numId w:val="16"/>
        </w:numPr>
        <w:rPr>
          <w:noProof/>
        </w:rPr>
      </w:pPr>
      <w:r>
        <w:rPr>
          <w:noProof/>
        </w:rPr>
        <w:t>AIF-förvaltare som vill testa investerarnas intresse för en viss investeringsidé eller investeringsstrategi möts i vissa fall av olika behandling av sonderande marknadsföringsverksamhet i olika nationella rättsordningar. Mellan vissa medlemsstater som tillåter sonderande marknadsföring varierar definitionerna och villkoren avsevärt. I andra medlemsstater finns det ingen definition på vad som utgör sonderande marknadsföring alls. För att åtgärda dessa skillnader bör en harmoniserad definition av sonderande marknadsföring fastställas, och även villkoren enligt vilka en EU-baserad AIF-förvaltare får bedriva sådan verksamhet.</w:t>
      </w:r>
    </w:p>
    <w:p>
      <w:pPr>
        <w:pStyle w:val="Point0number"/>
        <w:numPr>
          <w:ilvl w:val="0"/>
          <w:numId w:val="16"/>
        </w:numPr>
        <w:rPr>
          <w:noProof/>
        </w:rPr>
      </w:pPr>
      <w:r>
        <w:rPr>
          <w:noProof/>
        </w:rPr>
        <w:t>För att betraktas som sonderande marknadsföring enligt detta direktiv bör marknadsföringen avse en investeringsidé eller en investeringsstrategi där det inte redan finns någon etablerad AIF-fond. Det är därmed inte möjligt för investerare att teckna andelar eller aktier i en AIF-fond under den sonderande marknadsföringen eftersom fonden ännu inte finns, och det bör vara förbjudet att i detta skede dela ut erbjudandehandlingar till potentiella investerare, även i form av utkast. När AIF-förvaltaren efter sonderande marknadsföringsverksamhet erbjuder teckning av andelar eller aktier i en AIF-fond som liknar den investeringsidé som presenterades i den sonderande marknadsföringen, bör emellertid tillämpligt anmälningsförfarande följas och AIF-förvaltaren bör inte kunna åberopa kundinitierade kontakter (reverse solicitation).</w:t>
      </w:r>
    </w:p>
    <w:p>
      <w:pPr>
        <w:pStyle w:val="Point0number"/>
        <w:numPr>
          <w:ilvl w:val="0"/>
          <w:numId w:val="16"/>
        </w:numPr>
        <w:rPr>
          <w:noProof/>
        </w:rPr>
      </w:pPr>
      <w:r>
        <w:rPr>
          <w:noProof/>
        </w:rPr>
        <w:t>För att skapa rättslig säkerhet är det nödvändigt att samordna första tillämpningsdag för lagar och andra författningar som genomför detta direktiv med förordning [</w:t>
      </w:r>
      <w:r>
        <w:rPr>
          <w:i/>
          <w:noProof/>
        </w:rPr>
        <w:t>om underlättande av gränsöverskridande distribution av kollektiva investeringsfonder och om ändring av förordningarna (EU) nr 345/2013 och (EU) nr 346/2013</w:t>
      </w:r>
      <w:r>
        <w:rPr>
          <w:noProof/>
        </w:rPr>
        <w:t>] vad beträffar relevanta bestämmelser om marknadskommunikation och sonderande marknadsföring. Det är också nödvändigt att samordna de befogenheter som ges till kommissionen med avseende på att anta förslag till tekniska tillsynsstandarder och tekniska genomförandestandarder, som utarbetats av Esma, enligt förordning [</w:t>
      </w:r>
      <w:r>
        <w:rPr>
          <w:i/>
          <w:noProof/>
        </w:rPr>
        <w:t>om underlättande av gränsöverskridande distribution av kollektiva investeringsfonder och om ändring av förordningarna (EU) nr 345/2013 och (EU) nr 346/2013</w:t>
      </w:r>
      <w:r>
        <w:rPr>
          <w:noProof/>
        </w:rPr>
        <w:t>] vad gäller underrättelser, skriftliga anmälningar och skriftliga underrättelser om gränsöverskridande verksamhet, vilka genom detta direktiv utgår ur direktiv 2009/65/EG respektive direktiv 2011/61/EU.</w:t>
      </w:r>
    </w:p>
    <w:p>
      <w:pPr>
        <w:pStyle w:val="Point0number"/>
        <w:numPr>
          <w:ilvl w:val="0"/>
          <w:numId w:val="16"/>
        </w:numPr>
        <w:rPr>
          <w:noProof/>
        </w:rPr>
      </w:pPr>
      <w:r>
        <w:rPr>
          <w:noProof/>
        </w:rPr>
        <w:t>I enlighet med den gemensamma politiska förklaringen från medlemsstaterna och kommissionen om förklarande dokument</w:t>
      </w:r>
      <w:r>
        <w:rPr>
          <w:rStyle w:val="FootnoteReference"/>
          <w:noProof/>
        </w:rPr>
        <w:footnoteReference w:id="28"/>
      </w:r>
      <w:r>
        <w:rPr>
          <w:noProof/>
        </w:rPr>
        <w:t xml:space="preserve"> av den 28 september 2011, har medlemsstaterna åtagit sig att, när det är berättigat, låta anmälan av införlivandeåtgärder åtföljas av ett eller flera dokument som förklarar förhållandet mellan de olika delarna i direktivet och motsvarande delar i de nationella </w:t>
      </w:r>
      <w:r>
        <w:rPr>
          <w:noProof/>
        </w:rPr>
        <w:lastRenderedPageBreak/>
        <w:t>instrumenten för införlivande. Lagstiftaren anser att det är motiverat att sådana dokument översänds avseende detta direktiv.</w:t>
      </w:r>
    </w:p>
    <w:p>
      <w:pPr>
        <w:pStyle w:val="Formuledadoption"/>
        <w:rPr>
          <w:noProof/>
        </w:rPr>
      </w:pPr>
      <w:r>
        <w:rPr>
          <w:noProof/>
        </w:rPr>
        <w:t>HÄRIGENOM FÖRESKRIVS FÖLJANDE.</w:t>
      </w:r>
    </w:p>
    <w:p>
      <w:pPr>
        <w:pStyle w:val="Titrearticle"/>
        <w:rPr>
          <w:noProof/>
        </w:rPr>
      </w:pPr>
      <w:r>
        <w:rPr>
          <w:noProof/>
        </w:rPr>
        <w:t>Artikel 1</w:t>
      </w:r>
    </w:p>
    <w:p>
      <w:pPr>
        <w:jc w:val="center"/>
        <w:rPr>
          <w:b/>
          <w:noProof/>
        </w:rPr>
      </w:pPr>
      <w:r>
        <w:rPr>
          <w:b/>
          <w:noProof/>
        </w:rPr>
        <w:t>Ändring av direktiv 2009/65/EG</w:t>
      </w:r>
    </w:p>
    <w:p>
      <w:pPr>
        <w:rPr>
          <w:noProof/>
        </w:rPr>
      </w:pPr>
      <w:r>
        <w:rPr>
          <w:noProof/>
        </w:rPr>
        <w:t>Direktiv 2009/65/EG ska ändras på följande sätt:</w:t>
      </w:r>
    </w:p>
    <w:p>
      <w:pPr>
        <w:pStyle w:val="Point0number"/>
        <w:numPr>
          <w:ilvl w:val="0"/>
          <w:numId w:val="14"/>
        </w:numPr>
        <w:rPr>
          <w:noProof/>
        </w:rPr>
      </w:pPr>
      <w:r>
        <w:rPr>
          <w:noProof/>
        </w:rPr>
        <w:t>Artikel 17 ska ändras på följande sätt:</w:t>
      </w:r>
    </w:p>
    <w:p>
      <w:pPr>
        <w:pStyle w:val="Point1letter"/>
        <w:numPr>
          <w:ilvl w:val="3"/>
          <w:numId w:val="12"/>
        </w:numPr>
        <w:rPr>
          <w:noProof/>
        </w:rPr>
      </w:pPr>
      <w:r>
        <w:rPr>
          <w:noProof/>
        </w:rPr>
        <w:t>Följande punkt ska införas som punkt 8a:</w:t>
      </w:r>
    </w:p>
    <w:p>
      <w:pPr>
        <w:pStyle w:val="Text1"/>
        <w:rPr>
          <w:noProof/>
        </w:rPr>
      </w:pPr>
      <w:r>
        <w:rPr>
          <w:noProof/>
        </w:rPr>
        <w:t>”Om en sådan ändring som avses i punkt 8 skulle leda till att fondföretaget inte längre efterlever bestämmelserna i detta direktiv ska de relevanta behöriga myndigheter som avses i punkt 8 inom tio arbetsdagar underrätta förvaltningsbolaget om att ändringen inte får genomföras.</w:t>
      </w:r>
    </w:p>
    <w:p>
      <w:pPr>
        <w:pStyle w:val="Text1"/>
        <w:rPr>
          <w:noProof/>
        </w:rPr>
      </w:pPr>
      <w:r>
        <w:rPr>
          <w:noProof/>
        </w:rPr>
        <w:t>Om en sådan ändring som avses i punkt 8 genomförs efter det att en underrättelse har gjorts i enlighet med första stycket, och om ändringen leder till att fondföretaget inte längre efterlever bestämmelserna i detta direktiv, ska de behöriga myndigheterna i fondföretagets hemmedlemsstat vidta alla vederbörliga åtgärder i enlighet med artikel 98.</w:t>
      </w:r>
    </w:p>
    <w:p>
      <w:pPr>
        <w:pStyle w:val="Text1"/>
        <w:rPr>
          <w:noProof/>
        </w:rPr>
      </w:pPr>
      <w:r>
        <w:rPr>
          <w:noProof/>
        </w:rPr>
        <w:t>Om en sådan ändring som avses i punkt 8 inte påverkar förvaltningsbolagets efterlevnad av detta direktiv ska de behöriga myndigheterna i förvaltningsbolagets hemmedlemsstat inom tio arbetsdagar underrätta de behöriga myndigheterna i förvaltningsbolagets värdmedlemsstat om dessa ändringar.”</w:t>
      </w:r>
    </w:p>
    <w:p>
      <w:pPr>
        <w:pStyle w:val="Point1letter"/>
        <w:rPr>
          <w:noProof/>
        </w:rPr>
      </w:pPr>
      <w:r>
        <w:rPr>
          <w:noProof/>
        </w:rPr>
        <w:t>Punkt 10 ska utgå.</w:t>
      </w:r>
    </w:p>
    <w:p>
      <w:pPr>
        <w:pStyle w:val="Point0number"/>
        <w:rPr>
          <w:noProof/>
        </w:rPr>
      </w:pPr>
      <w:r>
        <w:rPr>
          <w:noProof/>
        </w:rPr>
        <w:t>I artikel 18 ska punkt 5 utgå.</w:t>
      </w:r>
    </w:p>
    <w:p>
      <w:pPr>
        <w:pStyle w:val="Point0number"/>
        <w:numPr>
          <w:ilvl w:val="0"/>
          <w:numId w:val="14"/>
        </w:numPr>
        <w:rPr>
          <w:noProof/>
        </w:rPr>
      </w:pPr>
      <w:r>
        <w:rPr>
          <w:noProof/>
        </w:rPr>
        <w:t>Artikel 77 ska utgå.</w:t>
      </w:r>
    </w:p>
    <w:p>
      <w:pPr>
        <w:pStyle w:val="Point0number"/>
        <w:rPr>
          <w:noProof/>
        </w:rPr>
      </w:pPr>
      <w:r>
        <w:rPr>
          <w:noProof/>
        </w:rPr>
        <w:t>I artikel 91 ska punkt 3 utgå.</w:t>
      </w:r>
    </w:p>
    <w:p>
      <w:pPr>
        <w:pStyle w:val="Point0number"/>
        <w:rPr>
          <w:noProof/>
        </w:rPr>
      </w:pPr>
      <w:r>
        <w:rPr>
          <w:noProof/>
        </w:rPr>
        <w:t>Artikel 92 ska ersättas med följande:</w:t>
      </w:r>
    </w:p>
    <w:p>
      <w:pPr>
        <w:pStyle w:val="Text1"/>
        <w:jc w:val="center"/>
        <w:rPr>
          <w:noProof/>
        </w:rPr>
      </w:pPr>
      <w:r>
        <w:rPr>
          <w:i/>
          <w:noProof/>
        </w:rPr>
        <w:t>”Artikel 92</w:t>
      </w:r>
    </w:p>
    <w:p>
      <w:pPr>
        <w:pStyle w:val="Text1"/>
        <w:rPr>
          <w:noProof/>
        </w:rPr>
      </w:pPr>
      <w:r>
        <w:rPr>
          <w:noProof/>
        </w:rPr>
        <w:t>1. Medlemsstaterna ska se till att fondföretagets förvaltningsbolag, i varje medlemsstat där det har för avsikt att marknadsföra andelar i ett fondföretag, inrättar funktioner för att utföra följande uppgifter:</w:t>
      </w:r>
    </w:p>
    <w:p>
      <w:pPr>
        <w:pStyle w:val="Point1letter"/>
        <w:numPr>
          <w:ilvl w:val="3"/>
          <w:numId w:val="6"/>
        </w:numPr>
        <w:rPr>
          <w:noProof/>
        </w:rPr>
      </w:pPr>
      <w:r>
        <w:rPr>
          <w:noProof/>
        </w:rPr>
        <w:t>Behandla investerares tecknings-, betalnings-, återköps- eller inlösenorder avseende fondföretagets andelar, i enlighet med villkoren i fondföretagets marknadsföringsmaterial.</w:t>
      </w:r>
    </w:p>
    <w:p>
      <w:pPr>
        <w:pStyle w:val="Point1letter"/>
        <w:numPr>
          <w:ilvl w:val="3"/>
          <w:numId w:val="6"/>
        </w:numPr>
        <w:rPr>
          <w:noProof/>
        </w:rPr>
      </w:pPr>
      <w:r>
        <w:rPr>
          <w:noProof/>
        </w:rPr>
        <w:t>Tillhandahålla investerare information om hur order som avses i led a kan göras och hur återköp och inlösen betalas.</w:t>
      </w:r>
    </w:p>
    <w:p>
      <w:pPr>
        <w:pStyle w:val="Point1letter"/>
        <w:numPr>
          <w:ilvl w:val="3"/>
          <w:numId w:val="6"/>
        </w:numPr>
        <w:rPr>
          <w:noProof/>
        </w:rPr>
      </w:pPr>
      <w:r>
        <w:rPr>
          <w:noProof/>
        </w:rPr>
        <w:t>Underlätta hanteringen av information om hur investerarna kan utöva de rättigheter som följer av deras investering i fondföretaget i den medlemsstat där fonden marknadsförs.</w:t>
      </w:r>
    </w:p>
    <w:p>
      <w:pPr>
        <w:pStyle w:val="Point1letter"/>
        <w:numPr>
          <w:ilvl w:val="3"/>
          <w:numId w:val="6"/>
        </w:numPr>
        <w:rPr>
          <w:noProof/>
        </w:rPr>
      </w:pPr>
      <w:r>
        <w:rPr>
          <w:noProof/>
        </w:rPr>
        <w:t>För inspektion och för erhållande av kopior, tillhandahålla investerare</w:t>
      </w:r>
    </w:p>
    <w:p>
      <w:pPr>
        <w:pStyle w:val="Text1"/>
        <w:ind w:firstLine="567"/>
        <w:rPr>
          <w:noProof/>
        </w:rPr>
      </w:pPr>
      <w:r>
        <w:rPr>
          <w:noProof/>
        </w:rPr>
        <w:t>i)</w:t>
      </w:r>
      <w:r>
        <w:rPr>
          <w:noProof/>
        </w:rPr>
        <w:tab/>
        <w:t>fondföretagets fondbestämmelser eller bolagsordning,</w:t>
      </w:r>
    </w:p>
    <w:p>
      <w:pPr>
        <w:pStyle w:val="Text1"/>
        <w:ind w:firstLine="567"/>
        <w:rPr>
          <w:noProof/>
        </w:rPr>
      </w:pPr>
      <w:r>
        <w:rPr>
          <w:noProof/>
        </w:rPr>
        <w:lastRenderedPageBreak/>
        <w:t>ii)</w:t>
      </w:r>
      <w:r>
        <w:rPr>
          <w:noProof/>
        </w:rPr>
        <w:tab/>
        <w:t>fondföretagets senaste årsrapport.</w:t>
      </w:r>
    </w:p>
    <w:p>
      <w:pPr>
        <w:pStyle w:val="Point1letter"/>
        <w:numPr>
          <w:ilvl w:val="3"/>
          <w:numId w:val="6"/>
        </w:numPr>
        <w:rPr>
          <w:noProof/>
        </w:rPr>
      </w:pPr>
      <w:r>
        <w:rPr>
          <w:noProof/>
        </w:rPr>
        <w:t>Tillhandahålla investerare relevant information om de uppgifter som funktionerna utför via ett varaktigt medium enligt definitionen i artikel 2.1 m i direktiv 2009/65/EG.</w:t>
      </w:r>
    </w:p>
    <w:p>
      <w:pPr>
        <w:pStyle w:val="Text1"/>
        <w:rPr>
          <w:noProof/>
        </w:rPr>
      </w:pPr>
      <w:r>
        <w:rPr>
          <w:noProof/>
        </w:rPr>
        <w:t>2. Medlemsstaterna ska inte kräva att fondföretagets förvaltningsbolag måste finnas på plats fysiskt för tillämpningen av punkt 1.</w:t>
      </w:r>
    </w:p>
    <w:p>
      <w:pPr>
        <w:pStyle w:val="Text1"/>
        <w:rPr>
          <w:noProof/>
        </w:rPr>
      </w:pPr>
      <w:r>
        <w:rPr>
          <w:noProof/>
        </w:rPr>
        <w:t>3. Fondföretagets förvaltningsbolag ska säkerställa att de funktioner som avses i punkt 1 är av följande typ och har följande egenskaper:</w:t>
      </w:r>
    </w:p>
    <w:p>
      <w:pPr>
        <w:pStyle w:val="Point1letter"/>
        <w:numPr>
          <w:ilvl w:val="3"/>
          <w:numId w:val="20"/>
        </w:numPr>
        <w:rPr>
          <w:noProof/>
        </w:rPr>
      </w:pPr>
      <w:r>
        <w:rPr>
          <w:noProof/>
        </w:rPr>
        <w:t>Uppgifterna utförs på det officiella språket eller de officiella språken i den medlemsstat där fondföretaget marknadsförs.</w:t>
      </w:r>
    </w:p>
    <w:p>
      <w:pPr>
        <w:pStyle w:val="Point1letter"/>
        <w:numPr>
          <w:ilvl w:val="3"/>
          <w:numId w:val="20"/>
        </w:numPr>
        <w:rPr>
          <w:noProof/>
        </w:rPr>
      </w:pPr>
      <w:r>
        <w:rPr>
          <w:noProof/>
        </w:rPr>
        <w:t>Uppgifterna utförs av fondföretagets förvaltningsbolag själv, eller en utomstående enhet som omfattas av regler för de uppgifter som ska utföras, eller båda.</w:t>
      </w:r>
    </w:p>
    <w:p>
      <w:pPr>
        <w:pStyle w:val="Text1"/>
        <w:rPr>
          <w:noProof/>
        </w:rPr>
      </w:pPr>
      <w:r>
        <w:rPr>
          <w:noProof/>
        </w:rPr>
        <w:t>För tillämpningen av led b, om funktionerna utförs av en utomstående enhet, ska utnämnandet av den utomstående enheten dokumenteras genom ett skriftligt avtal som anger vilka av uppgifterna i punkt 1 som inte utförs av förvaltningsbolaget, och att det utomstående företaget erhåller alla relevanta uppgifter och handlingar från förvaltningsbolaget.”</w:t>
      </w:r>
    </w:p>
    <w:p>
      <w:pPr>
        <w:pStyle w:val="Point0number"/>
        <w:numPr>
          <w:ilvl w:val="0"/>
          <w:numId w:val="14"/>
        </w:numPr>
        <w:rPr>
          <w:noProof/>
        </w:rPr>
      </w:pPr>
      <w:r>
        <w:rPr>
          <w:noProof/>
        </w:rPr>
        <w:t>I artikel 93 ska punkt 8 ersättas med följande:</w:t>
      </w:r>
    </w:p>
    <w:p>
      <w:pPr>
        <w:pStyle w:val="Text1"/>
        <w:rPr>
          <w:noProof/>
        </w:rPr>
      </w:pPr>
      <w:r>
        <w:rPr>
          <w:noProof/>
        </w:rPr>
        <w:t>”8. Om en ändring görs av informationen i den skriftliga anmälan som överlämnats i enlighet med punkt 1 eller om en ändring görs avseende de aktiekategorier som ska marknadsföras, ska fondföretaget skriftligen anmäla detta till de behöriga myndigheterna i hemmedlemsstaten minst en månad innan ändringen verkställs.</w:t>
      </w:r>
    </w:p>
    <w:p>
      <w:pPr>
        <w:pStyle w:val="Text1"/>
        <w:rPr>
          <w:noProof/>
        </w:rPr>
      </w:pPr>
      <w:r>
        <w:rPr>
          <w:noProof/>
        </w:rPr>
        <w:t>Om en sådan ändring som avses i första stycket skulle leda till att fondföretaget inte längre efterlever bestämmelserna i detta direktiv ska de relevanta behöriga myndigheterna inom tio arbetsdagar underrätta fondföretaget om att ändringen inte får genomföras.</w:t>
      </w:r>
    </w:p>
    <w:p>
      <w:pPr>
        <w:pStyle w:val="Text1"/>
        <w:rPr>
          <w:noProof/>
        </w:rPr>
      </w:pPr>
      <w:r>
        <w:rPr>
          <w:noProof/>
        </w:rPr>
        <w:t>Om en sådan ändring som avses i första stycket genomförs efter det att en underrättelse har gjorts i enlighet med andra stycket, och om ändringen leder till att fondföretaget inte längre efterlever bestämmelserna i detta direktiv, ska de behöriga myndigheterna i fondföretagets hemmedlemsstat vidta alla vederbörliga åtgärder i enlighet med artikel 98, däribland uttryckligt förbud mot marknadsföring av fondföretaget om nödvändigt.</w:t>
      </w:r>
    </w:p>
    <w:p>
      <w:pPr>
        <w:pStyle w:val="Text1"/>
        <w:rPr>
          <w:noProof/>
        </w:rPr>
      </w:pPr>
      <w:r>
        <w:rPr>
          <w:noProof/>
        </w:rPr>
        <w:t>Om de ändringar som avses i första stycket inte påverkar fondföretagets efterlevnad av detta direktiv ska de behöriga myndigheterna i fondföretagets hemmedlemsstat utan onödigt dröjsmål underrätta de behöriga myndigheterna i fondföretagets värdmedlemsstat om dessa ändringar.”</w:t>
      </w:r>
    </w:p>
    <w:p>
      <w:pPr>
        <w:pStyle w:val="Point0number"/>
        <w:numPr>
          <w:ilvl w:val="0"/>
          <w:numId w:val="14"/>
        </w:numPr>
        <w:rPr>
          <w:noProof/>
        </w:rPr>
      </w:pPr>
      <w:r>
        <w:rPr>
          <w:noProof/>
        </w:rPr>
        <w:t>Följande artikel ska införas som artikel 93a:</w:t>
      </w:r>
    </w:p>
    <w:p>
      <w:pPr>
        <w:pStyle w:val="Text1"/>
        <w:jc w:val="center"/>
        <w:rPr>
          <w:noProof/>
        </w:rPr>
      </w:pPr>
      <w:r>
        <w:rPr>
          <w:noProof/>
        </w:rPr>
        <w:t>”</w:t>
      </w:r>
      <w:r>
        <w:rPr>
          <w:i/>
          <w:noProof/>
        </w:rPr>
        <w:t>Artikel 93a</w:t>
      </w:r>
    </w:p>
    <w:p>
      <w:pPr>
        <w:pStyle w:val="Text1"/>
        <w:rPr>
          <w:noProof/>
        </w:rPr>
      </w:pPr>
      <w:r>
        <w:rPr>
          <w:noProof/>
        </w:rPr>
        <w:t>1. De behöriga myndigheterna i fondföretagets hemmedlemsstat ska säkerställa att fondföretaget får upphöra med att marknadsföra sina andelar i en medlemsstat där det har anmält sin verksamhet i enlighet med artikel 93, om samtliga följande villkor är uppfyllda:</w:t>
      </w:r>
    </w:p>
    <w:p>
      <w:pPr>
        <w:pStyle w:val="Point1letter"/>
        <w:rPr>
          <w:noProof/>
        </w:rPr>
      </w:pPr>
      <w:r>
        <w:rPr>
          <w:noProof/>
        </w:rPr>
        <w:lastRenderedPageBreak/>
        <w:t>Ingen investerare med hemvist eller säte i en medlemsstat där fondföretaget har anmält sin verksamhet i enlighet med artikel 93 innehar andelar i det fondföretaget, eller så innehar högst tio investerare med hemvist eller säte i den medlemsstaten andelar i fondföretaget som motsvarar mindre än 1 % av de tillgångar som förvaltas av fondföretaget.</w:t>
      </w:r>
    </w:p>
    <w:p>
      <w:pPr>
        <w:pStyle w:val="Point1letter"/>
        <w:rPr>
          <w:noProof/>
        </w:rPr>
      </w:pPr>
      <w:r>
        <w:rPr>
          <w:noProof/>
        </w:rPr>
        <w:tab/>
        <w:t>Ett allmänt erbjudande ska lämnas om att utan avgifter eller avdrag köpa tillbaka alla de andelar i fondföretaget som innehas av investerare i en medlemsstat där fondföretaget har anmält sin verksamhet i enlighet med artikel 93, vilket ska offentliggörs under minst 30 arbetsdagar och riktas individuellt till alla investerare i värdmedlemsstaten vilkas identitet är känd.</w:t>
      </w:r>
    </w:p>
    <w:p>
      <w:pPr>
        <w:pStyle w:val="Point1letter"/>
        <w:numPr>
          <w:ilvl w:val="3"/>
          <w:numId w:val="6"/>
        </w:numPr>
        <w:rPr>
          <w:noProof/>
        </w:rPr>
      </w:pPr>
      <w:r>
        <w:rPr>
          <w:noProof/>
        </w:rPr>
        <w:t>Avsikten att upphöra med marknadsföringsverksamheten i den medlemsstat där fondföretaget har anmält sin verksamhet i enlighet med artikel 93 ska offentliggöras på ett sätt som är allmänt tillgängligt och som är brukligt för marknadsföring av fondföretag och passande för en typisk fondföretagsinvesterare.</w:t>
      </w:r>
    </w:p>
    <w:p>
      <w:pPr>
        <w:pStyle w:val="Text1"/>
        <w:rPr>
          <w:noProof/>
        </w:rPr>
      </w:pPr>
      <w:r>
        <w:rPr>
          <w:noProof/>
        </w:rPr>
        <w:t>Den information som avses i leden b och c ska lämnas på de officiella språken i den medlemsstat där fondföretaget har marknadsförts.</w:t>
      </w:r>
    </w:p>
    <w:p>
      <w:pPr>
        <w:pStyle w:val="Text1"/>
        <w:rPr>
          <w:noProof/>
        </w:rPr>
      </w:pPr>
      <w:r>
        <w:rPr>
          <w:noProof/>
        </w:rPr>
        <w:t>2. Fondföretaget ska lämna in en skriftlig anmälan till den behöriga myndigheten i dess hemmedlemsstat, och den ska innehålla de uppgifter som anges i punkt 1.</w:t>
      </w:r>
    </w:p>
    <w:p>
      <w:pPr>
        <w:pStyle w:val="Text1"/>
        <w:rPr>
          <w:noProof/>
        </w:rPr>
      </w:pPr>
      <w:r>
        <w:rPr>
          <w:noProof/>
        </w:rPr>
        <w:t>3. De behöriga myndigheterna i fondföretagets hemmedlemsstat ska senast 20 arbetsdagar efter mottagandet av den anmälan som avses i punkt 2 vidarebefordra den till de behöriga myndigheterna i den medlemsstat där marknadsföring av fondföretaget planeras upphöra, och till Esma.</w:t>
      </w:r>
    </w:p>
    <w:p>
      <w:pPr>
        <w:pStyle w:val="Text1"/>
        <w:rPr>
          <w:noProof/>
        </w:rPr>
      </w:pPr>
      <w:r>
        <w:rPr>
          <w:noProof/>
        </w:rPr>
        <w:t>Efter det att anmälan har vidarebefordrats enligt första stycket ska de behöriga myndigheterna i fondföretagets hemmedlemsstat omedelbart underrätta fondföretaget om att så har skett. Från och med den dagen ska fondföretaget upphöra med all marknadsföring av sina andelar i den medlemsstat som anges i den skriftliga anmälan som avses i punkt 2.</w:t>
      </w:r>
    </w:p>
    <w:p>
      <w:pPr>
        <w:pStyle w:val="Text1"/>
        <w:rPr>
          <w:noProof/>
        </w:rPr>
      </w:pPr>
      <w:r>
        <w:rPr>
          <w:noProof/>
        </w:rPr>
        <w:t>4. Fondföretaget ska fortsätta att förse de investerare som fortfarande har andelar i fondföretaget med de uppgifter som krävs enligt artikel 68–82 och enligt artikel 94.</w:t>
      </w:r>
    </w:p>
    <w:p>
      <w:pPr>
        <w:pStyle w:val="Text1"/>
        <w:rPr>
          <w:noProof/>
        </w:rPr>
      </w:pPr>
      <w:r>
        <w:rPr>
          <w:noProof/>
        </w:rPr>
        <w:t xml:space="preserve">5. Medlemsstaterna ska göra det möjligt att använda alla typer av elektronisk kommunikation eller annan teknik för distanskommunikation för tillämpningen av punkt 4, förutsatt att investerarna får tillgång till informationen och kommunikationstekniken på de officiella språken i den medlemsstat där de är etablerade.”  </w:t>
      </w:r>
    </w:p>
    <w:p>
      <w:pPr>
        <w:pStyle w:val="Point0number"/>
        <w:numPr>
          <w:ilvl w:val="0"/>
          <w:numId w:val="14"/>
        </w:numPr>
        <w:rPr>
          <w:noProof/>
        </w:rPr>
      </w:pPr>
      <w:r>
        <w:rPr>
          <w:noProof/>
        </w:rPr>
        <w:t>I artikel 95 ska punkt 2 a utgå.</w:t>
      </w:r>
    </w:p>
    <w:p>
      <w:pPr>
        <w:pStyle w:val="Titrearticle"/>
        <w:rPr>
          <w:noProof/>
        </w:rPr>
      </w:pPr>
      <w:r>
        <w:rPr>
          <w:noProof/>
        </w:rPr>
        <w:t>Artikel 2</w:t>
      </w:r>
    </w:p>
    <w:p>
      <w:pPr>
        <w:jc w:val="center"/>
        <w:rPr>
          <w:b/>
          <w:noProof/>
        </w:rPr>
      </w:pPr>
      <w:r>
        <w:rPr>
          <w:b/>
          <w:noProof/>
        </w:rPr>
        <w:t>Ändring av direktiv 2011/61/EU</w:t>
      </w:r>
    </w:p>
    <w:p>
      <w:pPr>
        <w:rPr>
          <w:noProof/>
        </w:rPr>
      </w:pPr>
      <w:r>
        <w:rPr>
          <w:noProof/>
        </w:rPr>
        <w:t>Direktiv 2011/61/EU ska ändras på följande sätt:</w:t>
      </w:r>
    </w:p>
    <w:p>
      <w:pPr>
        <w:pStyle w:val="Point0number"/>
        <w:numPr>
          <w:ilvl w:val="0"/>
          <w:numId w:val="15"/>
        </w:numPr>
        <w:rPr>
          <w:noProof/>
        </w:rPr>
      </w:pPr>
      <w:r>
        <w:rPr>
          <w:noProof/>
        </w:rPr>
        <w:t>I artikel 4.1, mellan leden ae och af, ska följande led införas som led aea:</w:t>
      </w:r>
    </w:p>
    <w:p>
      <w:pPr>
        <w:rPr>
          <w:noProof/>
        </w:rPr>
      </w:pPr>
      <w:r>
        <w:rPr>
          <w:noProof/>
        </w:rPr>
        <w:t xml:space="preserve">”aea) </w:t>
      </w:r>
      <w:r>
        <w:rPr>
          <w:i/>
          <w:noProof/>
        </w:rPr>
        <w:t>sonderande marknadsföring</w:t>
      </w:r>
      <w:r>
        <w:rPr>
          <w:noProof/>
        </w:rPr>
        <w:t xml:space="preserve">: direkt eller indirekt tillhandahållande av information om investeringsstrategier eller investeringsidéer från en AIF-förvaltare, eller på förvaltarens vägnar, till professionella investerare med hemvist eller säte inom unionen, i syfte att testa deras intresse för en ännu ej etablerad AIF-fond.” </w:t>
      </w:r>
    </w:p>
    <w:p>
      <w:pPr>
        <w:pStyle w:val="Point0number"/>
        <w:numPr>
          <w:ilvl w:val="0"/>
          <w:numId w:val="15"/>
        </w:numPr>
        <w:rPr>
          <w:noProof/>
        </w:rPr>
      </w:pPr>
      <w:r>
        <w:rPr>
          <w:noProof/>
        </w:rPr>
        <w:lastRenderedPageBreak/>
        <w:t>I början av kapitel VI ska följande artikel 30a införas:</w:t>
      </w:r>
    </w:p>
    <w:p>
      <w:pPr>
        <w:pStyle w:val="Text1"/>
        <w:jc w:val="center"/>
        <w:rPr>
          <w:noProof/>
        </w:rPr>
      </w:pPr>
      <w:r>
        <w:t>”</w:t>
      </w:r>
      <w:r>
        <w:rPr>
          <w:i/>
          <w:noProof/>
        </w:rPr>
        <w:t>Artikel 30a</w:t>
      </w:r>
    </w:p>
    <w:p>
      <w:pPr>
        <w:pStyle w:val="Text1"/>
        <w:rPr>
          <w:b/>
          <w:noProof/>
        </w:rPr>
      </w:pPr>
      <w:r>
        <w:rPr>
          <w:b/>
          <w:noProof/>
        </w:rPr>
        <w:t>Villkor för EU-baserade AIF-förvaltares sonderande marknadsföring inom unionen</w:t>
      </w:r>
    </w:p>
    <w:p>
      <w:pPr>
        <w:pStyle w:val="Text1"/>
        <w:rPr>
          <w:noProof/>
        </w:rPr>
      </w:pPr>
      <w:r>
        <w:rPr>
          <w:noProof/>
        </w:rPr>
        <w:t xml:space="preserve">1. Medlemsstaterna ska säkerställa att en auktoriserad EU-baserad AIF-förvaltare får bedriva sonderande marknadsföring inom unionen, utom då den information som presenteras för potentiella investerare </w:t>
      </w:r>
    </w:p>
    <w:p>
      <w:pPr>
        <w:pStyle w:val="Point1letter"/>
        <w:numPr>
          <w:ilvl w:val="3"/>
          <w:numId w:val="6"/>
        </w:numPr>
        <w:rPr>
          <w:noProof/>
        </w:rPr>
      </w:pPr>
      <w:r>
        <w:rPr>
          <w:noProof/>
        </w:rPr>
        <w:t>avser en etablerad AIF-fond,</w:t>
      </w:r>
    </w:p>
    <w:p>
      <w:pPr>
        <w:pStyle w:val="Point1letter"/>
        <w:numPr>
          <w:ilvl w:val="3"/>
          <w:numId w:val="6"/>
        </w:numPr>
        <w:rPr>
          <w:noProof/>
        </w:rPr>
      </w:pPr>
      <w:r>
        <w:rPr>
          <w:noProof/>
        </w:rPr>
        <w:t>innehåller en hänvisning till en etablerad AIF-fond,</w:t>
      </w:r>
    </w:p>
    <w:p>
      <w:pPr>
        <w:pStyle w:val="Point1letter"/>
        <w:numPr>
          <w:ilvl w:val="3"/>
          <w:numId w:val="6"/>
        </w:numPr>
        <w:rPr>
          <w:noProof/>
        </w:rPr>
      </w:pPr>
      <w:r>
        <w:rPr>
          <w:noProof/>
        </w:rPr>
        <w:t>gör det möjligt för investerarna att förbinda sig att förvärva andelar eller aktier i en viss AIF-fond,</w:t>
      </w:r>
    </w:p>
    <w:p>
      <w:pPr>
        <w:pStyle w:val="Point1letter"/>
        <w:numPr>
          <w:ilvl w:val="3"/>
          <w:numId w:val="6"/>
        </w:numPr>
        <w:rPr>
          <w:noProof/>
        </w:rPr>
      </w:pPr>
      <w:r>
        <w:rPr>
          <w:noProof/>
        </w:rPr>
        <w:t>utgör ett prospekt, bolagsordning för en ännu ej etablerad AIF-fond, erbjudandehandlingar, teckningsblanketter eller liknande handlingar, oavsett om de har formen av utkast eller slutversion, som ger investerare möjlighet att fatta ett investeringsbeslut.</w:t>
      </w:r>
    </w:p>
    <w:p>
      <w:pPr>
        <w:pStyle w:val="Text1"/>
        <w:rPr>
          <w:noProof/>
        </w:rPr>
      </w:pPr>
      <w:r>
        <w:rPr>
          <w:noProof/>
        </w:rPr>
        <w:t>2. Medlemsstaterna ska säkerställa att det inte krävs någon anmälan om sonderande marknadsföring till de behöriga myndigheterna för att en EU-baserad AIF-förvaltare ska kunna bedriva sådan verksamhet.</w:t>
      </w:r>
    </w:p>
    <w:p>
      <w:pPr>
        <w:pStyle w:val="Text1"/>
        <w:rPr>
          <w:noProof/>
        </w:rPr>
      </w:pPr>
      <w:r>
        <w:rPr>
          <w:noProof/>
        </w:rPr>
        <w:t>3. Professionella investerares teckning av andelar eller aktier i en AIF-fond som etablerats efter sonderande marknadsföring i enlighet med punkt 1 eller teckning av andelar eller aktier i AIF-fonder som förvaltas eller marknadsförs av EU-baserade AIF-förvaltare som bedrivit sonderande marknadsföring av ännu ej etablerade AIF-fonder med liknande egenskaper, ska anses vara ett resultat av marknadsföring.”</w:t>
      </w:r>
    </w:p>
    <w:p>
      <w:pPr>
        <w:pStyle w:val="Point0number"/>
        <w:numPr>
          <w:ilvl w:val="0"/>
          <w:numId w:val="15"/>
        </w:numPr>
        <w:rPr>
          <w:noProof/>
        </w:rPr>
      </w:pPr>
      <w:r>
        <w:rPr>
          <w:noProof/>
        </w:rPr>
        <w:t>I artikel 31 ska punkt 5 utgå.</w:t>
      </w:r>
    </w:p>
    <w:p>
      <w:pPr>
        <w:pStyle w:val="Point0number"/>
        <w:numPr>
          <w:ilvl w:val="0"/>
          <w:numId w:val="15"/>
        </w:numPr>
        <w:rPr>
          <w:noProof/>
        </w:rPr>
      </w:pPr>
      <w:r>
        <w:rPr>
          <w:noProof/>
        </w:rPr>
        <w:t>Artikel 32 ska ändras på följande sätt:</w:t>
      </w:r>
    </w:p>
    <w:p>
      <w:pPr>
        <w:pStyle w:val="Point1letter"/>
        <w:rPr>
          <w:noProof/>
        </w:rPr>
      </w:pPr>
      <w:r>
        <w:rPr>
          <w:noProof/>
        </w:rPr>
        <w:t>Punkt 7 andra stycket ska ersättas med följande:</w:t>
      </w:r>
    </w:p>
    <w:p>
      <w:pPr>
        <w:pStyle w:val="Text1"/>
        <w:rPr>
          <w:noProof/>
        </w:rPr>
      </w:pPr>
      <w:r>
        <w:rPr>
          <w:noProof/>
        </w:rPr>
        <w:t>”Om en planerad ändring innebär att AIF-förvaltarens förvaltning av AIF-fonden inte längre skulle vara förenlig med detta direktiv, eller att AIF-förvaltaren i övrigt inte längre skulle efterleva detta direktiv, ska de berörda behöriga myndigheterna inom 20 arbetsdagar informera AIF-förvaltaren om att denna inte får genomföra ändringen.”</w:t>
      </w:r>
    </w:p>
    <w:p>
      <w:pPr>
        <w:pStyle w:val="Point1letter"/>
        <w:rPr>
          <w:noProof/>
        </w:rPr>
      </w:pPr>
      <w:r>
        <w:rPr>
          <w:noProof/>
        </w:rPr>
        <w:t xml:space="preserve"> I punkt 7 ska fjärde stycket ersättas med följande:</w:t>
      </w:r>
    </w:p>
    <w:p>
      <w:pPr>
        <w:pStyle w:val="Text1"/>
        <w:rPr>
          <w:noProof/>
        </w:rPr>
      </w:pPr>
      <w:r>
        <w:rPr>
          <w:noProof/>
        </w:rPr>
        <w:t>”Om ändringarna inte påverkar förenligheten med detta direktiv vad avser AIF-förvaltarens förvaltning av AIF-fonden eller AIF-förvaltarens efterlevnad av detta direktiv i övrigt, ska de behöriga myndigheterna i AIF-förvaltarens hemmedlemsstat inom en månad informera de behöriga myndigheterna i AIF-förvaltarens värdmedlemsstat om dessa ändringar.”</w:t>
      </w:r>
    </w:p>
    <w:p>
      <w:pPr>
        <w:pStyle w:val="Point1letter"/>
        <w:rPr>
          <w:noProof/>
        </w:rPr>
      </w:pPr>
      <w:r>
        <w:rPr>
          <w:noProof/>
        </w:rPr>
        <w:t xml:space="preserve"> Punkt 8 ska utgå.</w:t>
      </w:r>
    </w:p>
    <w:p>
      <w:pPr>
        <w:pStyle w:val="Point0number"/>
        <w:numPr>
          <w:ilvl w:val="0"/>
          <w:numId w:val="15"/>
        </w:numPr>
        <w:rPr>
          <w:noProof/>
        </w:rPr>
      </w:pPr>
      <w:r>
        <w:rPr>
          <w:noProof/>
        </w:rPr>
        <w:t>Följande artikel ska införas som artikel 32a:</w:t>
      </w:r>
    </w:p>
    <w:p>
      <w:pPr>
        <w:pStyle w:val="Text1"/>
        <w:jc w:val="center"/>
        <w:rPr>
          <w:noProof/>
        </w:rPr>
      </w:pPr>
      <w:r>
        <w:rPr>
          <w:noProof/>
        </w:rPr>
        <w:t>”</w:t>
      </w:r>
      <w:r>
        <w:rPr>
          <w:i/>
          <w:noProof/>
        </w:rPr>
        <w:t>Artikel 32a</w:t>
      </w:r>
    </w:p>
    <w:p>
      <w:pPr>
        <w:pStyle w:val="Text1"/>
        <w:rPr>
          <w:b/>
          <w:noProof/>
        </w:rPr>
      </w:pPr>
      <w:r>
        <w:rPr>
          <w:b/>
          <w:noProof/>
        </w:rPr>
        <w:t>Upphörande av marknadsföring av andelar eller aktier i EU-baserade AIF-fonder i andra medlemsstater än i AIF-förvaltarens hemmedlemsstat</w:t>
      </w:r>
    </w:p>
    <w:p>
      <w:pPr>
        <w:pStyle w:val="Text1"/>
        <w:rPr>
          <w:noProof/>
        </w:rPr>
      </w:pPr>
      <w:r>
        <w:rPr>
          <w:noProof/>
        </w:rPr>
        <w:lastRenderedPageBreak/>
        <w:t>1. Medlemsstaterna ska säkerställa att en EU-baserad AIF-förvaltare får upphöra med att marknadsföra andelar eller aktier i en EU-baserad AIF-fond som den förvaltar i den medlemsstat där en anmälan om marknadsföringsverksamheten har överlämnats i enlighet med artikel 32, om samtliga följande villkor är uppfyllda:</w:t>
      </w:r>
    </w:p>
    <w:p>
      <w:pPr>
        <w:pStyle w:val="Point1letter"/>
        <w:rPr>
          <w:noProof/>
        </w:rPr>
      </w:pPr>
      <w:r>
        <w:rPr>
          <w:noProof/>
        </w:rPr>
        <w:t>Ingen investerare med hemvist eller säte i den medlemsstat där anmälan om marknadsföringsverksamhet har överlämnats i enlighet med artikel 32 innehar andelar eller aktier i den AIF-fonden, eller så innehar högst tio investerare med hemvist eller säte i den medlemsstaten andelar eller aktier i AIF-fonden som motsvarar mindre än 1 % av de tillgångar som förvaltas av AIF-fonden.</w:t>
      </w:r>
    </w:p>
    <w:p>
      <w:pPr>
        <w:pStyle w:val="Point1letter"/>
        <w:numPr>
          <w:ilvl w:val="3"/>
          <w:numId w:val="6"/>
        </w:numPr>
        <w:rPr>
          <w:noProof/>
        </w:rPr>
      </w:pPr>
      <w:r>
        <w:rPr>
          <w:noProof/>
        </w:rPr>
        <w:tab/>
        <w:t>Ett allmänt erbjudande ska lämnas om att utan avgifter eller avdrag köpa tillbaka alla de andelar eller aktier i AIF-fonden som innehas av investerare i den medlemsstat där anmälan om marknadsföringsverksamhet har överlämnats i enlighet med artikel 32, vilket ska offentliggörs under minst 30 arbetsdagar och riktas individuellt till alla investerare i den medlemsstaten vilkas identitet är känd.</w:t>
      </w:r>
    </w:p>
    <w:p>
      <w:pPr>
        <w:pStyle w:val="Point1letter"/>
        <w:numPr>
          <w:ilvl w:val="3"/>
          <w:numId w:val="6"/>
        </w:numPr>
        <w:rPr>
          <w:noProof/>
        </w:rPr>
      </w:pPr>
      <w:r>
        <w:rPr>
          <w:noProof/>
        </w:rPr>
        <w:t>Avsikten att upphöra med marknadsföringsverksamheten på den medlemsstats territorium där anmälan om marknadsföringsverksamhet har överlämnats i enlighet med artikel 32 ska offentliggöras på ett sätt som är allmänt tillgängligt och som är brukligt för marknadsföring av AIF-fonder och passande för en typisk AIF-fondinvesterare.</w:t>
      </w:r>
    </w:p>
    <w:p>
      <w:pPr>
        <w:pStyle w:val="Text1"/>
        <w:rPr>
          <w:noProof/>
        </w:rPr>
      </w:pPr>
      <w:r>
        <w:rPr>
          <w:noProof/>
        </w:rPr>
        <w:t>2. AIF-förvaltaren ska lämna in en anmälan till den behöriga myndigheten i sin hemmedlemsstat, och ska innehålla de uppgifter som anges i punkt 1.</w:t>
      </w:r>
    </w:p>
    <w:p>
      <w:pPr>
        <w:pStyle w:val="Text1"/>
        <w:rPr>
          <w:noProof/>
        </w:rPr>
      </w:pPr>
      <w:r>
        <w:rPr>
          <w:noProof/>
        </w:rPr>
        <w:t>3. De behöriga myndigheterna i AIF-förvaltarens hemmedlemsstat ska senast 20 arbetsdagar efter mottagandet av den fullständiga anmälan som avses i punkt 2 vidarebefordra den till de behöriga myndigheterna i den medlemsstat där marknadsföring av AIF-fonden planeras upphöra, och till Esma.</w:t>
      </w:r>
    </w:p>
    <w:p>
      <w:pPr>
        <w:pStyle w:val="Text1"/>
        <w:rPr>
          <w:noProof/>
        </w:rPr>
      </w:pPr>
      <w:r>
        <w:rPr>
          <w:noProof/>
        </w:rPr>
        <w:t>Efter det att anmälan har vidarebefordrats enligt första stycket ska de behöriga myndigheterna i AIF-förvaltarens hemmedlemsstat omedelbart underrätta AIF-förvaltaren om att så har skett. Från och med den dagen ska AIF-förvaltaren upphöra med all marknadsföring av andelar eller aktier i den förvaltade AIF-fonden i den medlemsstat som anges i den skriftliga anmälan som avses i punkt 2.</w:t>
      </w:r>
    </w:p>
    <w:p>
      <w:pPr>
        <w:pStyle w:val="Text1"/>
        <w:rPr>
          <w:noProof/>
        </w:rPr>
      </w:pPr>
      <w:r>
        <w:rPr>
          <w:noProof/>
        </w:rPr>
        <w:t>4. AIF-förvaltaren ska fortsätta att ge de investerare som fortfarande har andelar eller aktier i den EU-baserade AIF-fonden de uppgifter som krävs enligt artiklarna 22 och 23.</w:t>
      </w:r>
    </w:p>
    <w:p>
      <w:pPr>
        <w:pStyle w:val="Text1"/>
        <w:rPr>
          <w:noProof/>
        </w:rPr>
      </w:pPr>
      <w:r>
        <w:rPr>
          <w:noProof/>
        </w:rPr>
        <w:t xml:space="preserve">5. Medlemsstaterna ska göra det möjligt att använda alla typer av elektronisk kommunikation eller annan teknik för distanskommunikation för tillämpningen av punkt 4.  </w:t>
      </w:r>
    </w:p>
    <w:p>
      <w:pPr>
        <w:pStyle w:val="Point0number"/>
        <w:rPr>
          <w:noProof/>
        </w:rPr>
      </w:pPr>
      <w:r>
        <w:rPr>
          <w:noProof/>
        </w:rPr>
        <w:t>I artikel 33 ska punkterna 7 och 8 utgå.</w:t>
      </w:r>
    </w:p>
    <w:p>
      <w:pPr>
        <w:pStyle w:val="Point0number"/>
        <w:rPr>
          <w:noProof/>
        </w:rPr>
      </w:pPr>
      <w:r>
        <w:rPr>
          <w:noProof/>
        </w:rPr>
        <w:t>Följande artikel ska införas som artikel 43a:</w:t>
      </w:r>
    </w:p>
    <w:p>
      <w:pPr>
        <w:pStyle w:val="Text1"/>
        <w:jc w:val="center"/>
        <w:rPr>
          <w:noProof/>
        </w:rPr>
      </w:pPr>
      <w:r>
        <w:rPr>
          <w:noProof/>
        </w:rPr>
        <w:t>”</w:t>
      </w:r>
      <w:r>
        <w:rPr>
          <w:i/>
          <w:noProof/>
        </w:rPr>
        <w:t>Artikel 43a</w:t>
      </w:r>
    </w:p>
    <w:p>
      <w:pPr>
        <w:pStyle w:val="Text1"/>
        <w:rPr>
          <w:b/>
          <w:noProof/>
        </w:rPr>
      </w:pPr>
      <w:r>
        <w:rPr>
          <w:b/>
          <w:noProof/>
        </w:rPr>
        <w:t>Funktioner som är tillgängliga för icke-professionella investerare</w:t>
      </w:r>
    </w:p>
    <w:p>
      <w:pPr>
        <w:pStyle w:val="Text1"/>
        <w:rPr>
          <w:noProof/>
        </w:rPr>
      </w:pPr>
      <w:r>
        <w:rPr>
          <w:noProof/>
        </w:rPr>
        <w:lastRenderedPageBreak/>
        <w:t>1. Utan att det påverkar tillämpningen av artikel 26 i förordning (EU) 2015/760</w:t>
      </w:r>
      <w:r>
        <w:rPr>
          <w:rStyle w:val="FootnoteReference"/>
          <w:noProof/>
        </w:rPr>
        <w:footnoteReference w:id="29"/>
      </w:r>
      <w:r>
        <w:rPr>
          <w:noProof/>
        </w:rPr>
        <w:t xml:space="preserve"> ska medlemsstaterna säkerställa att en AIF-förvaltare, i varje medlemsstat där den har för avsikt att marknadsföra andelar eller aktier i en AIF-fond till icke-professionella investerare, inrättar funktioner för att utföra följande uppgifter:</w:t>
      </w:r>
    </w:p>
    <w:p>
      <w:pPr>
        <w:pStyle w:val="Point1letter"/>
        <w:numPr>
          <w:ilvl w:val="3"/>
          <w:numId w:val="7"/>
        </w:numPr>
        <w:rPr>
          <w:noProof/>
        </w:rPr>
      </w:pPr>
      <w:r>
        <w:rPr>
          <w:noProof/>
        </w:rPr>
        <w:t>Behandla investerares tecknings-, betalnings-, återköps- eller inlösenorder avseende AIF-fondens andelar eller aktier, i enlighet med villkoren i AIF-fondens marknadsföringsmaterial.</w:t>
      </w:r>
    </w:p>
    <w:p>
      <w:pPr>
        <w:pStyle w:val="Point1letter"/>
        <w:rPr>
          <w:noProof/>
        </w:rPr>
      </w:pPr>
      <w:r>
        <w:rPr>
          <w:noProof/>
        </w:rPr>
        <w:t>Tillhandahålla investerare information om hur order som avses i led a kan göras och hur återköp och inlösen betalas.</w:t>
      </w:r>
    </w:p>
    <w:p>
      <w:pPr>
        <w:pStyle w:val="Point1letter"/>
        <w:rPr>
          <w:noProof/>
        </w:rPr>
      </w:pPr>
      <w:r>
        <w:rPr>
          <w:noProof/>
        </w:rPr>
        <w:t>Underlätta hanteringen av information om hur investerarna kan utöva de rättigheter som följer av deras investering i AIF-fonden i den medlemsstat där fonden marknadsförs.</w:t>
      </w:r>
    </w:p>
    <w:p>
      <w:pPr>
        <w:pStyle w:val="Point1letter"/>
        <w:rPr>
          <w:noProof/>
        </w:rPr>
      </w:pPr>
      <w:r>
        <w:rPr>
          <w:noProof/>
        </w:rPr>
        <w:t>För inspektion och för erhållande av kopior, tillhandahålla investerare</w:t>
      </w:r>
    </w:p>
    <w:p>
      <w:pPr>
        <w:pStyle w:val="Text1"/>
        <w:ind w:firstLine="567"/>
        <w:rPr>
          <w:noProof/>
        </w:rPr>
      </w:pPr>
      <w:r>
        <w:rPr>
          <w:noProof/>
        </w:rPr>
        <w:t>i)</w:t>
      </w:r>
      <w:r>
        <w:rPr>
          <w:noProof/>
        </w:rPr>
        <w:tab/>
        <w:t>AIF-fondens fondbestämmelser eller bolagsordning,</w:t>
      </w:r>
    </w:p>
    <w:p>
      <w:pPr>
        <w:pStyle w:val="Text1"/>
        <w:ind w:firstLine="567"/>
        <w:rPr>
          <w:noProof/>
        </w:rPr>
      </w:pPr>
      <w:r>
        <w:rPr>
          <w:noProof/>
        </w:rPr>
        <w:t>ii)</w:t>
      </w:r>
      <w:r>
        <w:rPr>
          <w:noProof/>
        </w:rPr>
        <w:tab/>
        <w:t>AIF-fondens senaste årsrapport.</w:t>
      </w:r>
    </w:p>
    <w:p>
      <w:pPr>
        <w:pStyle w:val="Point1letter"/>
        <w:numPr>
          <w:ilvl w:val="3"/>
          <w:numId w:val="7"/>
        </w:numPr>
        <w:rPr>
          <w:noProof/>
        </w:rPr>
      </w:pPr>
      <w:r>
        <w:rPr>
          <w:noProof/>
        </w:rPr>
        <w:t>Tillhandahålla investerare relevant information om de uppgifter som funktionerna utför via ett varaktigt medium enligt definitionen i artikel 2.1 m i direktiv 2009/65/EG.</w:t>
      </w:r>
    </w:p>
    <w:p>
      <w:pPr>
        <w:pStyle w:val="Text1"/>
        <w:rPr>
          <w:noProof/>
        </w:rPr>
      </w:pPr>
      <w:r>
        <w:rPr>
          <w:noProof/>
        </w:rPr>
        <w:t>2. Medlemsstaterna ska inte kräva att en AIF-förvaltare måste finnas på plats fysiskt för tillämpningen av punkt 1.</w:t>
      </w:r>
    </w:p>
    <w:p>
      <w:pPr>
        <w:pStyle w:val="Text1"/>
        <w:rPr>
          <w:noProof/>
        </w:rPr>
      </w:pPr>
      <w:r>
        <w:rPr>
          <w:noProof/>
        </w:rPr>
        <w:t>3. AIF-förvaltaren ska säkerställa att de funktioner som avses i punkt 1 är av följande typ och har följande egenskaper:</w:t>
      </w:r>
    </w:p>
    <w:p>
      <w:pPr>
        <w:pStyle w:val="Point1letter"/>
        <w:numPr>
          <w:ilvl w:val="3"/>
          <w:numId w:val="8"/>
        </w:numPr>
        <w:rPr>
          <w:noProof/>
        </w:rPr>
      </w:pPr>
      <w:r>
        <w:rPr>
          <w:noProof/>
        </w:rPr>
        <w:t>Uppgifterna utförs på det officiella språket eller de officiella språken i den medlemsstat där AIF-fonden marknadsförs.</w:t>
      </w:r>
    </w:p>
    <w:p>
      <w:pPr>
        <w:pStyle w:val="Point1letter"/>
        <w:numPr>
          <w:ilvl w:val="3"/>
          <w:numId w:val="6"/>
        </w:numPr>
        <w:rPr>
          <w:noProof/>
        </w:rPr>
      </w:pPr>
      <w:r>
        <w:rPr>
          <w:noProof/>
        </w:rPr>
        <w:t>Uppgifterna utförs av AIF-förvaltaren själv, eller en utomstående enhet som omfattas av regler om de uppgifter som ska utföras, eller båda.</w:t>
      </w:r>
    </w:p>
    <w:p>
      <w:pPr>
        <w:pStyle w:val="Text1"/>
        <w:rPr>
          <w:noProof/>
        </w:rPr>
      </w:pPr>
      <w:r>
        <w:rPr>
          <w:noProof/>
        </w:rPr>
        <w:t>För tillämpningen av led b, om funktionerna utförs av en utomstående enhet, ska utnämnandet av enheten dokumenteras genom ett skriftligt avtal som anger vilka av uppgifterna i punkt 1 som inte utförs av AIF-förvaltaren, och att det utomstående företaget erhåller alla relevanta uppgifter och handlingar från AIF-förvaltaren.”</w:t>
      </w:r>
    </w:p>
    <w:p>
      <w:pPr>
        <w:pStyle w:val="Titrearticle"/>
        <w:keepLines/>
        <w:rPr>
          <w:noProof/>
        </w:rPr>
      </w:pPr>
      <w:r>
        <w:rPr>
          <w:noProof/>
        </w:rPr>
        <w:t>Artikel 3</w:t>
      </w:r>
    </w:p>
    <w:p>
      <w:pPr>
        <w:jc w:val="center"/>
        <w:rPr>
          <w:b/>
          <w:noProof/>
        </w:rPr>
      </w:pPr>
      <w:r>
        <w:rPr>
          <w:b/>
          <w:noProof/>
        </w:rPr>
        <w:t>Införlivande</w:t>
      </w:r>
    </w:p>
    <w:p>
      <w:pPr>
        <w:pStyle w:val="ManualNumPar1"/>
        <w:rPr>
          <w:noProof/>
        </w:rPr>
      </w:pPr>
      <w:r>
        <w:rPr>
          <w:noProof/>
        </w:rPr>
        <w:t>1.</w:t>
      </w:r>
      <w:r>
        <w:rPr>
          <w:noProof/>
        </w:rPr>
        <w:tab/>
        <w:t>Medlemsstaterna ska senast den [</w:t>
      </w:r>
      <w:r>
        <w:rPr>
          <w:i/>
          <w:noProof/>
        </w:rPr>
        <w:t>Publikationsbyrån: infoga datum 24 månader efter dagen för ikraftträdandet</w:t>
      </w:r>
      <w:r>
        <w:rPr>
          <w:noProof/>
        </w:rPr>
        <w:t>] anta och offentliggöra de lagar och andra författningar som är nödvändiga för att följa detta direktiv. De ska genast överlämna texten till dessa bestämmelser till kommissionen.</w:t>
      </w:r>
    </w:p>
    <w:p>
      <w:pPr>
        <w:pStyle w:val="Text1"/>
        <w:rPr>
          <w:noProof/>
        </w:rPr>
      </w:pPr>
      <w:r>
        <w:rPr>
          <w:noProof/>
        </w:rPr>
        <w:t>De ska tillämpa dessa bestämmelser från och med den [</w:t>
      </w:r>
      <w:r>
        <w:rPr>
          <w:i/>
          <w:noProof/>
        </w:rPr>
        <w:t>Publikationsbyrån: infoga datum 24 månader efter dagen för ikraftträdande</w:t>
      </w:r>
      <w:r>
        <w:rPr>
          <w:noProof/>
        </w:rPr>
        <w:t>].</w:t>
      </w:r>
    </w:p>
    <w:p>
      <w:pPr>
        <w:pStyle w:val="Text1"/>
        <w:rPr>
          <w:noProof/>
        </w:rPr>
      </w:pPr>
      <w:r>
        <w:rPr>
          <w:noProof/>
        </w:rPr>
        <w:lastRenderedPageBreak/>
        <w:t>När en medlemsstat antar dessa bestämmelser ska de innehålla en hänvisning till detta direktiv eller åtföljas av en sådan hänvisning när de offentliggörs. Närmare föreskrifter om hur hänvisningen ska göras ska varje medlemsstat själv utfärda.</w:t>
      </w:r>
    </w:p>
    <w:p>
      <w:pPr>
        <w:pStyle w:val="ManualNumPar1"/>
        <w:rPr>
          <w:noProof/>
        </w:rPr>
      </w:pPr>
      <w:r>
        <w:rPr>
          <w:noProof/>
        </w:rPr>
        <w:t>2.</w:t>
      </w:r>
      <w:r>
        <w:rPr>
          <w:noProof/>
        </w:rPr>
        <w:tab/>
        <w:t>Medlemsstaterna ska till kommissionen överlämna texten till de centrala bestämmelser i nationell rätt som de antar inom det område som omfattas av detta direktiv.</w:t>
      </w:r>
    </w:p>
    <w:p>
      <w:pPr>
        <w:pStyle w:val="Titrearticle"/>
        <w:rPr>
          <w:noProof/>
        </w:rPr>
      </w:pPr>
      <w:r>
        <w:rPr>
          <w:noProof/>
        </w:rPr>
        <w:t>Artikel 4</w:t>
      </w:r>
    </w:p>
    <w:p>
      <w:pPr>
        <w:jc w:val="center"/>
        <w:rPr>
          <w:b/>
          <w:noProof/>
        </w:rPr>
      </w:pPr>
      <w:r>
        <w:rPr>
          <w:b/>
          <w:noProof/>
        </w:rPr>
        <w:t>Utvärdering</w:t>
      </w:r>
    </w:p>
    <w:p>
      <w:pPr>
        <w:rPr>
          <w:noProof/>
        </w:rPr>
      </w:pPr>
      <w:r>
        <w:rPr>
          <w:noProof/>
        </w:rPr>
        <w:t>Senast den [</w:t>
      </w:r>
      <w:r>
        <w:rPr>
          <w:i/>
          <w:noProof/>
        </w:rPr>
        <w:t>Publikationsbyrån: infoga datum 36 månader efter dagen för införlivandet av detta direktiv</w:t>
      </w:r>
      <w:r>
        <w:rPr>
          <w:noProof/>
        </w:rPr>
        <w:t xml:space="preserve">] ska kommissionen på grundval av ett offentligt samråd och mot bakgrund av diskussioner med Esma och behöriga myndigheter, genomföra en utvärdering av tillämpningen av detta direktiv. </w:t>
      </w:r>
    </w:p>
    <w:p>
      <w:pPr>
        <w:pStyle w:val="Titrearticle"/>
        <w:rPr>
          <w:noProof/>
        </w:rPr>
      </w:pPr>
      <w:r>
        <w:rPr>
          <w:noProof/>
        </w:rPr>
        <w:t>Artikel 5</w:t>
      </w:r>
    </w:p>
    <w:p>
      <w:pPr>
        <w:jc w:val="center"/>
        <w:rPr>
          <w:b/>
          <w:noProof/>
        </w:rPr>
      </w:pPr>
      <w:r>
        <w:rPr>
          <w:b/>
          <w:noProof/>
        </w:rPr>
        <w:t>Ikraftträdande</w:t>
      </w:r>
    </w:p>
    <w:p>
      <w:pPr>
        <w:rPr>
          <w:noProof/>
        </w:rPr>
      </w:pPr>
      <w:r>
        <w:rPr>
          <w:noProof/>
        </w:rPr>
        <w:t xml:space="preserve">Detta direktiv träder i kraft den tjugonde dagen efter det att det har offentliggjorts i </w:t>
      </w:r>
      <w:r>
        <w:rPr>
          <w:i/>
          <w:noProof/>
        </w:rPr>
        <w:t>Europeiska unionens officiella tidning</w:t>
      </w:r>
      <w:r>
        <w:rPr>
          <w:noProof/>
        </w:rPr>
        <w:t>.</w:t>
      </w:r>
    </w:p>
    <w:p>
      <w:pPr>
        <w:rPr>
          <w:noProof/>
        </w:rPr>
      </w:pPr>
      <w:r>
        <w:rPr>
          <w:noProof/>
        </w:rPr>
        <w:t xml:space="preserve">Artiklarna 1.1 b, 1.2, 1.8, 2.3, 2.4 c och 2.6 ska gälla från och med dagen för ikraftträdandet av detta direktiv. </w:t>
      </w:r>
    </w:p>
    <w:p>
      <w:pPr>
        <w:pStyle w:val="Titrearticle"/>
        <w:rPr>
          <w:noProof/>
        </w:rPr>
      </w:pPr>
      <w:r>
        <w:rPr>
          <w:noProof/>
        </w:rPr>
        <w:t>Artikel 6</w:t>
      </w:r>
    </w:p>
    <w:p>
      <w:pPr>
        <w:keepNext/>
        <w:keepLines/>
        <w:rPr>
          <w:noProof/>
        </w:rPr>
      </w:pPr>
      <w:r>
        <w:rPr>
          <w:noProof/>
        </w:rPr>
        <w:t>Detta direktiv riktar sig till medlemsstaterna.</w:t>
      </w:r>
    </w:p>
    <w:p>
      <w:pPr>
        <w:pStyle w:val="Fait"/>
        <w:rPr>
          <w:noProof/>
        </w:rPr>
      </w:pPr>
      <w:r>
        <w:t>Utfärdat i Bryssel den</w:t>
      </w:r>
    </w:p>
    <w:p>
      <w:pPr>
        <w:pStyle w:val="Institutionquisigne"/>
        <w:rPr>
          <w:noProof/>
        </w:rPr>
      </w:pPr>
      <w:r>
        <w:rPr>
          <w:noProof/>
        </w:rPr>
        <w:t>På Europaparlaments vägnar</w:t>
      </w:r>
      <w:r>
        <w:rPr>
          <w:noProof/>
        </w:rPr>
        <w:tab/>
        <w:t>På rådets vägnar</w:t>
      </w:r>
    </w:p>
    <w:p>
      <w:pPr>
        <w:pStyle w:val="Personnequisigne"/>
        <w:rPr>
          <w:noProof/>
        </w:rPr>
      </w:pPr>
      <w:r>
        <w:rPr>
          <w:noProof/>
        </w:rPr>
        <w:t>Ordförande</w:t>
      </w:r>
      <w:r>
        <w:rPr>
          <w:noProof/>
        </w:rPr>
        <w:tab/>
        <w:t>Ordförande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Europaparlamentets och rådets förordning (EU) nr 345/2013 av den 17 april 2013 om europeiska riskkapitalfonder (EUT L 115, 25.4.2013, s. 1).</w:t>
      </w:r>
    </w:p>
  </w:footnote>
  <w:footnote w:id="3">
    <w:p>
      <w:pPr>
        <w:pStyle w:val="FootnoteText"/>
      </w:pPr>
      <w:r>
        <w:rPr>
          <w:rStyle w:val="FootnoteReference"/>
        </w:rPr>
        <w:footnoteRef/>
      </w:r>
      <w:r>
        <w:tab/>
        <w:t>Europaparlamentets och rådets förordning (EU) nr 346/2013 av den 17 april 2013 om europeiska fonder för socialt företagande (EUT L 115, 25.4.2013, s. 18).</w:t>
      </w:r>
    </w:p>
  </w:footnote>
  <w:footnote w:id="4">
    <w:p>
      <w:pPr>
        <w:pStyle w:val="FootnoteText"/>
      </w:pPr>
      <w:r>
        <w:rPr>
          <w:rStyle w:val="FootnoteReference"/>
        </w:rPr>
        <w:footnoteRef/>
      </w:r>
      <w:r>
        <w:tab/>
        <w:t>Europaparlamentets och rådets direktiv 2009/65/EG av den 13 juli 2009 om samordning av lagar och andra författningar som avser företag för kollektiva investeringar i överlåtbara värdepapper (fondföretag) (EUT L 302, 17.11.2009, s. 32).</w:t>
      </w:r>
    </w:p>
  </w:footnote>
  <w:footnote w:id="5">
    <w:p>
      <w:pPr>
        <w:pStyle w:val="FootnoteText"/>
      </w:pPr>
      <w:r>
        <w:rPr>
          <w:rStyle w:val="FootnoteReference"/>
        </w:rPr>
        <w:footnoteRef/>
      </w:r>
      <w:r>
        <w:tab/>
        <w:t>Europaparlamentets och rådets direktiv 2011/61/EU av den 8 juni 2011 om förvaltare av alternativa investeringsfonder samt om ändring av direktiv 2003/41/EG och 2009/65/EG och förordningarna (EG) nr 1060/2009 och (EU) nr 1095/2010 (EUT L 174, 7.7.2011, s. 1).</w:t>
      </w:r>
    </w:p>
  </w:footnote>
  <w:footnote w:id="6">
    <w:p>
      <w:pPr>
        <w:pStyle w:val="FootnoteText"/>
      </w:pPr>
      <w:r>
        <w:rPr>
          <w:rStyle w:val="FootnoteReference"/>
        </w:rPr>
        <w:footnoteRef/>
      </w:r>
      <w:r>
        <w:tab/>
        <w:t>Meddelande från kommissionen till Europaparlamentet, rådet, Europeiska ekonomiska och sociala kommittén och Regionkommittén: Kommissionens arbetsprogram 2018 – En agenda för ett mer enat, starkare och mer demokratiskt Europa.</w:t>
      </w:r>
    </w:p>
  </w:footnote>
  <w:footnote w:id="7">
    <w:p>
      <w:pPr>
        <w:pStyle w:val="FootnoteText"/>
      </w:pPr>
      <w:r>
        <w:rPr>
          <w:rStyle w:val="FootnoteReference"/>
        </w:rPr>
        <w:footnoteRef/>
      </w:r>
      <w:r>
        <w:tab/>
        <w:t>Meddelande från kommissionen till Europaparlamentet, rådet, Europeiska ekonomiska och sociala kommittén och Regionkommittén: Handlingsplan för en kapitalmarknadsunion, COM(2015) 468 final.</w:t>
      </w:r>
    </w:p>
  </w:footnote>
  <w:footnote w:id="8">
    <w:p>
      <w:pPr>
        <w:pStyle w:val="FootnoteText"/>
      </w:pPr>
      <w:r>
        <w:rPr>
          <w:rStyle w:val="FootnoteReference"/>
        </w:rPr>
        <w:footnoteRef/>
      </w:r>
      <w:r>
        <w:tab/>
        <w:t>Meddelande från kommissionen till Europaparlamentet, rådet, Europeiska ekonomiska och sociala kommittén och Regionkommittén om halvtidsöversynen över handlingsplanen för kapitalmarknadsunionen, COM(2017) 292 final.</w:t>
      </w:r>
    </w:p>
  </w:footnote>
  <w:footnote w:id="9">
    <w:p>
      <w:pPr>
        <w:pStyle w:val="FootnoteText"/>
      </w:pPr>
      <w:r>
        <w:rPr>
          <w:rStyle w:val="FootnoteReference"/>
        </w:rPr>
        <w:footnoteRef/>
      </w:r>
      <w:r>
        <w:tab/>
        <w:t>Grönbok: Att bygga en kapitalmarknadsunion, COM(2015) 63 final.</w:t>
      </w:r>
    </w:p>
  </w:footnote>
  <w:footnote w:id="10">
    <w:p>
      <w:pPr>
        <w:pStyle w:val="FootnoteText"/>
      </w:pPr>
      <w:r>
        <w:rPr>
          <w:rStyle w:val="FootnoteReference"/>
        </w:rPr>
        <w:footnoteRef/>
      </w:r>
      <w:r>
        <w:tab/>
        <w:t>Meddelande från kommissionen till Europaparlamentet, rådet, Europeiska ekonomiska och sociala kommittén och Regionkommittén: Synpunkter från berörda parter på EU:s regelverk för finansiella tjänster COM(2016) 855 final.</w:t>
      </w:r>
    </w:p>
  </w:footnote>
  <w:footnote w:id="11">
    <w:p>
      <w:pPr>
        <w:pStyle w:val="FootnoteText"/>
      </w:pPr>
      <w:r>
        <w:rPr>
          <w:rStyle w:val="FootnoteReference"/>
        </w:rPr>
        <w:footnoteRef/>
      </w:r>
      <w:r>
        <w:tab/>
      </w:r>
      <w:hyperlink r:id="rId1">
        <w:r>
          <w:rPr>
            <w:rStyle w:val="Hyperlink"/>
          </w:rPr>
          <w:t>https://ec.europa.eu/info/publications/consultation-cross-border-distribution-investment-funds_en</w:t>
        </w:r>
      </w:hyperlink>
      <w:r>
        <w:rPr>
          <w:rStyle w:val="Hyperlink"/>
        </w:rPr>
        <w:t>.</w:t>
      </w:r>
    </w:p>
  </w:footnote>
  <w:footnote w:id="12">
    <w:p>
      <w:pPr>
        <w:pStyle w:val="FootnoteText"/>
      </w:pPr>
      <w:r>
        <w:rPr>
          <w:rStyle w:val="FootnoteReference"/>
        </w:rPr>
        <w:footnoteRef/>
      </w:r>
      <w:r>
        <w:tab/>
        <w:t>Europaparlamentets och rådets förordning (EU) 2015/760 av den 29 april 2015 om europeiska långsiktiga investeringsfonder (EUT L 123, 19.5.2015, s. 121).</w:t>
      </w:r>
    </w:p>
  </w:footnote>
  <w:footnote w:id="13">
    <w:p>
      <w:pPr>
        <w:pStyle w:val="FootnoteText"/>
      </w:pPr>
      <w:r>
        <w:rPr>
          <w:rStyle w:val="FootnoteReference"/>
        </w:rPr>
        <w:footnoteRef/>
      </w:r>
      <w:r>
        <w:tab/>
        <w:t>Europaparlamentets och rådets förordning (EU) 2017/1131 av den 14 juni 2017 om penningmarknadsfonder (EUT L 169, 30.6.2017, s. 8).</w:t>
      </w:r>
    </w:p>
  </w:footnote>
  <w:footnote w:id="14">
    <w:p>
      <w:pPr>
        <w:pStyle w:val="FootnoteText"/>
      </w:pPr>
      <w:r>
        <w:rPr>
          <w:rStyle w:val="FootnoteReference"/>
        </w:rPr>
        <w:footnoteRef/>
      </w:r>
      <w:r>
        <w:tab/>
        <w:t>EFAMA Quarterly Statistical Release Q2 2017 (ej översatt till svenska).</w:t>
      </w:r>
    </w:p>
  </w:footnote>
  <w:footnote w:id="15">
    <w:p>
      <w:pPr>
        <w:pStyle w:val="FootnoteText"/>
      </w:pPr>
      <w:r>
        <w:rPr>
          <w:rStyle w:val="FootnoteReference"/>
        </w:rPr>
        <w:footnoteRef/>
      </w:r>
      <w:r>
        <w:tab/>
        <w:t>Här ingår även ”round-trip”-fonder, dvs. när en förvaltare förlägger en fond i en annan medlemsstat och därefter distribuerar tillbaka den endast till den marknad där denne är baserad.</w:t>
      </w:r>
    </w:p>
  </w:footnote>
  <w:footnote w:id="16">
    <w:p>
      <w:pPr>
        <w:pStyle w:val="FootnoteText"/>
      </w:pPr>
      <w:r>
        <w:rPr>
          <w:rStyle w:val="FootnoteReference"/>
        </w:rPr>
        <w:footnoteRef/>
      </w:r>
      <w:r>
        <w:tab/>
        <w:t>EFAMA Fact Book 2017 and Investment Company Institute (ICI) Fact Book 2017 (ej översatt till svenska).</w:t>
      </w:r>
    </w:p>
  </w:footnote>
  <w:footnote w:id="17">
    <w:p>
      <w:pPr>
        <w:pStyle w:val="FootnoteText"/>
      </w:pPr>
      <w:r>
        <w:rPr>
          <w:rStyle w:val="FootnoteReference"/>
        </w:rPr>
        <w:footnoteRef/>
      </w:r>
      <w:r>
        <w:tab/>
        <w:t>http://eur-lex.europa.eu/legal-content/EN/TXT/?qid=1507119651257&amp;uri=CELEX:52014DC0903</w:t>
      </w:r>
    </w:p>
  </w:footnote>
  <w:footnote w:id="18">
    <w:p>
      <w:pPr>
        <w:pStyle w:val="FootnoteText"/>
      </w:pPr>
      <w:r>
        <w:rPr>
          <w:rStyle w:val="FootnoteReference"/>
        </w:rPr>
        <w:footnoteRef/>
      </w:r>
      <w:r>
        <w:tab/>
        <w:t>Vidare inriktas ytterligare initiativ på att främja gränsöverskridande investeringar, t.ex. vägledning om befintliga EU-standarder för behandling av gränsöverskridande EU-investeringar och en ram för lösning av investeringstvister i godo.</w:t>
      </w:r>
    </w:p>
  </w:footnote>
  <w:footnote w:id="19">
    <w:p>
      <w:pPr>
        <w:pStyle w:val="FootnoteText"/>
        <w:ind w:left="0" w:firstLine="0"/>
      </w:pPr>
      <w:r>
        <w:rPr>
          <w:rStyle w:val="FootnoteReference"/>
        </w:rPr>
        <w:footnoteRef/>
      </w:r>
      <w:r>
        <w:tab/>
      </w:r>
      <w:hyperlink r:id="rId2">
        <w:r>
          <w:rPr>
            <w:rStyle w:val="Hyperlink"/>
          </w:rPr>
          <w:t>https://ec.europa.eu/info/publications/consultation-cross-border-distribution-investment-funds_en</w:t>
        </w:r>
      </w:hyperlink>
      <w:r>
        <w:t xml:space="preserve"> .</w:t>
      </w:r>
    </w:p>
  </w:footnote>
  <w:footnote w:id="20">
    <w:p>
      <w:pPr>
        <w:pStyle w:val="FootnoteText"/>
        <w:tabs>
          <w:tab w:val="left" w:pos="709"/>
        </w:tabs>
      </w:pPr>
      <w:r>
        <w:rPr>
          <w:rStyle w:val="FootnoteReference"/>
        </w:rPr>
        <w:footnoteRef/>
      </w:r>
      <w:r>
        <w:tab/>
        <w:t>https://ec.europa.eu/info/law/better-regulation/initiatives/ares-2017-3132069_en.</w:t>
      </w:r>
    </w:p>
  </w:footnote>
  <w:footnote w:id="21">
    <w:p>
      <w:pPr>
        <w:pStyle w:val="FootnoteText"/>
      </w:pPr>
      <w:r>
        <w:rPr>
          <w:rStyle w:val="FootnoteReference"/>
        </w:rPr>
        <w:footnoteRef/>
      </w:r>
      <w:r>
        <w:tab/>
        <w:t>Morningstar tillhandahåller investeringsdata.</w:t>
      </w:r>
    </w:p>
  </w:footnote>
  <w:footnote w:id="22">
    <w:p>
      <w:pPr>
        <w:pStyle w:val="FootnoteText"/>
        <w:tabs>
          <w:tab w:val="left" w:pos="709"/>
        </w:tabs>
      </w:pPr>
      <w:r>
        <w:rPr>
          <w:rStyle w:val="FootnoteReference"/>
        </w:rPr>
        <w:footnoteRef/>
      </w:r>
      <w:r>
        <w:tab/>
        <w:t>Yttrande från konsekvensbedömningsnämnden SEC(2018)129 final.</w:t>
      </w:r>
    </w:p>
  </w:footnote>
  <w:footnote w:id="23">
    <w:p>
      <w:pPr>
        <w:pStyle w:val="FootnoteText"/>
      </w:pPr>
      <w:r>
        <w:rPr>
          <w:rStyle w:val="FootnoteReference"/>
        </w:rPr>
        <w:footnoteRef/>
      </w:r>
      <w:r>
        <w:tab/>
        <w:t>Konsekvensbedömningsrapporten och sammanfattningen, SWD(2018)54 final och SWD(2018)55 final.</w:t>
      </w:r>
    </w:p>
  </w:footnote>
  <w:footnote w:id="24">
    <w:p>
      <w:pPr>
        <w:pStyle w:val="FootnoteText"/>
        <w:rPr>
          <w:lang w:val="fr-BE"/>
        </w:rPr>
      </w:pPr>
      <w:r>
        <w:rPr>
          <w:rStyle w:val="FootnoteReference"/>
        </w:rPr>
        <w:footnoteRef/>
      </w:r>
      <w:r>
        <w:rPr>
          <w:lang w:val="fr-BE"/>
        </w:rPr>
        <w:tab/>
        <w:t>EUT C […], […], s. […].</w:t>
      </w:r>
    </w:p>
  </w:footnote>
  <w:footnote w:id="25">
    <w:p>
      <w:pPr>
        <w:pStyle w:val="FootnoteText"/>
        <w:rPr>
          <w:lang w:val="fr-BE"/>
        </w:rPr>
      </w:pPr>
      <w:r>
        <w:rPr>
          <w:rStyle w:val="FootnoteReference"/>
        </w:rPr>
        <w:footnoteRef/>
      </w:r>
      <w:r>
        <w:rPr>
          <w:lang w:val="fr-BE"/>
        </w:rPr>
        <w:tab/>
        <w:t>EUT C , , s. .</w:t>
      </w:r>
    </w:p>
  </w:footnote>
  <w:footnote w:id="26">
    <w:p>
      <w:pPr>
        <w:pStyle w:val="FootnoteText"/>
      </w:pPr>
      <w:r>
        <w:rPr>
          <w:rStyle w:val="FootnoteReference"/>
        </w:rPr>
        <w:footnoteRef/>
      </w:r>
      <w:r>
        <w:tab/>
        <w:t>Europaparlamentets och rådets direktiv 2009/65/EG av den 13 juli 2009 om samordning av lagar och andra författningar som avser företag för kollektiva investeringar i överlåtbara värdepapper (fondföretag) (EUT L 302, 17.11.2009, s. 32).</w:t>
      </w:r>
    </w:p>
  </w:footnote>
  <w:footnote w:id="27">
    <w:p>
      <w:pPr>
        <w:pStyle w:val="FootnoteText"/>
      </w:pPr>
      <w:r>
        <w:rPr>
          <w:rStyle w:val="FootnoteReference"/>
        </w:rPr>
        <w:footnoteRef/>
      </w:r>
      <w:r>
        <w:tab/>
        <w:t>Europaparlamentets och rådets direktiv 2011/61/EU av den 8 juni 2011 om förvaltare av alternativa investeringsfonder (EUT L 174, 1.7.2011, s. 1).</w:t>
      </w:r>
    </w:p>
  </w:footnote>
  <w:footnote w:id="28">
    <w:p>
      <w:pPr>
        <w:pStyle w:val="FootnoteText"/>
      </w:pPr>
      <w:r>
        <w:rPr>
          <w:rStyle w:val="FootnoteReference"/>
        </w:rPr>
        <w:footnoteRef/>
      </w:r>
      <w:r>
        <w:tab/>
        <w:t>EUT C 369, 17.12.2011, s. 14.</w:t>
      </w:r>
    </w:p>
  </w:footnote>
  <w:footnote w:id="29">
    <w:p>
      <w:pPr>
        <w:pStyle w:val="FootnoteText"/>
      </w:pPr>
      <w:r>
        <w:rPr>
          <w:rStyle w:val="FootnoteReference"/>
        </w:rPr>
        <w:footnoteRef/>
      </w:r>
      <w:r>
        <w:tab/>
        <w:t>Europaparlamentets och rådets förordning (EU) 2015/760 av den 29 april 2015 om europeiska långsiktiga investeringsfonder (EUT L 123, 19.5.2015, s.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DBE8B6E"/>
    <w:lvl w:ilvl="0">
      <w:start w:val="1"/>
      <w:numFmt w:val="decimal"/>
      <w:pStyle w:val="ListNumber3"/>
      <w:lvlText w:val="%1."/>
      <w:lvlJc w:val="left"/>
      <w:pPr>
        <w:tabs>
          <w:tab w:val="num" w:pos="926"/>
        </w:tabs>
        <w:ind w:left="926" w:hanging="360"/>
      </w:pPr>
    </w:lvl>
  </w:abstractNum>
  <w:abstractNum w:abstractNumId="2">
    <w:nsid w:val="FFFFFF7F"/>
    <w:multiLevelType w:val="singleLevel"/>
    <w:tmpl w:val="0902DF5A"/>
    <w:lvl w:ilvl="0">
      <w:start w:val="1"/>
      <w:numFmt w:val="decimal"/>
      <w:pStyle w:val="ListNumber2"/>
      <w:lvlText w:val="%1."/>
      <w:lvlJc w:val="left"/>
      <w:pPr>
        <w:tabs>
          <w:tab w:val="num" w:pos="643"/>
        </w:tabs>
        <w:ind w:left="643" w:hanging="360"/>
      </w:pPr>
    </w:lvl>
  </w:abstractNum>
  <w:abstractNum w:abstractNumId="3">
    <w:nsid w:val="FFFFFF81"/>
    <w:multiLevelType w:val="singleLevel"/>
    <w:tmpl w:val="F314CBC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3B4A15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48CDE7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AF42124"/>
    <w:lvl w:ilvl="0">
      <w:start w:val="1"/>
      <w:numFmt w:val="decimal"/>
      <w:pStyle w:val="ListNumber"/>
      <w:lvlText w:val="%1."/>
      <w:lvlJc w:val="left"/>
      <w:pPr>
        <w:tabs>
          <w:tab w:val="num" w:pos="360"/>
        </w:tabs>
        <w:ind w:left="360" w:hanging="360"/>
      </w:pPr>
    </w:lvl>
  </w:abstractNum>
  <w:abstractNum w:abstractNumId="7">
    <w:nsid w:val="FFFFFF89"/>
    <w:multiLevelType w:val="singleLevel"/>
    <w:tmpl w:val="DC4E208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2"/>
  </w:num>
  <w:num w:numId="23">
    <w:abstractNumId w:val="20"/>
  </w:num>
  <w:num w:numId="24">
    <w:abstractNumId w:val="11"/>
  </w:num>
  <w:num w:numId="25">
    <w:abstractNumId w:val="13"/>
  </w:num>
  <w:num w:numId="26">
    <w:abstractNumId w:val="9"/>
  </w:num>
  <w:num w:numId="27">
    <w:abstractNumId w:val="19"/>
  </w:num>
  <w:num w:numId="28">
    <w:abstractNumId w:val="8"/>
  </w:num>
  <w:num w:numId="29">
    <w:abstractNumId w:val="14"/>
  </w:num>
  <w:num w:numId="30">
    <w:abstractNumId w:val="16"/>
  </w:num>
  <w:num w:numId="31">
    <w:abstractNumId w:val="17"/>
  </w:num>
  <w:num w:numId="32">
    <w:abstractNumId w:val="10"/>
  </w:num>
  <w:num w:numId="33">
    <w:abstractNumId w:val="15"/>
  </w:num>
  <w:num w:numId="34">
    <w:abstractNumId w:val="21"/>
  </w:num>
  <w:num w:numId="35">
    <w:abstractNumId w:val="18"/>
  </w:num>
  <w:num w:numId="36">
    <w:abstractNumId w:val="12"/>
  </w:num>
  <w:num w:numId="37">
    <w:abstractNumId w:val="20"/>
  </w:num>
  <w:num w:numId="38">
    <w:abstractNumId w:val="11"/>
  </w:num>
  <w:num w:numId="39">
    <w:abstractNumId w:val="13"/>
  </w:num>
  <w:num w:numId="40">
    <w:abstractNumId w:val="9"/>
  </w:num>
  <w:num w:numId="41">
    <w:abstractNumId w:val="19"/>
  </w:num>
  <w:num w:numId="42">
    <w:abstractNumId w:val="8"/>
  </w:num>
  <w:num w:numId="43">
    <w:abstractNumId w:val="14"/>
  </w:num>
  <w:num w:numId="44">
    <w:abstractNumId w:val="16"/>
  </w:num>
  <w:num w:numId="45">
    <w:abstractNumId w:val="17"/>
  </w:num>
  <w:num w:numId="46">
    <w:abstractNumId w:val="10"/>
  </w:num>
  <w:num w:numId="47">
    <w:abstractNumId w:val="15"/>
  </w:num>
  <w:num w:numId="48">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15 08:07:24"/>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972A191-F9A1-41E6-B94A-984FD39B87A5"/>
    <w:docVar w:name="LW_COVERPAGE_TYPE" w:val="1"/>
    <w:docVar w:name="LW_CROSSREFERENCE" w:val="{SWD(2018) 54}_x000a_{SWD(2018) 55}"/>
    <w:docVar w:name="LW_DocType" w:val="COM"/>
    <w:docVar w:name="LW_EMISSION" w:val="12.3.2018"/>
    <w:docVar w:name="LW_EMISSION_ISODATE" w:val="2018-03-12"/>
    <w:docVar w:name="LW_EMISSION_LOCATION" w:val="BRX"/>
    <w:docVar w:name="LW_EMISSION_PREFIX" w:val="Bryssel den "/>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Text av betydelse för EES)"/>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COD"/>
    <w:docVar w:name="LW_REF.II.NEW.CP_NUMBER" w:val="0041"/>
    <w:docVar w:name="LW_REF.II.NEW.CP_YEAR" w:val="2018"/>
    <w:docVar w:name="LW_REF.INST.NEW" w:val="COM"/>
    <w:docVar w:name="LW_REF.INST.NEW_ADOPTED" w:val="final"/>
    <w:docVar w:name="LW_REF.INST.NEW_TEXT" w:val="(2018) 9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örslag till"/>
    <w:docVar w:name="LW_SUPERTITRE" w:val="&lt;UNUSED&gt;"/>
    <w:docVar w:name="LW_TITRE.OBJ.CP" w:val=" om ändring av Europaparlamentets och rådets direktiv 2009/65/EG och av Europaparlamentets och rådets direktiv 2011/61/EU avseende gränsöverskridande distribution av kollektiva investeringsfonder"/>
    <w:docVar w:name="LW_TYPE.DOC.CP" w:val="EUROPAPARLAMENTETS OCH RÅDETS DIREKTIV"/>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v-S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character" w:customStyle="1" w:styleId="update1">
    <w:name w:val="update1"/>
    <w:basedOn w:val="DefaultParagraphFont"/>
    <w:rPr>
      <w:color w:val="006666"/>
    </w:rPr>
  </w:style>
  <w:style w:type="character" w:customStyle="1" w:styleId="bold1">
    <w:name w:val="bold1"/>
    <w:basedOn w:val="DefaultParagraphFont"/>
    <w:rPr>
      <w:b/>
      <w:bC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v-S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character" w:customStyle="1" w:styleId="update1">
    <w:name w:val="update1"/>
    <w:basedOn w:val="DefaultParagraphFont"/>
    <w:rPr>
      <w:color w:val="006666"/>
    </w:rPr>
  </w:style>
  <w:style w:type="character" w:customStyle="1" w:styleId="bold1">
    <w:name w:val="bold1"/>
    <w:basedOn w:val="DefaultParagraphFont"/>
    <w:rPr>
      <w:b/>
      <w:bC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8785">
      <w:bodyDiv w:val="1"/>
      <w:marLeft w:val="0"/>
      <w:marRight w:val="0"/>
      <w:marTop w:val="0"/>
      <w:marBottom w:val="0"/>
      <w:divBdr>
        <w:top w:val="none" w:sz="0" w:space="0" w:color="auto"/>
        <w:left w:val="none" w:sz="0" w:space="0" w:color="auto"/>
        <w:bottom w:val="none" w:sz="0" w:space="0" w:color="auto"/>
        <w:right w:val="none" w:sz="0" w:space="0" w:color="auto"/>
      </w:divBdr>
    </w:div>
    <w:div w:id="185562570">
      <w:bodyDiv w:val="1"/>
      <w:marLeft w:val="0"/>
      <w:marRight w:val="0"/>
      <w:marTop w:val="0"/>
      <w:marBottom w:val="0"/>
      <w:divBdr>
        <w:top w:val="none" w:sz="0" w:space="0" w:color="auto"/>
        <w:left w:val="none" w:sz="0" w:space="0" w:color="auto"/>
        <w:bottom w:val="none" w:sz="0" w:space="0" w:color="auto"/>
        <w:right w:val="none" w:sz="0" w:space="0" w:color="auto"/>
      </w:divBdr>
    </w:div>
    <w:div w:id="850031571">
      <w:bodyDiv w:val="1"/>
      <w:marLeft w:val="0"/>
      <w:marRight w:val="0"/>
      <w:marTop w:val="0"/>
      <w:marBottom w:val="0"/>
      <w:divBdr>
        <w:top w:val="none" w:sz="0" w:space="0" w:color="auto"/>
        <w:left w:val="none" w:sz="0" w:space="0" w:color="auto"/>
        <w:bottom w:val="none" w:sz="0" w:space="0" w:color="auto"/>
        <w:right w:val="none" w:sz="0" w:space="0" w:color="auto"/>
      </w:divBdr>
    </w:div>
    <w:div w:id="1423062326">
      <w:bodyDiv w:val="1"/>
      <w:marLeft w:val="0"/>
      <w:marRight w:val="0"/>
      <w:marTop w:val="0"/>
      <w:marBottom w:val="0"/>
      <w:divBdr>
        <w:top w:val="none" w:sz="0" w:space="0" w:color="auto"/>
        <w:left w:val="none" w:sz="0" w:space="0" w:color="auto"/>
        <w:bottom w:val="none" w:sz="0" w:space="0" w:color="auto"/>
        <w:right w:val="none" w:sz="0" w:space="0" w:color="auto"/>
      </w:divBdr>
    </w:div>
    <w:div w:id="1648245094">
      <w:bodyDiv w:val="1"/>
      <w:marLeft w:val="0"/>
      <w:marRight w:val="0"/>
      <w:marTop w:val="0"/>
      <w:marBottom w:val="0"/>
      <w:divBdr>
        <w:top w:val="none" w:sz="0" w:space="0" w:color="auto"/>
        <w:left w:val="none" w:sz="0" w:space="0" w:color="auto"/>
        <w:bottom w:val="none" w:sz="0" w:space="0" w:color="auto"/>
        <w:right w:val="none" w:sz="0" w:space="0" w:color="auto"/>
      </w:divBdr>
    </w:div>
    <w:div w:id="195127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info/publications/consultation-cross-border-distribution-investment-funds_en" TargetMode="External"/><Relationship Id="rId1" Type="http://schemas.openxmlformats.org/officeDocument/2006/relationships/hyperlink" Target="https://ec.europa.eu/info/publications/consultation-cross-border-distribution-investment-funds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21147-A6D9-4F77-B9FE-C130449D4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21</Pages>
  <Words>7194</Words>
  <Characters>46478</Characters>
  <Application>Microsoft Office Word</Application>
  <DocSecurity>0</DocSecurity>
  <Lines>761</Lines>
  <Paragraphs>258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2018-03-14T08:35:00Z</dcterms:created>
  <dcterms:modified xsi:type="dcterms:W3CDTF">2018-03-15T07:07:00Z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SJ-024</vt:lpwstr>
  </property>
  <property fmtid="{D5CDD505-2E9C-101B-9397-08002B2CF9AE}" pid="8" name="DQCStatus">
    <vt:lpwstr>Green (DQC version 03)</vt:lpwstr>
  </property>
</Properties>
</file>