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61F503B-FEE8-4088-B6A1-3CB9B4B5BCF5" style="width:450.4pt;height:474.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b/>
          <w:noProof/>
          <w:szCs w:val="24"/>
        </w:rPr>
      </w:pPr>
      <w:bookmarkStart w:id="1" w:name="_GoBack"/>
      <w:bookmarkEnd w:id="1"/>
      <w:r>
        <w:rPr>
          <w:b/>
          <w:noProof/>
        </w:rPr>
        <w:lastRenderedPageBreak/>
        <w:t>Bilaga – Arbetsplan för initiativen i handlingsplanen om finansteknik</w:t>
      </w:r>
    </w:p>
    <w:p>
      <w:pPr>
        <w:rPr>
          <w:noProof/>
          <w:szCs w:val="24"/>
        </w:rPr>
      </w:pPr>
      <w:r>
        <w:rPr>
          <w:noProof/>
        </w:rPr>
        <w:t xml:space="preserve">Denna bilaga ger en översikt av initiativen i handlingsplanen för finansteknik.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000" w:firstRow="0" w:lastRow="0" w:firstColumn="0" w:lastColumn="0" w:noHBand="0" w:noVBand="0"/>
      </w:tblPr>
      <w:tblGrid>
        <w:gridCol w:w="946"/>
        <w:gridCol w:w="1889"/>
        <w:gridCol w:w="4536"/>
        <w:gridCol w:w="1418"/>
      </w:tblGrid>
      <w:tr>
        <w:trPr>
          <w:trHeight w:val="526"/>
        </w:trPr>
        <w:tc>
          <w:tcPr>
            <w:tcW w:w="8789" w:type="dxa"/>
            <w:gridSpan w:val="4"/>
            <w:shd w:val="clear" w:color="auto" w:fill="0070C0"/>
          </w:tcPr>
          <w:p>
            <w:pPr>
              <w:spacing w:before="120" w:after="120"/>
              <w:rPr>
                <w:b/>
                <w:noProof/>
                <w:color w:val="FFFFFF" w:themeColor="background1"/>
                <w:szCs w:val="24"/>
              </w:rPr>
            </w:pPr>
            <w:r>
              <w:rPr>
                <w:b/>
                <w:noProof/>
                <w:color w:val="FFFFFF" w:themeColor="background1"/>
              </w:rPr>
              <w:t>MÖJLIGGÖRA INNOVATIVA AFFÄRSMODELLER PÅ EU-NIVÅ</w:t>
            </w:r>
          </w:p>
        </w:tc>
      </w:tr>
      <w:tr>
        <w:trPr>
          <w:trHeight w:val="851"/>
        </w:trPr>
        <w:tc>
          <w:tcPr>
            <w:tcW w:w="946" w:type="dxa"/>
            <w:vMerge w:val="restart"/>
            <w:shd w:val="clear" w:color="auto" w:fill="auto"/>
            <w:vAlign w:val="center"/>
          </w:tcPr>
          <w:p>
            <w:pPr>
              <w:jc w:val="center"/>
              <w:rPr>
                <w:b/>
                <w:noProof/>
                <w:sz w:val="20"/>
              </w:rPr>
            </w:pPr>
            <w:r>
              <w:rPr>
                <w:b/>
                <w:noProof/>
                <w:sz w:val="20"/>
              </w:rPr>
              <w:t>Ruta 1</w:t>
            </w:r>
          </w:p>
        </w:tc>
        <w:tc>
          <w:tcPr>
            <w:tcW w:w="1889" w:type="dxa"/>
            <w:vMerge w:val="restart"/>
            <w:shd w:val="clear" w:color="auto" w:fill="auto"/>
            <w:vAlign w:val="center"/>
          </w:tcPr>
          <w:p>
            <w:pPr>
              <w:jc w:val="left"/>
              <w:rPr>
                <w:b/>
                <w:noProof/>
                <w:sz w:val="20"/>
              </w:rPr>
            </w:pPr>
            <w:r>
              <w:rPr>
                <w:b/>
                <w:noProof/>
                <w:sz w:val="20"/>
              </w:rPr>
              <w:t>Tydliga och enhetliga tillståndskrav för fintech-företag.</w:t>
            </w:r>
          </w:p>
        </w:tc>
        <w:tc>
          <w:tcPr>
            <w:tcW w:w="4536" w:type="dxa"/>
            <w:shd w:val="clear" w:color="auto" w:fill="auto"/>
          </w:tcPr>
          <w:p>
            <w:pPr>
              <w:rPr>
                <w:noProof/>
                <w:sz w:val="20"/>
              </w:rPr>
            </w:pPr>
            <w:r>
              <w:rPr>
                <w:noProof/>
                <w:sz w:val="20"/>
              </w:rPr>
              <w:t>Kommissionen lägger fram ett förslag till EU</w:t>
            </w:r>
            <w:r>
              <w:rPr>
                <w:noProof/>
              </w:rPr>
              <w:t>-</w:t>
            </w:r>
            <w:r>
              <w:rPr>
                <w:noProof/>
                <w:sz w:val="20"/>
              </w:rPr>
              <w:t xml:space="preserve">förordning om investerings- och lånebaserade gräsrotsfinansieringstjänsteleverantörer för näringslivet. </w:t>
            </w:r>
          </w:p>
        </w:tc>
        <w:tc>
          <w:tcPr>
            <w:tcW w:w="1418" w:type="dxa"/>
            <w:shd w:val="clear" w:color="auto" w:fill="auto"/>
            <w:vAlign w:val="center"/>
          </w:tcPr>
          <w:p>
            <w:pPr>
              <w:jc w:val="center"/>
              <w:rPr>
                <w:noProof/>
                <w:sz w:val="20"/>
              </w:rPr>
            </w:pPr>
            <w:r>
              <w:rPr>
                <w:noProof/>
                <w:sz w:val="20"/>
              </w:rPr>
              <w:t>Första kvartalet 2018</w:t>
            </w:r>
          </w:p>
        </w:tc>
      </w:tr>
      <w:tr>
        <w:trPr>
          <w:trHeight w:val="2754"/>
        </w:trPr>
        <w:tc>
          <w:tcPr>
            <w:tcW w:w="946" w:type="dxa"/>
            <w:vMerge/>
            <w:shd w:val="clear" w:color="auto" w:fill="auto"/>
            <w:vAlign w:val="center"/>
          </w:tcPr>
          <w:p>
            <w:pPr>
              <w:jc w:val="center"/>
              <w:rPr>
                <w:b/>
                <w:noProof/>
                <w:sz w:val="20"/>
              </w:rPr>
            </w:pPr>
          </w:p>
        </w:tc>
        <w:tc>
          <w:tcPr>
            <w:tcW w:w="1889" w:type="dxa"/>
            <w:vMerge/>
            <w:shd w:val="clear" w:color="auto" w:fill="auto"/>
          </w:tcPr>
          <w:p>
            <w:pPr>
              <w:jc w:val="left"/>
              <w:rPr>
                <w:noProof/>
                <w:sz w:val="20"/>
              </w:rPr>
            </w:pPr>
          </w:p>
        </w:tc>
        <w:tc>
          <w:tcPr>
            <w:tcW w:w="4536" w:type="dxa"/>
            <w:shd w:val="clear" w:color="auto" w:fill="auto"/>
          </w:tcPr>
          <w:p>
            <w:pPr>
              <w:rPr>
                <w:noProof/>
                <w:sz w:val="20"/>
              </w:rPr>
            </w:pPr>
            <w:r>
              <w:rPr>
                <w:noProof/>
                <w:sz w:val="20"/>
              </w:rPr>
              <w:t>Kommissionen uppmanar de europeiska tillsynsmyndigheterna att kartlägga de nuvarande auktoriserings- och tillståndsstrategierna för innovativa fintech-affärsmodeller. De bör särskilt undersöka hur proportionalitets- och flexibilitetsbestämmelserna i lagstiftningen om finansiella tjänster tillämpas av de nationella myndigheterna. I tillämpliga fall bör de europeiska tillsynsmyndigheterna utfärda riktlinjer om strategier och förfaranden eller lämna rekommendationer till kommissionen om behovet av att anpassa EU:s lagstiftning om finansiella tjänster.</w:t>
            </w:r>
          </w:p>
        </w:tc>
        <w:tc>
          <w:tcPr>
            <w:tcW w:w="1418" w:type="dxa"/>
            <w:shd w:val="clear" w:color="auto" w:fill="auto"/>
            <w:vAlign w:val="center"/>
          </w:tcPr>
          <w:p>
            <w:pPr>
              <w:jc w:val="center"/>
              <w:rPr>
                <w:noProof/>
                <w:sz w:val="20"/>
              </w:rPr>
            </w:pPr>
            <w:r>
              <w:rPr>
                <w:noProof/>
                <w:sz w:val="20"/>
              </w:rPr>
              <w:t>Första kvartalet 2019</w:t>
            </w:r>
          </w:p>
        </w:tc>
      </w:tr>
      <w:tr>
        <w:trPr>
          <w:trHeight w:val="472"/>
        </w:trPr>
        <w:tc>
          <w:tcPr>
            <w:tcW w:w="946" w:type="dxa"/>
            <w:vMerge/>
            <w:shd w:val="clear" w:color="auto" w:fill="auto"/>
            <w:vAlign w:val="center"/>
          </w:tcPr>
          <w:p>
            <w:pPr>
              <w:jc w:val="left"/>
              <w:rPr>
                <w:b/>
                <w:noProof/>
                <w:sz w:val="20"/>
              </w:rPr>
            </w:pPr>
          </w:p>
        </w:tc>
        <w:tc>
          <w:tcPr>
            <w:tcW w:w="1889" w:type="dxa"/>
            <w:vMerge/>
            <w:shd w:val="clear" w:color="auto" w:fill="auto"/>
          </w:tcPr>
          <w:p>
            <w:pPr>
              <w:jc w:val="left"/>
              <w:rPr>
                <w:noProof/>
                <w:sz w:val="20"/>
              </w:rPr>
            </w:pPr>
          </w:p>
        </w:tc>
        <w:tc>
          <w:tcPr>
            <w:tcW w:w="4536" w:type="dxa"/>
            <w:shd w:val="clear" w:color="auto" w:fill="auto"/>
          </w:tcPr>
          <w:p>
            <w:pPr>
              <w:rPr>
                <w:noProof/>
                <w:sz w:val="20"/>
              </w:rPr>
            </w:pPr>
            <w:r>
              <w:rPr>
                <w:noProof/>
                <w:sz w:val="20"/>
              </w:rPr>
              <w:t>Under 2018 kommer kommissionen att fortsätta att övervaka utvecklingen av kryptovalutor och ICO-erbjudanden tillsammans med de europeiska tillsynsmyndigheterna, ECB, FSB och andra internationella normgivare.  Baserat på bedömningen av risker, möjligheter och det gällande regelverkets lämplighet kommer kommissionen att bedöma huruvida det krävs lagstiftningsåtgärder på EU-nivå.</w:t>
            </w:r>
          </w:p>
        </w:tc>
        <w:tc>
          <w:tcPr>
            <w:tcW w:w="1418" w:type="dxa"/>
            <w:shd w:val="clear" w:color="auto" w:fill="auto"/>
            <w:vAlign w:val="center"/>
          </w:tcPr>
          <w:p>
            <w:pPr>
              <w:jc w:val="center"/>
              <w:rPr>
                <w:noProof/>
                <w:sz w:val="20"/>
              </w:rPr>
            </w:pPr>
            <w:r>
              <w:rPr>
                <w:noProof/>
                <w:sz w:val="20"/>
              </w:rPr>
              <w:t>Senast fjärde kvartalet 2018</w:t>
            </w:r>
          </w:p>
        </w:tc>
      </w:tr>
      <w:tr>
        <w:trPr>
          <w:trHeight w:val="1051"/>
        </w:trPr>
        <w:tc>
          <w:tcPr>
            <w:tcW w:w="946" w:type="dxa"/>
            <w:vMerge w:val="restart"/>
            <w:shd w:val="clear" w:color="auto" w:fill="auto"/>
            <w:vAlign w:val="center"/>
          </w:tcPr>
          <w:p>
            <w:pPr>
              <w:jc w:val="left"/>
              <w:rPr>
                <w:b/>
                <w:noProof/>
                <w:sz w:val="20"/>
              </w:rPr>
            </w:pPr>
            <w:r>
              <w:rPr>
                <w:b/>
                <w:noProof/>
                <w:sz w:val="20"/>
              </w:rPr>
              <w:t>Ruta 2</w:t>
            </w:r>
          </w:p>
        </w:tc>
        <w:tc>
          <w:tcPr>
            <w:tcW w:w="1889" w:type="dxa"/>
            <w:vMerge w:val="restart"/>
            <w:shd w:val="clear" w:color="auto" w:fill="auto"/>
            <w:vAlign w:val="center"/>
          </w:tcPr>
          <w:p>
            <w:pPr>
              <w:jc w:val="left"/>
              <w:rPr>
                <w:b/>
                <w:noProof/>
                <w:sz w:val="20"/>
              </w:rPr>
            </w:pPr>
            <w:r>
              <w:rPr>
                <w:b/>
                <w:noProof/>
                <w:sz w:val="20"/>
              </w:rPr>
              <w:t>Gemensamma standarder och driftskompatibla lösningar för fintech</w:t>
            </w:r>
          </w:p>
        </w:tc>
        <w:tc>
          <w:tcPr>
            <w:tcW w:w="4536" w:type="dxa"/>
            <w:shd w:val="clear" w:color="auto" w:fill="auto"/>
          </w:tcPr>
          <w:p>
            <w:pPr>
              <w:pStyle w:val="Text1"/>
              <w:ind w:left="0"/>
              <w:rPr>
                <w:noProof/>
                <w:sz w:val="20"/>
              </w:rPr>
            </w:pPr>
            <w:r>
              <w:rPr>
                <w:noProof/>
                <w:sz w:val="20"/>
              </w:rPr>
              <w:t xml:space="preserve">Kommissionen kommer att bidra till att utforma mer samordnade metoder för utveckling av fintech-standarder genom att samarbeta med viktiga standardiseringsorgan, såsom Europeiska standardiseringskommittén och Internationella standardiseringsorganisationen, även inom blockkedjeområdet.  </w:t>
            </w:r>
          </w:p>
        </w:tc>
        <w:tc>
          <w:tcPr>
            <w:tcW w:w="1418" w:type="dxa"/>
            <w:shd w:val="clear" w:color="auto" w:fill="auto"/>
            <w:vAlign w:val="center"/>
          </w:tcPr>
          <w:p>
            <w:pPr>
              <w:jc w:val="center"/>
              <w:rPr>
                <w:noProof/>
                <w:sz w:val="20"/>
                <w:highlight w:val="yellow"/>
              </w:rPr>
            </w:pPr>
            <w:r>
              <w:rPr>
                <w:noProof/>
                <w:sz w:val="20"/>
              </w:rPr>
              <w:t>Fjärde kvartalet 2018</w:t>
            </w:r>
          </w:p>
        </w:tc>
      </w:tr>
      <w:tr>
        <w:trPr>
          <w:trHeight w:val="288"/>
        </w:trPr>
        <w:tc>
          <w:tcPr>
            <w:tcW w:w="946" w:type="dxa"/>
            <w:vMerge/>
            <w:shd w:val="clear" w:color="auto" w:fill="auto"/>
            <w:vAlign w:val="center"/>
          </w:tcPr>
          <w:p>
            <w:pPr>
              <w:jc w:val="left"/>
              <w:rPr>
                <w:b/>
                <w:noProof/>
                <w:sz w:val="20"/>
              </w:rPr>
            </w:pPr>
          </w:p>
        </w:tc>
        <w:tc>
          <w:tcPr>
            <w:tcW w:w="1889" w:type="dxa"/>
            <w:vMerge/>
            <w:shd w:val="clear" w:color="auto" w:fill="auto"/>
          </w:tcPr>
          <w:p>
            <w:pPr>
              <w:jc w:val="left"/>
              <w:rPr>
                <w:b/>
                <w:noProof/>
                <w:sz w:val="20"/>
              </w:rPr>
            </w:pPr>
          </w:p>
        </w:tc>
        <w:tc>
          <w:tcPr>
            <w:tcW w:w="4536" w:type="dxa"/>
            <w:shd w:val="clear" w:color="auto" w:fill="auto"/>
          </w:tcPr>
          <w:p>
            <w:pPr>
              <w:pStyle w:val="Text1"/>
              <w:ind w:left="0"/>
              <w:rPr>
                <w:bCs/>
                <w:noProof/>
                <w:sz w:val="20"/>
              </w:rPr>
            </w:pPr>
            <w:r>
              <w:rPr>
                <w:noProof/>
                <w:sz w:val="20"/>
              </w:rPr>
              <w:t xml:space="preserve">Kommissionen uppmuntrar och kommer att stödja gemensamma insatser från marknadsaktörerna för att till mitten av 2019 utveckla standardiserade gränssnitt för applikationsprogrammering som är förenliga med direktivet om betaltjänster och den allmänna dataskyddsförordningen, som en grund för ett europeiskt öppet bankekosystem som omfattar betalkonton och andra typer av konton. </w:t>
            </w:r>
          </w:p>
        </w:tc>
        <w:tc>
          <w:tcPr>
            <w:tcW w:w="1418" w:type="dxa"/>
            <w:shd w:val="clear" w:color="auto" w:fill="auto"/>
            <w:vAlign w:val="center"/>
          </w:tcPr>
          <w:p>
            <w:pPr>
              <w:jc w:val="center"/>
              <w:rPr>
                <w:noProof/>
                <w:sz w:val="20"/>
                <w:highlight w:val="yellow"/>
              </w:rPr>
            </w:pPr>
            <w:r>
              <w:rPr>
                <w:noProof/>
                <w:sz w:val="20"/>
              </w:rPr>
              <w:t>Andra kvartalet 2019</w:t>
            </w:r>
          </w:p>
        </w:tc>
      </w:tr>
      <w:tr>
        <w:trPr>
          <w:trHeight w:val="594"/>
        </w:trPr>
        <w:tc>
          <w:tcPr>
            <w:tcW w:w="946" w:type="dxa"/>
            <w:vMerge w:val="restart"/>
            <w:shd w:val="clear" w:color="auto" w:fill="auto"/>
            <w:vAlign w:val="bottom"/>
          </w:tcPr>
          <w:p>
            <w:pPr>
              <w:jc w:val="left"/>
              <w:rPr>
                <w:b/>
                <w:noProof/>
                <w:sz w:val="20"/>
              </w:rPr>
            </w:pPr>
            <w:r>
              <w:rPr>
                <w:b/>
                <w:noProof/>
                <w:sz w:val="20"/>
              </w:rPr>
              <w:t>Ruta 3</w:t>
            </w:r>
          </w:p>
          <w:p>
            <w:pPr>
              <w:jc w:val="left"/>
              <w:rPr>
                <w:b/>
                <w:noProof/>
                <w:sz w:val="20"/>
              </w:rPr>
            </w:pPr>
          </w:p>
        </w:tc>
        <w:tc>
          <w:tcPr>
            <w:tcW w:w="1889" w:type="dxa"/>
            <w:vMerge w:val="restart"/>
            <w:shd w:val="clear" w:color="auto" w:fill="auto"/>
            <w:vAlign w:val="center"/>
          </w:tcPr>
          <w:p>
            <w:pPr>
              <w:jc w:val="left"/>
              <w:rPr>
                <w:b/>
                <w:noProof/>
                <w:sz w:val="20"/>
              </w:rPr>
            </w:pPr>
          </w:p>
          <w:p>
            <w:pPr>
              <w:jc w:val="left"/>
              <w:rPr>
                <w:b/>
                <w:noProof/>
                <w:sz w:val="20"/>
              </w:rPr>
            </w:pPr>
            <w:r>
              <w:rPr>
                <w:b/>
                <w:noProof/>
                <w:sz w:val="20"/>
              </w:rPr>
              <w:t>Möjliggöra genomförandet av innovativa affärsmodeller på EU-nivå genom innovationssamord</w:t>
            </w:r>
            <w:r>
              <w:rPr>
                <w:b/>
                <w:noProof/>
                <w:sz w:val="20"/>
              </w:rPr>
              <w:lastRenderedPageBreak/>
              <w:t xml:space="preserve">nare </w:t>
            </w:r>
          </w:p>
        </w:tc>
        <w:tc>
          <w:tcPr>
            <w:tcW w:w="4536" w:type="dxa"/>
            <w:shd w:val="clear" w:color="auto" w:fill="auto"/>
            <w:vAlign w:val="center"/>
          </w:tcPr>
          <w:p>
            <w:pPr>
              <w:jc w:val="left"/>
              <w:rPr>
                <w:noProof/>
                <w:sz w:val="20"/>
              </w:rPr>
            </w:pPr>
            <w:r>
              <w:rPr>
                <w:noProof/>
                <w:sz w:val="20"/>
              </w:rPr>
              <w:lastRenderedPageBreak/>
              <w:t>För att bygga vidare på de europeiska tillsynsmyndigheternas arbete med att kartlägga de fintech-samordnare som har inrättats av de nationella tillsynsmyndigheterna, uppmanar kommissionen de europeiska tillsynsmyndigheterna att utföra ytterligare analyser och identifiera bästa praxis, och vid behov utfärda riktlinjer om sådana samordnare.</w:t>
            </w:r>
          </w:p>
        </w:tc>
        <w:tc>
          <w:tcPr>
            <w:tcW w:w="1418" w:type="dxa"/>
            <w:shd w:val="clear" w:color="auto" w:fill="auto"/>
            <w:vAlign w:val="center"/>
          </w:tcPr>
          <w:p>
            <w:pPr>
              <w:jc w:val="center"/>
              <w:rPr>
                <w:noProof/>
                <w:sz w:val="20"/>
              </w:rPr>
            </w:pPr>
            <w:r>
              <w:rPr>
                <w:noProof/>
                <w:sz w:val="20"/>
              </w:rPr>
              <w:t>Fjärde kvartalet 2018</w:t>
            </w:r>
          </w:p>
        </w:tc>
      </w:tr>
      <w:tr>
        <w:trPr>
          <w:trHeight w:val="2124"/>
        </w:trPr>
        <w:tc>
          <w:tcPr>
            <w:tcW w:w="946" w:type="dxa"/>
            <w:vMerge/>
            <w:shd w:val="clear" w:color="auto" w:fill="auto"/>
            <w:vAlign w:val="center"/>
          </w:tcPr>
          <w:p>
            <w:pPr>
              <w:jc w:val="left"/>
              <w:rPr>
                <w:b/>
                <w:noProof/>
                <w:sz w:val="20"/>
              </w:rPr>
            </w:pPr>
          </w:p>
        </w:tc>
        <w:tc>
          <w:tcPr>
            <w:tcW w:w="1889" w:type="dxa"/>
            <w:vMerge/>
            <w:shd w:val="clear" w:color="auto" w:fill="auto"/>
          </w:tcPr>
          <w:p>
            <w:pPr>
              <w:jc w:val="left"/>
              <w:rPr>
                <w:b/>
                <w:noProof/>
                <w:sz w:val="20"/>
              </w:rPr>
            </w:pPr>
          </w:p>
        </w:tc>
        <w:tc>
          <w:tcPr>
            <w:tcW w:w="4536" w:type="dxa"/>
            <w:shd w:val="clear" w:color="auto" w:fill="auto"/>
          </w:tcPr>
          <w:p>
            <w:pPr>
              <w:rPr>
                <w:bCs/>
                <w:noProof/>
                <w:sz w:val="20"/>
              </w:rPr>
            </w:pPr>
            <w:r>
              <w:rPr>
                <w:noProof/>
                <w:sz w:val="20"/>
              </w:rPr>
              <w:t>Kommissionen uppmanar behöriga myndigheter i medlemsstaterna och på EU-nivå att ta initiativ för att underlätta innovation med utgångspunkt i den bästa praxis som identifierats. De europeiska tillsynsmyndigheterna uppmanas att underlätta tillsynssamarbetet, bland annat i fråga om samordning av och spridning av information om innovativa tekniker, inrättande och drift av innovationsnav och regulatoriska sandlådor samt konsekvent tillsynspraxis.</w:t>
            </w:r>
          </w:p>
        </w:tc>
        <w:tc>
          <w:tcPr>
            <w:tcW w:w="1418" w:type="dxa"/>
            <w:shd w:val="clear" w:color="auto" w:fill="auto"/>
            <w:vAlign w:val="center"/>
          </w:tcPr>
          <w:p>
            <w:pPr>
              <w:jc w:val="center"/>
              <w:rPr>
                <w:noProof/>
                <w:sz w:val="20"/>
                <w:highlight w:val="yellow"/>
              </w:rPr>
            </w:pPr>
            <w:r>
              <w:rPr>
                <w:noProof/>
                <w:sz w:val="20"/>
              </w:rPr>
              <w:t>Första kvartalet 2019</w:t>
            </w:r>
          </w:p>
        </w:tc>
      </w:tr>
      <w:tr>
        <w:trPr>
          <w:trHeight w:val="784"/>
        </w:trPr>
        <w:tc>
          <w:tcPr>
            <w:tcW w:w="946" w:type="dxa"/>
            <w:vMerge/>
            <w:shd w:val="clear" w:color="auto" w:fill="auto"/>
            <w:vAlign w:val="center"/>
          </w:tcPr>
          <w:p>
            <w:pPr>
              <w:jc w:val="left"/>
              <w:rPr>
                <w:b/>
                <w:noProof/>
                <w:sz w:val="20"/>
              </w:rPr>
            </w:pPr>
          </w:p>
        </w:tc>
        <w:tc>
          <w:tcPr>
            <w:tcW w:w="1889" w:type="dxa"/>
            <w:vMerge/>
            <w:shd w:val="clear" w:color="auto" w:fill="auto"/>
          </w:tcPr>
          <w:p>
            <w:pPr>
              <w:jc w:val="left"/>
              <w:rPr>
                <w:b/>
                <w:noProof/>
                <w:sz w:val="20"/>
              </w:rPr>
            </w:pPr>
          </w:p>
        </w:tc>
        <w:tc>
          <w:tcPr>
            <w:tcW w:w="4536" w:type="dxa"/>
            <w:shd w:val="clear" w:color="auto" w:fill="auto"/>
          </w:tcPr>
          <w:p>
            <w:pPr>
              <w:rPr>
                <w:bCs/>
                <w:noProof/>
                <w:sz w:val="20"/>
              </w:rPr>
            </w:pPr>
            <w:r>
              <w:rPr>
                <w:noProof/>
                <w:sz w:val="20"/>
              </w:rPr>
              <w:t>På grundval av de europeiska tillsynsmyndigheternas arbete kommer kommissionen att lägga fram en rapport om bästa praxis för regulatoriska sandlådor.</w:t>
            </w:r>
          </w:p>
        </w:tc>
        <w:tc>
          <w:tcPr>
            <w:tcW w:w="1418" w:type="dxa"/>
            <w:shd w:val="clear" w:color="auto" w:fill="auto"/>
            <w:vAlign w:val="center"/>
          </w:tcPr>
          <w:p>
            <w:pPr>
              <w:jc w:val="center"/>
              <w:rPr>
                <w:noProof/>
                <w:sz w:val="20"/>
                <w:highlight w:val="yellow"/>
              </w:rPr>
            </w:pPr>
            <w:r>
              <w:rPr>
                <w:noProof/>
                <w:sz w:val="20"/>
              </w:rPr>
              <w:t>Till första kvartalet 2019</w:t>
            </w:r>
          </w:p>
        </w:tc>
      </w:tr>
    </w:tbl>
    <w:p>
      <w:pPr>
        <w:jc w:val="left"/>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000" w:firstRow="0" w:lastRow="0" w:firstColumn="0" w:lastColumn="0" w:noHBand="0" w:noVBand="0"/>
      </w:tblPr>
      <w:tblGrid>
        <w:gridCol w:w="932"/>
        <w:gridCol w:w="1903"/>
        <w:gridCol w:w="4536"/>
        <w:gridCol w:w="1418"/>
      </w:tblGrid>
      <w:tr>
        <w:trPr>
          <w:trHeight w:val="526"/>
        </w:trPr>
        <w:tc>
          <w:tcPr>
            <w:tcW w:w="8789" w:type="dxa"/>
            <w:gridSpan w:val="4"/>
            <w:shd w:val="clear" w:color="auto" w:fill="0070C0"/>
          </w:tcPr>
          <w:p>
            <w:pPr>
              <w:spacing w:before="120" w:after="120"/>
              <w:jc w:val="left"/>
              <w:rPr>
                <w:b/>
                <w:noProof/>
                <w:color w:val="FFFFFF" w:themeColor="background1"/>
                <w:szCs w:val="24"/>
              </w:rPr>
            </w:pPr>
            <w:r>
              <w:rPr>
                <w:b/>
                <w:noProof/>
                <w:color w:val="FFFFFF" w:themeColor="background1"/>
              </w:rPr>
              <w:t>STÖDJA INFÖRANDET AV TEKNISK INNOVATION INOM FINANSSEKTORN</w:t>
            </w:r>
          </w:p>
        </w:tc>
      </w:tr>
      <w:tr>
        <w:trPr>
          <w:trHeight w:val="851"/>
        </w:trPr>
        <w:tc>
          <w:tcPr>
            <w:tcW w:w="932" w:type="dxa"/>
            <w:shd w:val="clear" w:color="auto" w:fill="auto"/>
            <w:vAlign w:val="center"/>
          </w:tcPr>
          <w:p>
            <w:pPr>
              <w:jc w:val="left"/>
              <w:rPr>
                <w:b/>
                <w:noProof/>
                <w:sz w:val="20"/>
              </w:rPr>
            </w:pPr>
            <w:r>
              <w:rPr>
                <w:b/>
                <w:noProof/>
                <w:sz w:val="20"/>
              </w:rPr>
              <w:t>Ruta 4</w:t>
            </w:r>
          </w:p>
        </w:tc>
        <w:tc>
          <w:tcPr>
            <w:tcW w:w="1903" w:type="dxa"/>
            <w:shd w:val="clear" w:color="auto" w:fill="auto"/>
            <w:vAlign w:val="center"/>
          </w:tcPr>
          <w:p>
            <w:pPr>
              <w:jc w:val="left"/>
              <w:rPr>
                <w:b/>
                <w:noProof/>
                <w:sz w:val="20"/>
              </w:rPr>
            </w:pPr>
            <w:r>
              <w:rPr>
                <w:b/>
                <w:noProof/>
                <w:sz w:val="20"/>
              </w:rPr>
              <w:t>Lämplighetsgranskning av bestämmelserna om teknikneutralitet</w:t>
            </w:r>
          </w:p>
        </w:tc>
        <w:tc>
          <w:tcPr>
            <w:tcW w:w="4536" w:type="dxa"/>
            <w:shd w:val="clear" w:color="auto" w:fill="auto"/>
          </w:tcPr>
          <w:p>
            <w:pPr>
              <w:rPr>
                <w:noProof/>
                <w:sz w:val="20"/>
              </w:rPr>
            </w:pPr>
            <w:r>
              <w:rPr>
                <w:noProof/>
                <w:sz w:val="20"/>
              </w:rPr>
              <w:t>Kommissionen kommer att inrätta en expertgrupp för att bedöma om det finns omotiverade regleringshinder för finansiell innovation i regelverket för finansiella tjänster.</w:t>
            </w:r>
          </w:p>
        </w:tc>
        <w:tc>
          <w:tcPr>
            <w:tcW w:w="1418" w:type="dxa"/>
            <w:shd w:val="clear" w:color="auto" w:fill="auto"/>
            <w:vAlign w:val="center"/>
          </w:tcPr>
          <w:p>
            <w:pPr>
              <w:jc w:val="center"/>
              <w:rPr>
                <w:noProof/>
                <w:sz w:val="20"/>
              </w:rPr>
            </w:pPr>
            <w:r>
              <w:rPr>
                <w:noProof/>
                <w:sz w:val="20"/>
              </w:rPr>
              <w:t>Andra kvartalet 2019</w:t>
            </w:r>
          </w:p>
        </w:tc>
      </w:tr>
      <w:tr>
        <w:trPr>
          <w:trHeight w:val="953"/>
        </w:trPr>
        <w:tc>
          <w:tcPr>
            <w:tcW w:w="932" w:type="dxa"/>
            <w:vMerge w:val="restart"/>
            <w:shd w:val="clear" w:color="auto" w:fill="auto"/>
            <w:vAlign w:val="center"/>
          </w:tcPr>
          <w:p>
            <w:pPr>
              <w:jc w:val="left"/>
              <w:rPr>
                <w:b/>
                <w:noProof/>
                <w:sz w:val="20"/>
              </w:rPr>
            </w:pPr>
            <w:r>
              <w:rPr>
                <w:b/>
                <w:noProof/>
                <w:sz w:val="20"/>
              </w:rPr>
              <w:t>Ruta 5</w:t>
            </w:r>
          </w:p>
        </w:tc>
        <w:tc>
          <w:tcPr>
            <w:tcW w:w="1903" w:type="dxa"/>
            <w:vMerge w:val="restart"/>
            <w:shd w:val="clear" w:color="auto" w:fill="auto"/>
            <w:vAlign w:val="center"/>
          </w:tcPr>
          <w:p>
            <w:pPr>
              <w:jc w:val="left"/>
              <w:rPr>
                <w:b/>
                <w:noProof/>
                <w:sz w:val="20"/>
              </w:rPr>
            </w:pPr>
            <w:r>
              <w:rPr>
                <w:b/>
                <w:noProof/>
                <w:sz w:val="20"/>
              </w:rPr>
              <w:t>Undanröja hinder för användningen av molntjänster</w:t>
            </w:r>
          </w:p>
        </w:tc>
        <w:tc>
          <w:tcPr>
            <w:tcW w:w="4536" w:type="dxa"/>
            <w:shd w:val="clear" w:color="auto" w:fill="auto"/>
          </w:tcPr>
          <w:p>
            <w:pPr>
              <w:pStyle w:val="Text1"/>
              <w:ind w:left="0"/>
              <w:rPr>
                <w:noProof/>
                <w:sz w:val="20"/>
              </w:rPr>
            </w:pPr>
            <w:r>
              <w:rPr>
                <w:noProof/>
                <w:sz w:val="20"/>
              </w:rPr>
              <w:t>Kommissionen uppmanar de europeiska tillsynsmyndigheterna att till första kvartalet 2019 undersöka behovet av riktlinjer om utkontraktering till molntjänstleverantörer.</w:t>
            </w:r>
          </w:p>
        </w:tc>
        <w:tc>
          <w:tcPr>
            <w:tcW w:w="1418" w:type="dxa"/>
            <w:shd w:val="clear" w:color="auto" w:fill="auto"/>
            <w:vAlign w:val="center"/>
          </w:tcPr>
          <w:p>
            <w:pPr>
              <w:jc w:val="center"/>
              <w:rPr>
                <w:noProof/>
                <w:sz w:val="20"/>
              </w:rPr>
            </w:pPr>
            <w:r>
              <w:rPr>
                <w:noProof/>
                <w:sz w:val="20"/>
              </w:rPr>
              <w:t>Första kvartalet 2019</w:t>
            </w:r>
          </w:p>
        </w:tc>
      </w:tr>
      <w:tr>
        <w:trPr>
          <w:trHeight w:val="729"/>
        </w:trPr>
        <w:tc>
          <w:tcPr>
            <w:tcW w:w="932" w:type="dxa"/>
            <w:vMerge/>
            <w:shd w:val="clear" w:color="auto" w:fill="auto"/>
            <w:vAlign w:val="center"/>
          </w:tcPr>
          <w:p>
            <w:pPr>
              <w:jc w:val="left"/>
              <w:rPr>
                <w:b/>
                <w:noProof/>
                <w:sz w:val="20"/>
              </w:rPr>
            </w:pPr>
          </w:p>
        </w:tc>
        <w:tc>
          <w:tcPr>
            <w:tcW w:w="1903" w:type="dxa"/>
            <w:vMerge/>
            <w:shd w:val="clear" w:color="auto" w:fill="auto"/>
          </w:tcPr>
          <w:p>
            <w:pPr>
              <w:jc w:val="left"/>
              <w:rPr>
                <w:b/>
                <w:noProof/>
                <w:sz w:val="20"/>
              </w:rPr>
            </w:pPr>
          </w:p>
        </w:tc>
        <w:tc>
          <w:tcPr>
            <w:tcW w:w="4536" w:type="dxa"/>
            <w:shd w:val="clear" w:color="auto" w:fill="auto"/>
          </w:tcPr>
          <w:p>
            <w:pPr>
              <w:pStyle w:val="Text1"/>
              <w:ind w:left="0"/>
              <w:rPr>
                <w:noProof/>
                <w:sz w:val="20"/>
              </w:rPr>
            </w:pPr>
            <w:r>
              <w:rPr>
                <w:noProof/>
                <w:sz w:val="20"/>
              </w:rPr>
              <w:t xml:space="preserve">Inom ramen för meddelandet </w:t>
            </w:r>
            <w:r>
              <w:rPr>
                <w:i/>
                <w:noProof/>
                <w:sz w:val="20"/>
              </w:rPr>
              <w:t>Att skapa en europeisk dataekonomi</w:t>
            </w:r>
            <w:r>
              <w:rPr>
                <w:noProof/>
                <w:sz w:val="20"/>
              </w:rPr>
              <w:t xml:space="preserve"> uppmanar kommissionen intressenter på molntjänstområdet att utforma branschomfattande koder för självreglering i syfte att underlätta byte av molntjänstleverantör. Kommissionen kommer även att uppmuntra företrädare för finanssektorn att underlätta dataportabilitet även för finansinstitut.</w:t>
            </w:r>
          </w:p>
        </w:tc>
        <w:tc>
          <w:tcPr>
            <w:tcW w:w="1418" w:type="dxa"/>
            <w:shd w:val="clear" w:color="auto" w:fill="auto"/>
            <w:vAlign w:val="center"/>
          </w:tcPr>
          <w:p>
            <w:pPr>
              <w:jc w:val="center"/>
              <w:rPr>
                <w:noProof/>
                <w:sz w:val="20"/>
              </w:rPr>
            </w:pPr>
          </w:p>
          <w:p>
            <w:pPr>
              <w:jc w:val="center"/>
              <w:rPr>
                <w:noProof/>
                <w:sz w:val="20"/>
              </w:rPr>
            </w:pPr>
            <w:r>
              <w:rPr>
                <w:noProof/>
                <w:sz w:val="20"/>
              </w:rPr>
              <w:t>Andra kvartalet 2018</w:t>
            </w:r>
          </w:p>
        </w:tc>
      </w:tr>
      <w:tr>
        <w:trPr>
          <w:trHeight w:val="216"/>
        </w:trPr>
        <w:tc>
          <w:tcPr>
            <w:tcW w:w="932" w:type="dxa"/>
            <w:vMerge/>
            <w:shd w:val="clear" w:color="auto" w:fill="auto"/>
            <w:vAlign w:val="center"/>
          </w:tcPr>
          <w:p>
            <w:pPr>
              <w:jc w:val="left"/>
              <w:rPr>
                <w:b/>
                <w:noProof/>
                <w:sz w:val="20"/>
              </w:rPr>
            </w:pPr>
          </w:p>
        </w:tc>
        <w:tc>
          <w:tcPr>
            <w:tcW w:w="1903" w:type="dxa"/>
            <w:vMerge/>
            <w:shd w:val="clear" w:color="auto" w:fill="auto"/>
          </w:tcPr>
          <w:p>
            <w:pPr>
              <w:jc w:val="left"/>
              <w:rPr>
                <w:b/>
                <w:noProof/>
                <w:sz w:val="20"/>
              </w:rPr>
            </w:pPr>
          </w:p>
        </w:tc>
        <w:tc>
          <w:tcPr>
            <w:tcW w:w="4536" w:type="dxa"/>
            <w:shd w:val="clear" w:color="auto" w:fill="auto"/>
          </w:tcPr>
          <w:p>
            <w:pPr>
              <w:rPr>
                <w:noProof/>
                <w:sz w:val="20"/>
                <w:highlight w:val="yellow"/>
              </w:rPr>
            </w:pPr>
            <w:r>
              <w:rPr>
                <w:noProof/>
                <w:sz w:val="20"/>
              </w:rPr>
              <w:t xml:space="preserve">Kommissionen ska uppmuntra och underlätta utvecklingen av standardavtalsbestämmelser för finansinstituts utkontraktering till molntjänster, genom att bygga på de branschöverskridande ansträngningar från molntjänstintressenternas sida som kommissionen redan har bidragit till. Finanssektorns deltagande i processen ska säkerställas. Detta arbete bör utföras av företrädare för  företag från finanssektorn och för molntjänstleverantörer i en väl avvägd sammansättning, och bör särskilt riktas in på revisionskrav, rapporteringskrav och fastställandet av hur väsentliga de verksamheter som ska utkontrakteras är. </w:t>
            </w:r>
          </w:p>
        </w:tc>
        <w:tc>
          <w:tcPr>
            <w:tcW w:w="1418" w:type="dxa"/>
            <w:shd w:val="clear" w:color="auto" w:fill="auto"/>
            <w:vAlign w:val="center"/>
          </w:tcPr>
          <w:p>
            <w:pPr>
              <w:jc w:val="center"/>
              <w:rPr>
                <w:noProof/>
                <w:sz w:val="20"/>
              </w:rPr>
            </w:pPr>
            <w:r>
              <w:rPr>
                <w:noProof/>
                <w:sz w:val="20"/>
              </w:rPr>
              <w:t>Andra kvartalet 2019</w:t>
            </w:r>
          </w:p>
        </w:tc>
      </w:tr>
      <w:tr>
        <w:trPr>
          <w:trHeight w:val="1652"/>
        </w:trPr>
        <w:tc>
          <w:tcPr>
            <w:tcW w:w="932" w:type="dxa"/>
            <w:vMerge w:val="restart"/>
            <w:shd w:val="clear" w:color="auto" w:fill="auto"/>
            <w:vAlign w:val="center"/>
          </w:tcPr>
          <w:p>
            <w:pPr>
              <w:jc w:val="left"/>
              <w:rPr>
                <w:b/>
                <w:noProof/>
                <w:sz w:val="20"/>
              </w:rPr>
            </w:pPr>
            <w:r>
              <w:rPr>
                <w:b/>
                <w:noProof/>
                <w:sz w:val="20"/>
              </w:rPr>
              <w:t>Ruta 6</w:t>
            </w:r>
          </w:p>
        </w:tc>
        <w:tc>
          <w:tcPr>
            <w:tcW w:w="1903" w:type="dxa"/>
            <w:vMerge w:val="restart"/>
            <w:shd w:val="clear" w:color="auto" w:fill="auto"/>
            <w:vAlign w:val="center"/>
          </w:tcPr>
          <w:p>
            <w:pPr>
              <w:jc w:val="left"/>
              <w:rPr>
                <w:b/>
                <w:noProof/>
                <w:sz w:val="20"/>
              </w:rPr>
            </w:pPr>
            <w:r>
              <w:rPr>
                <w:b/>
                <w:noProof/>
                <w:sz w:val="20"/>
              </w:rPr>
              <w:t>EU:s offentliga initiativ för blockkedjor</w:t>
            </w:r>
          </w:p>
        </w:tc>
        <w:tc>
          <w:tcPr>
            <w:tcW w:w="4536" w:type="dxa"/>
            <w:shd w:val="clear" w:color="auto" w:fill="auto"/>
          </w:tcPr>
          <w:p>
            <w:pPr>
              <w:rPr>
                <w:noProof/>
                <w:sz w:val="20"/>
              </w:rPr>
            </w:pPr>
            <w:r>
              <w:rPr>
                <w:noProof/>
                <w:sz w:val="20"/>
              </w:rPr>
              <w:t>Kommissionen kommer att genomföra ett offentligt samråd om ytterligare digitalisering av information om företag som är noterade på en reglerad marknad i EU, bland annat om ett eventuellt genomförande av ett europeiskt instrument för finansiell insyn (EFTG), baserad på teknik för distribuerade liggare.</w:t>
            </w:r>
          </w:p>
        </w:tc>
        <w:tc>
          <w:tcPr>
            <w:tcW w:w="1418" w:type="dxa"/>
            <w:shd w:val="clear" w:color="auto" w:fill="auto"/>
            <w:vAlign w:val="center"/>
          </w:tcPr>
          <w:p>
            <w:pPr>
              <w:jc w:val="center"/>
              <w:rPr>
                <w:noProof/>
                <w:sz w:val="20"/>
              </w:rPr>
            </w:pPr>
            <w:r>
              <w:rPr>
                <w:noProof/>
                <w:sz w:val="20"/>
              </w:rPr>
              <w:t>Andra kvartalet 2018</w:t>
            </w:r>
          </w:p>
        </w:tc>
      </w:tr>
      <w:tr>
        <w:trPr>
          <w:trHeight w:val="265"/>
        </w:trPr>
        <w:tc>
          <w:tcPr>
            <w:tcW w:w="932" w:type="dxa"/>
            <w:vMerge/>
            <w:shd w:val="clear" w:color="auto" w:fill="auto"/>
            <w:vAlign w:val="center"/>
          </w:tcPr>
          <w:p>
            <w:pPr>
              <w:jc w:val="left"/>
              <w:rPr>
                <w:b/>
                <w:noProof/>
                <w:sz w:val="20"/>
              </w:rPr>
            </w:pPr>
          </w:p>
        </w:tc>
        <w:tc>
          <w:tcPr>
            <w:tcW w:w="1903" w:type="dxa"/>
            <w:vMerge/>
            <w:shd w:val="clear" w:color="auto" w:fill="auto"/>
            <w:vAlign w:val="center"/>
          </w:tcPr>
          <w:p>
            <w:pPr>
              <w:jc w:val="left"/>
              <w:rPr>
                <w:b/>
                <w:noProof/>
                <w:sz w:val="20"/>
              </w:rPr>
            </w:pPr>
          </w:p>
        </w:tc>
        <w:tc>
          <w:tcPr>
            <w:tcW w:w="4536" w:type="dxa"/>
            <w:shd w:val="clear" w:color="auto" w:fill="auto"/>
          </w:tcPr>
          <w:p>
            <w:pPr>
              <w:rPr>
                <w:noProof/>
                <w:sz w:val="20"/>
                <w:highlight w:val="yellow"/>
              </w:rPr>
            </w:pPr>
            <w:r>
              <w:rPr>
                <w:noProof/>
                <w:sz w:val="20"/>
              </w:rPr>
              <w:t>Kommissionen kommer att fortsätta att arbeta med en övergripande strategi, med beaktande av alla relevanta rättsliga följder, om teknik för distribuerade liggare som omfattar alla ekonomiska sektorer, bland annat för att möjliggöra användningen av fintech- och regtech-applikationer i EU.</w:t>
            </w:r>
          </w:p>
        </w:tc>
        <w:tc>
          <w:tcPr>
            <w:tcW w:w="1418" w:type="dxa"/>
            <w:shd w:val="clear" w:color="auto" w:fill="auto"/>
            <w:vAlign w:val="center"/>
          </w:tcPr>
          <w:p>
            <w:pPr>
              <w:jc w:val="center"/>
              <w:rPr>
                <w:noProof/>
                <w:sz w:val="20"/>
              </w:rPr>
            </w:pPr>
          </w:p>
        </w:tc>
      </w:tr>
      <w:tr>
        <w:trPr>
          <w:trHeight w:val="1799"/>
        </w:trPr>
        <w:tc>
          <w:tcPr>
            <w:tcW w:w="932" w:type="dxa"/>
            <w:vMerge/>
            <w:shd w:val="clear" w:color="auto" w:fill="auto"/>
            <w:vAlign w:val="center"/>
          </w:tcPr>
          <w:p>
            <w:pPr>
              <w:jc w:val="left"/>
              <w:rPr>
                <w:b/>
                <w:noProof/>
                <w:sz w:val="20"/>
              </w:rPr>
            </w:pPr>
          </w:p>
        </w:tc>
        <w:tc>
          <w:tcPr>
            <w:tcW w:w="1903" w:type="dxa"/>
            <w:vMerge/>
            <w:shd w:val="clear" w:color="auto" w:fill="auto"/>
            <w:vAlign w:val="center"/>
          </w:tcPr>
          <w:p>
            <w:pPr>
              <w:jc w:val="left"/>
              <w:rPr>
                <w:b/>
                <w:noProof/>
                <w:sz w:val="20"/>
              </w:rPr>
            </w:pPr>
          </w:p>
        </w:tc>
        <w:tc>
          <w:tcPr>
            <w:tcW w:w="4536" w:type="dxa"/>
            <w:shd w:val="clear" w:color="auto" w:fill="auto"/>
          </w:tcPr>
          <w:p>
            <w:pPr>
              <w:rPr>
                <w:noProof/>
                <w:sz w:val="20"/>
                <w:highlight w:val="yellow"/>
              </w:rPr>
            </w:pPr>
            <w:r>
              <w:rPr>
                <w:noProof/>
                <w:sz w:val="20"/>
              </w:rPr>
              <w:t xml:space="preserve">Kommissionen lanserade EU:s observatorium och forum för blockkedjeteknik i februari 2018, och har även inlett en undersökning om genomförbarheten av en offentlig infrastruktur för blockkedjeteknik i EU för att utveckla gränsöverskridande tjänster.  Kommissionen kommer att bedöma om blockkedjeteknik kan användas som en infrastruktur för digitala tjänster inom fonden för ett sammankopplat Europa. Med stöd från EU:s observatorium och forum för blockkedjeteknik och de europeiska standardiseringsorganisationerna kommer kommissionen att fortsätta att bedöma rättsliga frågor, styrningsfrågor och frågor i samband med skalbarhet och standardiseringsinsatser, bland annat genom att ytterligare utvärdera testfall av användning av blockkedjeteknik inom ramen för nästa generations internet.  </w:t>
            </w:r>
          </w:p>
        </w:tc>
        <w:tc>
          <w:tcPr>
            <w:tcW w:w="1418" w:type="dxa"/>
            <w:shd w:val="clear" w:color="auto" w:fill="auto"/>
            <w:vAlign w:val="center"/>
          </w:tcPr>
          <w:p>
            <w:pPr>
              <w:jc w:val="center"/>
              <w:rPr>
                <w:noProof/>
                <w:sz w:val="20"/>
              </w:rPr>
            </w:pPr>
            <w:r>
              <w:rPr>
                <w:noProof/>
                <w:sz w:val="20"/>
              </w:rPr>
              <w:t>Från och med första kvartalet 2018</w:t>
            </w:r>
          </w:p>
        </w:tc>
      </w:tr>
      <w:tr>
        <w:trPr>
          <w:trHeight w:val="651"/>
        </w:trPr>
        <w:tc>
          <w:tcPr>
            <w:tcW w:w="932" w:type="dxa"/>
            <w:shd w:val="clear" w:color="auto" w:fill="auto"/>
            <w:vAlign w:val="center"/>
          </w:tcPr>
          <w:p>
            <w:pPr>
              <w:jc w:val="left"/>
              <w:rPr>
                <w:b/>
                <w:noProof/>
                <w:sz w:val="20"/>
              </w:rPr>
            </w:pPr>
            <w:r>
              <w:rPr>
                <w:b/>
                <w:noProof/>
                <w:sz w:val="20"/>
              </w:rPr>
              <w:t>Ruta 7</w:t>
            </w:r>
          </w:p>
        </w:tc>
        <w:tc>
          <w:tcPr>
            <w:tcW w:w="1903" w:type="dxa"/>
            <w:shd w:val="clear" w:color="auto" w:fill="auto"/>
          </w:tcPr>
          <w:p>
            <w:pPr>
              <w:jc w:val="left"/>
              <w:rPr>
                <w:b/>
                <w:noProof/>
                <w:sz w:val="20"/>
              </w:rPr>
            </w:pPr>
            <w:r>
              <w:rPr>
                <w:b/>
                <w:noProof/>
                <w:sz w:val="20"/>
              </w:rPr>
              <w:t>Bygga upp kapacitet och kunskap i ett EU-laboratorium för finansteknik</w:t>
            </w:r>
          </w:p>
        </w:tc>
        <w:tc>
          <w:tcPr>
            <w:tcW w:w="4536" w:type="dxa"/>
            <w:shd w:val="clear" w:color="auto" w:fill="auto"/>
          </w:tcPr>
          <w:p>
            <w:pPr>
              <w:rPr>
                <w:noProof/>
                <w:sz w:val="20"/>
              </w:rPr>
            </w:pPr>
            <w:r>
              <w:rPr>
                <w:noProof/>
                <w:sz w:val="20"/>
              </w:rPr>
              <w:t>Kommissionen kommer att stå värd för ett EU-laboratorium för finansteknik, där europeiska och nationella myndigheter uppmuntras att arbeta med tekniklösningsleverantörer i en neutral och icke-kommersiell miljö under riktade sessioner om specifika innovationer.</w:t>
            </w:r>
          </w:p>
        </w:tc>
        <w:tc>
          <w:tcPr>
            <w:tcW w:w="1418" w:type="dxa"/>
            <w:shd w:val="clear" w:color="auto" w:fill="auto"/>
            <w:vAlign w:val="center"/>
          </w:tcPr>
          <w:p>
            <w:pPr>
              <w:jc w:val="center"/>
              <w:rPr>
                <w:noProof/>
                <w:sz w:val="20"/>
              </w:rPr>
            </w:pPr>
            <w:r>
              <w:rPr>
                <w:noProof/>
                <w:sz w:val="20"/>
              </w:rPr>
              <w:t>Andra kvartalet 2018</w:t>
            </w:r>
          </w:p>
        </w:tc>
      </w:tr>
    </w:tbl>
    <w:p>
      <w:pPr>
        <w:jc w:val="left"/>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72"/>
        <w:gridCol w:w="2005"/>
        <w:gridCol w:w="4394"/>
        <w:gridCol w:w="1418"/>
      </w:tblGrid>
      <w:tr>
        <w:trPr>
          <w:trHeight w:val="526"/>
        </w:trPr>
        <w:tc>
          <w:tcPr>
            <w:tcW w:w="8789" w:type="dxa"/>
            <w:gridSpan w:val="4"/>
            <w:shd w:val="clear" w:color="auto" w:fill="0070C0"/>
          </w:tcPr>
          <w:p>
            <w:pPr>
              <w:spacing w:before="120" w:after="120"/>
              <w:rPr>
                <w:b/>
                <w:noProof/>
                <w:color w:val="FFFFFF" w:themeColor="background1"/>
                <w:szCs w:val="24"/>
              </w:rPr>
            </w:pPr>
            <w:r>
              <w:rPr>
                <w:b/>
                <w:noProof/>
                <w:color w:val="FFFFFF" w:themeColor="background1"/>
              </w:rPr>
              <w:t>FÖRBÄTTRA FINANSSEKTORNS SÄKERHET OCH INTEGRITET</w:t>
            </w:r>
          </w:p>
        </w:tc>
      </w:tr>
      <w:tr>
        <w:trPr>
          <w:trHeight w:val="1489"/>
        </w:trPr>
        <w:tc>
          <w:tcPr>
            <w:tcW w:w="972" w:type="dxa"/>
            <w:vMerge w:val="restart"/>
            <w:shd w:val="clear" w:color="auto" w:fill="auto"/>
            <w:vAlign w:val="center"/>
          </w:tcPr>
          <w:p>
            <w:pPr>
              <w:jc w:val="center"/>
              <w:rPr>
                <w:b/>
                <w:noProof/>
                <w:sz w:val="20"/>
              </w:rPr>
            </w:pPr>
            <w:r>
              <w:rPr>
                <w:b/>
                <w:noProof/>
                <w:sz w:val="20"/>
              </w:rPr>
              <w:t>Ruta 8</w:t>
            </w:r>
          </w:p>
          <w:p>
            <w:pPr>
              <w:jc w:val="center"/>
              <w:rPr>
                <w:b/>
                <w:noProof/>
                <w:sz w:val="20"/>
              </w:rPr>
            </w:pPr>
          </w:p>
        </w:tc>
        <w:tc>
          <w:tcPr>
            <w:tcW w:w="2005" w:type="dxa"/>
            <w:vMerge w:val="restart"/>
            <w:shd w:val="clear" w:color="auto" w:fill="auto"/>
            <w:vAlign w:val="center"/>
          </w:tcPr>
          <w:p>
            <w:pPr>
              <w:rPr>
                <w:b/>
                <w:noProof/>
                <w:sz w:val="20"/>
              </w:rPr>
            </w:pPr>
            <w:r>
              <w:rPr>
                <w:b/>
                <w:noProof/>
                <w:sz w:val="20"/>
              </w:rPr>
              <w:t>Stärka EU:s finanssektor och förbättra motståndskraften mot it-angrepp</w:t>
            </w:r>
          </w:p>
        </w:tc>
        <w:tc>
          <w:tcPr>
            <w:tcW w:w="4394" w:type="dxa"/>
            <w:shd w:val="clear" w:color="auto" w:fill="auto"/>
          </w:tcPr>
          <w:p>
            <w:pPr>
              <w:rPr>
                <w:noProof/>
                <w:sz w:val="20"/>
                <w:highlight w:val="yellow"/>
              </w:rPr>
            </w:pPr>
            <w:r>
              <w:rPr>
                <w:noProof/>
                <w:sz w:val="20"/>
              </w:rPr>
              <w:t>Kommissionen kommer under andra kvartalet 2018 att organisera en offentlig-privat workshop för att undersöka och bedöma hinder för informationsutbyte om it-hot mellan finansmarknadsdeltagare och identifiera möjliga lösningar, samtidigt som dataskyddsnormerna uppfylls.</w:t>
            </w:r>
          </w:p>
        </w:tc>
        <w:tc>
          <w:tcPr>
            <w:tcW w:w="1418" w:type="dxa"/>
            <w:shd w:val="clear" w:color="auto" w:fill="auto"/>
            <w:vAlign w:val="center"/>
          </w:tcPr>
          <w:p>
            <w:pPr>
              <w:jc w:val="center"/>
              <w:rPr>
                <w:noProof/>
                <w:sz w:val="20"/>
              </w:rPr>
            </w:pPr>
            <w:r>
              <w:rPr>
                <w:noProof/>
                <w:sz w:val="20"/>
              </w:rPr>
              <w:t>Andra kvartalet 2018</w:t>
            </w:r>
          </w:p>
        </w:tc>
      </w:tr>
      <w:tr>
        <w:trPr>
          <w:trHeight w:val="2327"/>
        </w:trPr>
        <w:tc>
          <w:tcPr>
            <w:tcW w:w="972" w:type="dxa"/>
            <w:vMerge/>
            <w:shd w:val="clear" w:color="auto" w:fill="auto"/>
            <w:vAlign w:val="center"/>
          </w:tcPr>
          <w:p>
            <w:pPr>
              <w:jc w:val="center"/>
              <w:rPr>
                <w:b/>
                <w:noProof/>
                <w:sz w:val="20"/>
              </w:rPr>
            </w:pPr>
          </w:p>
        </w:tc>
        <w:tc>
          <w:tcPr>
            <w:tcW w:w="2005" w:type="dxa"/>
            <w:vMerge/>
            <w:shd w:val="clear" w:color="auto" w:fill="auto"/>
          </w:tcPr>
          <w:p>
            <w:pPr>
              <w:rPr>
                <w:noProof/>
                <w:sz w:val="20"/>
              </w:rPr>
            </w:pPr>
          </w:p>
        </w:tc>
        <w:tc>
          <w:tcPr>
            <w:tcW w:w="4394" w:type="dxa"/>
            <w:shd w:val="clear" w:color="auto" w:fill="auto"/>
          </w:tcPr>
          <w:p>
            <w:pPr>
              <w:rPr>
                <w:noProof/>
                <w:sz w:val="20"/>
              </w:rPr>
            </w:pPr>
            <w:r>
              <w:rPr>
                <w:noProof/>
                <w:sz w:val="20"/>
              </w:rPr>
              <w:t>Kommissionen uppmanar de europeiska tillsynsmyndigheterna att kartlägga befintlig tillsynspraxis kring IKT-säkerhet och styrningskrav inom finanssektorerna, och i förekommande fall a) överväga att utfärda riktlinjer för tillsynskonvergens och efterlevnaden av krav i fråga om hantering och begränsning av risker på IKT-området inom EU:s finanssektor, och b) vid behov bistå kommissionen med teknisk rådgivning om behovet av förbättringar av lagstiftningen.</w:t>
            </w:r>
          </w:p>
        </w:tc>
        <w:tc>
          <w:tcPr>
            <w:tcW w:w="1418" w:type="dxa"/>
            <w:shd w:val="clear" w:color="auto" w:fill="auto"/>
            <w:vAlign w:val="center"/>
          </w:tcPr>
          <w:p>
            <w:pPr>
              <w:jc w:val="center"/>
              <w:rPr>
                <w:noProof/>
                <w:sz w:val="20"/>
              </w:rPr>
            </w:pPr>
            <w:r>
              <w:rPr>
                <w:noProof/>
                <w:sz w:val="20"/>
              </w:rPr>
              <w:t>Första kvartalet 2019</w:t>
            </w:r>
          </w:p>
        </w:tc>
      </w:tr>
      <w:tr>
        <w:trPr>
          <w:trHeight w:val="1276"/>
        </w:trPr>
        <w:tc>
          <w:tcPr>
            <w:tcW w:w="972" w:type="dxa"/>
            <w:vMerge/>
            <w:shd w:val="clear" w:color="auto" w:fill="auto"/>
            <w:vAlign w:val="center"/>
          </w:tcPr>
          <w:p>
            <w:pPr>
              <w:jc w:val="center"/>
              <w:rPr>
                <w:b/>
                <w:noProof/>
                <w:sz w:val="20"/>
              </w:rPr>
            </w:pPr>
          </w:p>
        </w:tc>
        <w:tc>
          <w:tcPr>
            <w:tcW w:w="2005" w:type="dxa"/>
            <w:vMerge/>
            <w:shd w:val="clear" w:color="auto" w:fill="auto"/>
          </w:tcPr>
          <w:p>
            <w:pPr>
              <w:rPr>
                <w:noProof/>
                <w:sz w:val="20"/>
              </w:rPr>
            </w:pPr>
          </w:p>
        </w:tc>
        <w:tc>
          <w:tcPr>
            <w:tcW w:w="4394" w:type="dxa"/>
            <w:shd w:val="clear" w:color="auto" w:fill="auto"/>
          </w:tcPr>
          <w:p>
            <w:pPr>
              <w:rPr>
                <w:noProof/>
                <w:sz w:val="20"/>
              </w:rPr>
            </w:pPr>
            <w:r>
              <w:rPr>
                <w:noProof/>
                <w:sz w:val="20"/>
              </w:rPr>
              <w:t>Kommissionen uppmanar de europeiska tillsynsmyndigheterna att utvärdera kostnader och fördelar med att utveckla en samstämmig testram för cyberresiliens för betydande marknadsdeltagare och infrastrukturer inom hela EU:s finanssektor.</w:t>
            </w:r>
          </w:p>
        </w:tc>
        <w:tc>
          <w:tcPr>
            <w:tcW w:w="1418" w:type="dxa"/>
            <w:shd w:val="clear" w:color="auto" w:fill="auto"/>
            <w:vAlign w:val="center"/>
          </w:tcPr>
          <w:p>
            <w:pPr>
              <w:jc w:val="center"/>
              <w:rPr>
                <w:noProof/>
                <w:sz w:val="20"/>
              </w:rPr>
            </w:pPr>
            <w:r>
              <w:rPr>
                <w:noProof/>
                <w:sz w:val="20"/>
              </w:rPr>
              <w:t>Fjärde kvartalet 2018</w:t>
            </w:r>
          </w:p>
        </w:tc>
      </w:tr>
    </w:tbl>
    <w:p>
      <w:pPr>
        <w:rPr>
          <w:noProof/>
          <w:szCs w:val="24"/>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2906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3760AEE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80C0EF5"/>
    <w:multiLevelType w:val="hybridMultilevel"/>
    <w:tmpl w:val="1B526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revisionView w:markup="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1"/>
    <w:docVar w:name="LW_ANNEX_NBR_LAST" w:val="1"/>
    <w:docVar w:name="LW_ANNEX_UNIQUE" w:val="0"/>
    <w:docVar w:name="LW_CORRIGENDUM" w:val="&lt;UNUSED&gt;"/>
    <w:docVar w:name="LW_COVERPAGE_EXISTS" w:val="True"/>
    <w:docVar w:name="LW_COVERPAGE_GUID" w:val="761F503B-FEE8-4088-B6A1-3CB9B4B5BCF5"/>
    <w:docVar w:name="LW_COVERPAGE_TYPE" w:val="1"/>
    <w:docVar w:name="LW_CROSSREFERENCE" w:val="&lt;UNUSED&gt;"/>
    <w:docVar w:name="LW_DocType" w:val="NORMAL"/>
    <w:docVar w:name="LW_EMISSION" w:val="8.3.2018"/>
    <w:docVar w:name="LW_EMISSION_ISODATE" w:val="2018-03-08"/>
    <w:docVar w:name="LW_EMISSION_LOCATION" w:val="BRX"/>
    <w:docVar w:name="LW_EMISSION_PREFIX" w:val="Bryssel den "/>
    <w:docVar w:name="LW_EMISSION_SUFFIX" w:val="&lt;EMPTY&gt;"/>
    <w:docVar w:name="LW_ID_DOCTYPE_NONLW" w:val="CP-039"/>
    <w:docVar w:name="LW_LANGUE" w:val="SV"/>
    <w:docVar w:name="LW_LEVEL_OF_SENSITIVITY" w:val="Standard treatment"/>
    <w:docVar w:name="LW_NOM.INST" w:val="EUROPEISKA KOMMISSIONEN"/>
    <w:docVar w:name="LW_NOM.INST_JOINTDOC" w:val="&lt;EMPTY&gt;"/>
    <w:docVar w:name="LW_OBJETACTEPRINCIPAL.CP" w:val="TILL EUROPAPARLAMENTET, RÅDET, EUROPEISKA CENTRALBANKEN, EUROPEISKA EKONOMISKA OCH SOCIALA KOMMITTÉN SAMT REGIONKOMMITTÉN_x000b__x000b_Handlingsplanen för fintech - ett viktigt steg mot en mer konkurrenskraftig europeisk finanssektor_x000b__x000b__x000b_"/>
    <w:docVar w:name="LW_PART_NBR" w:val="1"/>
    <w:docVar w:name="LW_PART_NBR_TOTAL" w:val="1"/>
    <w:docVar w:name="LW_REF.INST.NEW" w:val="COM"/>
    <w:docVar w:name="LW_REF.INST.NEW_ADOPTED" w:val="final"/>
    <w:docVar w:name="LW_REF.INST.NEW_TEXT" w:val="(2018)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A_x000b_"/>
    <w:docVar w:name="LW_TYPEACTEPRINCIPAL.CP" w:val="KOMMISSIONENS MEDDELAND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sv-SE"/>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sv-S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v-SE"/>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sv-SE"/>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sv-SE"/>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sv-SE"/>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sv-SE"/>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sv-S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v-SE"/>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sv-SE"/>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sv-SE"/>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sv-SE"/>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7370-2B0D-42D2-BA29-D83561B0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6967</Characters>
  <Application>Microsoft Office Word</Application>
  <DocSecurity>0</DocSecurity>
  <Lines>267</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2018-03-06T09:12:00Z</dcterms:created>
  <dcterms:modified xsi:type="dcterms:W3CDTF">2018-03-19T08:30:00Z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