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1B56599E-FE5F-4720-9B00-4A657FB27BAE" style="width:450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</w:t>
      </w:r>
    </w:p>
    <w:p>
      <w:pPr>
        <w:jc w:val="center"/>
        <w:rPr>
          <w:b/>
          <w:noProof/>
        </w:rPr>
      </w:pPr>
      <w:r>
        <w:rPr>
          <w:b/>
          <w:noProof/>
        </w:rPr>
        <w:t>Zmiany w załączniku IV do rozporządzenia (UE) nr 168/2013</w:t>
      </w:r>
    </w:p>
    <w:p>
      <w:pPr>
        <w:rPr>
          <w:noProof/>
        </w:rPr>
      </w:pPr>
      <w:r>
        <w:rPr>
          <w:noProof/>
        </w:rPr>
        <w:t>W tabeli w załączniku IV do rozporządzenia (UE) nr 168/2013 wprowadza się następujące zmiany: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pkt 1.1.2.1, 1.1.2.2 i 1.1.2.3 otrzymują brzmienie: </w:t>
      </w:r>
    </w:p>
    <w:tbl>
      <w:tblPr>
        <w:tblW w:w="4594" w:type="pct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44"/>
        <w:gridCol w:w="1393"/>
        <w:gridCol w:w="1201"/>
        <w:gridCol w:w="1136"/>
        <w:gridCol w:w="1838"/>
      </w:tblGrid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„1.1.2.1.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4: załącznik VI część A1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L1e, L2e, L6e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31.12.2020;</w:t>
            </w:r>
            <w:r>
              <w:rPr>
                <w:noProof/>
              </w:rPr>
              <w:t xml:space="preserve"> w przypadku L2e-U i </w:t>
            </w:r>
            <w:r>
              <w:rPr>
                <w:noProof/>
                <w:sz w:val="22"/>
              </w:rPr>
              <w:t>L6e-B: 31.12.2022</w:t>
            </w:r>
          </w:p>
        </w:tc>
      </w:tr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1.1.2.2.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4: załącznik VI część A1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L7e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31.12.2020; w przypadku L3e-AxE i L3e-AxT: 31.12.2022</w:t>
            </w:r>
          </w:p>
        </w:tc>
      </w:tr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1.1.2.3.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5: załącznik VI część A2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L1e-L7e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1.1.2020;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w przypadku L2e-U; L3e-AxE; L3e-AxT i L6e-B: 1.1.2022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1.1.2021;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w przypadku L2e-U; L3e-AxE; L3e-AxT i L6e-B: 1.1.2023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”;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pkt 1.8.1, 1.8.2 i 1.8.3 otrzymują brzmienie: </w:t>
      </w:r>
    </w:p>
    <w:tbl>
      <w:tblPr>
        <w:tblW w:w="4594" w:type="pct"/>
        <w:tblCellSpacing w:w="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53"/>
        <w:gridCol w:w="1420"/>
        <w:gridCol w:w="852"/>
        <w:gridCol w:w="853"/>
        <w:gridCol w:w="1276"/>
      </w:tblGrid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„1.8.1.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 – wymogi funkcjonalne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L3e, L4e,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2"/>
              </w:rPr>
              <w:t>L5e-A, L7e-A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 – procedura badania środowiskowego (badanie typu VIII)</w:t>
            </w: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 – wartości progowe dotyczące badań środowiskowych, załącznik VI część B1</w:t>
            </w: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1.8.2.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 – wymogi funkcjonalne, w tym wszelkie tryby działania, które znacząco zmniejszają wartość momentu obrotowego silnika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31.12.2024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 – procedura badania środowiskowego (badanie typu VIII)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 – wartości progowe dotyczące badań środowiskowych, załącznik VI część B1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1.8.3.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 – wymogi funkcjonalne, w tym wszelkie tryby działania, które znacząco zmniejszają wartość momentu obrotowego silnika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1.1.2024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”;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 – procedura badania środowiskowego (badanie typu VIII)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 – wartości progowe dotyczące badań środowiskowych, załącznik VI część B2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dodaje się punkty w brzmieniu:</w:t>
      </w:r>
    </w:p>
    <w:tbl>
      <w:tblPr>
        <w:tblW w:w="4594" w:type="pct"/>
        <w:tblCellSpacing w:w="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377"/>
        <w:gridCol w:w="1245"/>
        <w:gridCol w:w="846"/>
        <w:gridCol w:w="846"/>
        <w:gridCol w:w="1365"/>
      </w:tblGrid>
      <w:tr>
        <w:trPr>
          <w:tblCellSpacing w:w="0" w:type="dxa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„1.8.4.</w:t>
            </w: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II – wymogi funkcjonalne,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z wyjątkiem funkcji monitorowania katalizatora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L5e-A, L7e-A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31.12.2024</w:t>
            </w: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II – procedury badania środowiskowego (badanie typu VIII)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II – wartości progowe dotyczące badań środowiskowych, załącznik VI część B1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1.8.5.</w:t>
            </w: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OBD II – wymogi funkcjonalne 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L5e-A, L7e-A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1.1.2024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1.1.2025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”;</w:t>
            </w: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OBD II – procedury badania środowiskowego(badanie typu VIII) 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OBD II – wartości progowe dotyczące badań środowiskowych, załącznik VI część B2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pkt 1.9.1 i 1.9.2 otrzymują brzmienie:</w:t>
      </w:r>
    </w:p>
    <w:tbl>
      <w:tblPr>
        <w:tblW w:w="4592" w:type="pct"/>
        <w:tblCellSpacing w:w="0" w:type="dxa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078"/>
        <w:gridCol w:w="1394"/>
        <w:gridCol w:w="1393"/>
        <w:gridCol w:w="1393"/>
        <w:gridCol w:w="1394"/>
      </w:tblGrid>
      <w:tr>
        <w:trPr>
          <w:trHeight w:val="626"/>
          <w:tblCellSpacing w:w="0" w:type="dxa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„1.9.1.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Procedura badania i dopuszczalne wartości poziomu hałasu, załącznik VI część D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L1e, L2e, L6e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rHeight w:val="626"/>
          <w:tblCellSpacing w:w="0" w:type="dxa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1.9.2.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Procedura badania i dopuszczalne wartości poziomu hałasu (3), załącznik VI część D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”;</w:t>
            </w:r>
          </w:p>
        </w:tc>
      </w:tr>
    </w:tbl>
    <w:p>
      <w:pPr>
        <w:rPr>
          <w:noProof/>
        </w:rPr>
      </w:pP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pkt 1.9.4 otrzymuje brzmienie:</w:t>
      </w:r>
    </w:p>
    <w:tbl>
      <w:tblPr>
        <w:tblW w:w="4594" w:type="pct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391"/>
        <w:gridCol w:w="1405"/>
        <w:gridCol w:w="858"/>
        <w:gridCol w:w="672"/>
        <w:gridCol w:w="1415"/>
      </w:tblGrid>
      <w:tr>
        <w:trPr>
          <w:tblCellSpacing w:w="0" w:type="dxa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„1.9.4.</w:t>
            </w:r>
          </w:p>
        </w:tc>
        <w:tc>
          <w:tcPr>
            <w:tcW w:w="2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Regulaminy EKG ONZ nr 9, 41, 63 i 92 oraz związane z nimi nowe dopuszczalne wartości zaproponowane przez Komisję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L1e-L7e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2"/>
              </w:rPr>
              <w:t>”.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3EA69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2C33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8D63E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96405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C1276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E7CA5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AA5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1CE2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09 09:26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 wniosku dotycz\u261?cego"/>
    <w:docVar w:name="LW_ACCOMPAGNANT.CP" w:val="do wniosku dotycz\u261?cego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1B56599E-FE5F-4720-9B00-4A657FB27BAE"/>
    <w:docVar w:name="LW_COVERPAGE_TYPE" w:val="1"/>
    <w:docVar w:name="LW_CROSSREFERENCE" w:val="&lt;UNUSED&gt;"/>
    <w:docVar w:name="LW_DocType" w:val="ANNEX"/>
    <w:docVar w:name="LW_EMISSION" w:val="19.3.2018"/>
    <w:docVar w:name="LW_EMISSION_ISODATE" w:val="2018-03-19"/>
    <w:docVar w:name="LW_EMISSION_LOCATION" w:val="BRX"/>
    <w:docVar w:name="LW_EMISSION_PREFIX" w:val="Bruksela, dnia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zmieniaj\u261?cego rozporz\u261?dzenie (UE) nr&lt;LWCR:NBS&gt;168/2013 w odniesieniu do zastosowania etapu Euro 5 do homologacji typu pojazdów dwu- lub trójko\u322?owych oraz czteroko\u322?owców"/>
    <w:docVar w:name="LW_OBJETACTEPRINCIPAL.CP" w:val="zmieniaj\u261?cego rozporz\u261?dzenie (UE) nr 168/2013 w odniesieniu do zastosowania etapu Euro 5 do homologacji typu pojazdów dwu- lub trójko\u322?owych oraz czteroko\u322?owców"/>
    <w:docVar w:name="LW_PART_NBR" w:val="1"/>
    <w:docVar w:name="LW_PART_NBR_TOTAL" w:val="1"/>
    <w:docVar w:name="LW_REF.INST.NEW" w:val="COM"/>
    <w:docVar w:name="LW_REF.INST.NEW_ADOPTED" w:val="final"/>
    <w:docVar w:name="LW_REF.INST.NEW_TEXT" w:val="(2018) 1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ROZPORZ\u260?DZENIA PARLAMENTU EUROPEJSKIEGO I RADY"/>
    <w:docVar w:name="LW_TYPEACTEPRINCIPAL.CP" w:val="ROZPORZ\u260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91C1-F0C5-4D22-97B9-3034398F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381</Words>
  <Characters>2251</Characters>
  <Application>Microsoft Office Word</Application>
  <DocSecurity>0</DocSecurity>
  <Lines>225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BRASSART Odile (GROW)</dc:creator>
  <cp:lastModifiedBy>DIGIT/A3</cp:lastModifiedBy>
  <cp:revision>7</cp:revision>
  <cp:lastPrinted>2018-01-23T10:15:00Z</cp:lastPrinted>
  <dcterms:created xsi:type="dcterms:W3CDTF">2018-02-12T15:03:00Z</dcterms:created>
  <dcterms:modified xsi:type="dcterms:W3CDTF">2018-03-09T08:26:00Z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