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3160E0F-C108-4D62-9C6F-4EEC6F937B8E" style="width:450.8pt;height:410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</w:t>
      </w:r>
    </w:p>
    <w:p>
      <w:pPr>
        <w:jc w:val="center"/>
        <w:rPr>
          <w:b/>
          <w:noProof/>
        </w:rPr>
      </w:pPr>
      <w:r>
        <w:rPr>
          <w:b/>
          <w:noProof/>
        </w:rPr>
        <w:t>A 168/2013/EU rendelet IV. mellékletének módosítása</w:t>
      </w:r>
    </w:p>
    <w:p>
      <w:pPr>
        <w:rPr>
          <w:noProof/>
        </w:rPr>
      </w:pPr>
      <w:r>
        <w:rPr>
          <w:noProof/>
        </w:rPr>
        <w:t>A 168/2013/EU rendelet IV. mellékletében a táblázat a következőképpen módosul:</w:t>
      </w:r>
    </w:p>
    <w:p>
      <w:pPr>
        <w:pStyle w:val="ManualNumPar2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1.1.2.1., az 1.1.2.2. és az 1.1.2.3. pont helyébe a következő szöveg lép: 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44"/>
        <w:gridCol w:w="1393"/>
        <w:gridCol w:w="1201"/>
        <w:gridCol w:w="1136"/>
        <w:gridCol w:w="1838"/>
      </w:tblGrid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„1.1.2.1.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VI. melléklet A1. táblázat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2017.1.1.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2018.1.1.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2020.12.31.;</w:t>
            </w:r>
            <w:r>
              <w:rPr>
                <w:noProof/>
              </w:rPr>
              <w:t xml:space="preserve"> L2e-U és </w:t>
            </w:r>
            <w:r>
              <w:rPr>
                <w:noProof/>
                <w:sz w:val="22"/>
              </w:rPr>
              <w:t>L6e-B</w:t>
            </w:r>
            <w:r>
              <w:rPr>
                <w:noProof/>
              </w:rPr>
              <w:t>:</w:t>
            </w:r>
            <w:r>
              <w:rPr>
                <w:noProof/>
                <w:sz w:val="22"/>
              </w:rPr>
              <w:t xml:space="preserve"> 2022.12.31.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1.1.2.2.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VI. melléklet A1. táblázat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L3e,L4e,L5e,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2016.1.1.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2017.1.1.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2020.12.31.; L3e-AxE és L3e-AxT: 2022.12.31.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1.1.2.3.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5: VI. melléklet A2. táblázat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2020.1.1.;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L2e-U; L3e-AxE; L3e-AxT és L6e-B: 2022.1.1.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2021.1.1.;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L2e-U; L3e-AxE; L3e-AxT és L6e-B: 2023.1.1.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ManualNumPar2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az 1.8.1., az 1.8.2. és az 1.8.3. pont helyébe a következő szöveg lép: 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53"/>
        <w:gridCol w:w="1420"/>
        <w:gridCol w:w="852"/>
        <w:gridCol w:w="853"/>
        <w:gridCol w:w="1276"/>
      </w:tblGrid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funkcionális követelmények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L3e, L4e,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2"/>
              </w:rPr>
              <w:t>L5e-A, L7e-A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2016.1.1.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2017.1.1.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2020.12.31.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eljárás (VIII. típusú vizsgálat)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küszöbértékek, VI. melléklet, B1. táblázat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funkcionális követelmények, ideértve minden olyan üzemmódot, amely jelentősen csökkenti a motornyomatékot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2020.1.1.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2021.1.1.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2024.12.31.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eljárás (VIII. típusú vizsgálat)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küszöbértékek, VI. melléklet, B1. táblázat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funkcionális követelmények, ideértve minden olyan üzemmódot, amely jelentősen csökkenti a motornyomatékot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2024.1.1.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2025.1.1.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eljárás (VIII. típusú vizsgálat)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I. fázisára vonatkozó környezeti vizsgálati küszöbértékek, VI. melléklet, B2. táblázat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ManualNumPar2"/>
        <w:rPr>
          <w:noProof/>
        </w:rPr>
      </w:pPr>
      <w:r>
        <w:rPr>
          <w:noProof/>
        </w:rPr>
        <w:t>c)</w:t>
      </w:r>
      <w:r>
        <w:rPr>
          <w:noProof/>
        </w:rPr>
        <w:tab/>
        <w:t>A szöveg a következő pontokkal egészül ki: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73"/>
        <w:gridCol w:w="1241"/>
        <w:gridCol w:w="855"/>
        <w:gridCol w:w="855"/>
        <w:gridCol w:w="1361"/>
      </w:tblGrid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„1.8.4.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II. fázisára vonatkozó funkcionális követelmények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 katalizátor ellenőrzésének kivételével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2020.1.1.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2021.1.1.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2024.12.31.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II. fázisára vonatkozó környezeti vizsgálati eljárások (VIII. típusú vizsgálat)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II. fázisára vonatkozó környezeti vizsgálati küszöbértékek, VI. melléklet, B1. táblázat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1.8.5.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Az OBD II. fázisára vonatkozó funkcionális követelmények 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2024.1.1.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2025.1.1.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”;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Az OBD II. fázisára vonatkozó környezeti vizsgálati eljárások (VIII. típusú vizsgálat) 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Az OBD II. fázisára vonatkozó környezeti vizsgálati küszöbértékek, VI. melléklet, B2. táblázat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p>
      <w:pPr>
        <w:pStyle w:val="ManualNumPar2"/>
        <w:rPr>
          <w:noProof/>
        </w:rPr>
      </w:pPr>
      <w:r>
        <w:rPr>
          <w:noProof/>
        </w:rPr>
        <w:t>d)</w:t>
      </w:r>
      <w:r>
        <w:rPr>
          <w:noProof/>
        </w:rPr>
        <w:tab/>
        <w:t>az 1.9.1. és az 1.9.2. pont helyébe a következő szöveg lép:</w:t>
      </w:r>
    </w:p>
    <w:tbl>
      <w:tblPr>
        <w:tblW w:w="4592" w:type="pct"/>
        <w:tblCellSpacing w:w="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78"/>
        <w:gridCol w:w="1394"/>
        <w:gridCol w:w="1393"/>
        <w:gridCol w:w="1393"/>
        <w:gridCol w:w="1394"/>
      </w:tblGrid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„1.9.1.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Zajszintvizsgálati eljárás és határértékek, VI. melléklet, D. rész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2017.1.1.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2018.1.1.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1.9.2.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Zajszintvizsgálati eljárás és határértékek </w:t>
            </w:r>
            <w:r>
              <w:rPr>
                <w:noProof/>
                <w:sz w:val="22"/>
                <w:vertAlign w:val="superscript"/>
              </w:rPr>
              <w:t>(3)</w:t>
            </w:r>
            <w:r>
              <w:rPr>
                <w:noProof/>
                <w:sz w:val="22"/>
              </w:rPr>
              <w:t>, VI. melléklet, D. rész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2016.1.1.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2017.1.1.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”;</w:t>
            </w:r>
          </w:p>
        </w:tc>
      </w:tr>
    </w:tbl>
    <w:p>
      <w:pPr>
        <w:rPr>
          <w:noProof/>
        </w:rPr>
      </w:pPr>
    </w:p>
    <w:p>
      <w:pPr>
        <w:pStyle w:val="ManualNumPar2"/>
        <w:rPr>
          <w:noProof/>
        </w:rPr>
      </w:pPr>
      <w:r>
        <w:rPr>
          <w:noProof/>
        </w:rPr>
        <w:t>e)</w:t>
      </w:r>
      <w:r>
        <w:rPr>
          <w:noProof/>
        </w:rPr>
        <w:tab/>
        <w:t>az 1.9.4. pont helyébe a következő szöveg lép: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91"/>
        <w:gridCol w:w="1405"/>
        <w:gridCol w:w="858"/>
        <w:gridCol w:w="672"/>
        <w:gridCol w:w="1415"/>
      </w:tblGrid>
      <w:tr>
        <w:trPr>
          <w:tblCellSpacing w:w="0" w:type="dxa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„1.9.4.</w:t>
            </w:r>
          </w:p>
        </w:tc>
        <w:tc>
          <w:tcPr>
            <w:tcW w:w="2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A 9., a 41., a 63. és a 92. számú ENSZ EGB-előírás, valamint a Bizottság által javasolt vonatkozó új határértékek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L1e–L7e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2"/>
              </w:rPr>
              <w:t>”.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EA69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2C3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D63E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6405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127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7CA5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AA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1CE2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6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 "/>
    <w:docVar w:name="LW_ACCOMPAGNANT.CP" w:val="a következ\u337?höz: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3160E0F-C108-4D62-9C6F-4EEC6F937B8E"/>
    <w:docVar w:name="LW_COVERPAGE_TYPE" w:val="1"/>
    <w:docVar w:name="LW_CROSSREFERENCE" w:val="&lt;UNUSED&gt;"/>
    <w:docVar w:name="LW_DocType" w:val="ANNEX"/>
    <w:docVar w:name="LW_EMISSION" w:val="2018.3.19."/>
    <w:docVar w:name="LW_EMISSION_ISODATE" w:val="2018-03-19"/>
    <w:docVar w:name="LW_EMISSION_LOCATION" w:val="BRX"/>
    <w:docVar w:name="LW_EMISSION_PREFIX" w:val="Brüsszel,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168/2013/EU&lt;LWCR:NBS&gt;rendeletnek az Euro&lt;LWCR:NBS&gt;5 környezetvédelmi szintnek a két- vagy háromkerek\u369? járm\u369?vek, valamint a négykerek\u369? motorkerékpárok típusjóváhagyásához való alkalmazása tekintetében történ\u337? módosításáról"/>
    <w:docVar w:name="LW_OBJETACTEPRINCIPAL.CP" w:val="a 168/2013/EU rendeletnek az Euro 5 környezetvédelmi szintnek a két- vagy háromkerek\u369? járm\u369?vek, valamint a négykerek\u369? motorkerékpárok típusjóváhagyásához való alkalmazása tekintetében történ\u337? módosításáról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Z EURÓPAI PARLAMENT ÉS A TANÁCS RENDELETE"/>
    <w:docVar w:name="LW_TYPEACTEPRINCIPAL.CP" w:val="Javaslat_x000b_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409</Words>
  <Characters>2572</Characters>
  <Application>Microsoft Office Word</Application>
  <DocSecurity>0</DocSecurity>
  <Lines>233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BRASSART Odile (GROW)</dc:creator>
  <cp:lastModifiedBy>DIGIT/A3</cp:lastModifiedBy>
  <cp:revision>7</cp:revision>
  <cp:lastPrinted>2018-01-23T10:15:00Z</cp:lastPrinted>
  <dcterms:created xsi:type="dcterms:W3CDTF">2018-02-12T13:27:00Z</dcterms:created>
  <dcterms:modified xsi:type="dcterms:W3CDTF">2018-03-09T08:26:00Z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