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8" w:rsidRDefault="00174D27" w:rsidP="00174D27">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60FB783D-BD69-4354-878B-26DD0C48D617" style="width:450.75pt;height:389.25pt">
            <v:imagedata r:id="rId7" o:title=""/>
          </v:shape>
        </w:pict>
      </w:r>
    </w:p>
    <w:bookmarkEnd w:id="0"/>
    <w:p w:rsidR="008E2BD8" w:rsidRDefault="008E2BD8">
      <w:pPr>
        <w:rPr>
          <w:noProof/>
        </w:rPr>
        <w:sectPr w:rsidR="008E2BD8" w:rsidSect="00174D27">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pgNumType w:start="0"/>
          <w:cols w:space="720"/>
          <w:docGrid w:linePitch="360"/>
        </w:sectPr>
      </w:pPr>
    </w:p>
    <w:p w:rsidR="008E2BD8" w:rsidRDefault="00174D27">
      <w:pPr>
        <w:keepNext/>
        <w:tabs>
          <w:tab w:val="left" w:pos="480"/>
        </w:tabs>
        <w:spacing w:after="120" w:line="240" w:lineRule="auto"/>
        <w:ind w:left="480"/>
        <w:jc w:val="center"/>
        <w:outlineLvl w:val="0"/>
        <w:rPr>
          <w:rFonts w:ascii="Times New Roman" w:eastAsia="Times New Roman" w:hAnsi="Times New Roman" w:cs="Times New Roman"/>
          <w:b/>
          <w:smallCaps/>
          <w:noProof/>
          <w:sz w:val="24"/>
          <w:szCs w:val="24"/>
        </w:rPr>
      </w:pPr>
      <w:bookmarkStart w:id="1" w:name="_GoBack"/>
      <w:bookmarkEnd w:id="1"/>
      <w:r>
        <w:rPr>
          <w:rFonts w:ascii="Times New Roman" w:hAnsi="Times New Roman"/>
          <w:b/>
          <w:smallCaps/>
          <w:noProof/>
          <w:sz w:val="24"/>
        </w:rPr>
        <w:lastRenderedPageBreak/>
        <w:t>Konsulteerimine sidusrühmadega – Kokkuvõtlik aruanne</w:t>
      </w:r>
    </w:p>
    <w:p w:rsidR="008E2BD8" w:rsidRDefault="008E2BD8">
      <w:pPr>
        <w:spacing w:after="120" w:line="240" w:lineRule="auto"/>
        <w:jc w:val="both"/>
        <w:rPr>
          <w:rFonts w:ascii="Times New Roman" w:eastAsia="Times New Roman" w:hAnsi="Times New Roman" w:cs="Times New Roman"/>
          <w:b/>
          <w:noProof/>
          <w:sz w:val="24"/>
          <w:szCs w:val="24"/>
          <w:u w:val="single"/>
        </w:rPr>
      </w:pPr>
    </w:p>
    <w:p w:rsidR="008E2BD8" w:rsidRDefault="00174D27">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t>Kontekst – Euroopa sotsiaalõiguste sammas</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8. märtsil 2016 võttis Euroopa Komisjon vastu teatise, </w:t>
      </w:r>
      <w:r>
        <w:rPr>
          <w:rFonts w:ascii="Times New Roman" w:hAnsi="Times New Roman"/>
          <w:noProof/>
          <w:sz w:val="24"/>
        </w:rPr>
        <w:t>milles ta esitas esialgse kava, millest peaks kujunema Euroopa sotsiaalõiguste sammas</w:t>
      </w:r>
      <w:r>
        <w:rPr>
          <w:rFonts w:ascii="Times New Roman" w:hAnsi="Times New Roman"/>
          <w:noProof/>
          <w:sz w:val="24"/>
          <w:vertAlign w:val="superscript"/>
        </w:rPr>
        <w:footnoteReference w:id="1"/>
      </w:r>
      <w:r>
        <w:rPr>
          <w:rFonts w:ascii="Times New Roman" w:hAnsi="Times New Roman"/>
          <w:noProof/>
          <w:sz w:val="24"/>
        </w:rPr>
        <w:t>. Teatises esitati algatuse põhjused ning selle roll, kohaldamisala ja laad</w:t>
      </w:r>
      <w:r>
        <w:rPr>
          <w:rFonts w:ascii="Times New Roman" w:hAnsi="Times New Roman"/>
          <w:noProof/>
          <w:sz w:val="24"/>
          <w:vertAlign w:val="superscript"/>
        </w:rPr>
        <w:footnoteReference w:id="2"/>
      </w:r>
      <w:r>
        <w:rPr>
          <w:rFonts w:ascii="Times New Roman" w:hAnsi="Times New Roman"/>
          <w:noProof/>
          <w:sz w:val="24"/>
        </w:rPr>
        <w:t>.</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Selle põhjal algatas komisjon märtsist kuni 31. detsembrini 2016 väldanud laialdase avaliku </w:t>
      </w:r>
      <w:r>
        <w:rPr>
          <w:rFonts w:ascii="Times New Roman" w:hAnsi="Times New Roman"/>
          <w:noProof/>
          <w:sz w:val="24"/>
        </w:rPr>
        <w:t>konsultatsiooni, et saada ettepaneku kavandi kohta enne lõpliku versiooni valmimist tagasisidet. Konsultatsiooni eesmärk oli arutada olemasolevaid sotsiaalõigusi, töömaailma ja ühiskondade muutuvat olukorda ning majandus- ja rahaliidu sotsiaalse mõõtme osa</w:t>
      </w:r>
      <w:r>
        <w:rPr>
          <w:rFonts w:ascii="Times New Roman" w:hAnsi="Times New Roman"/>
          <w:noProof/>
          <w:sz w:val="24"/>
        </w:rPr>
        <w:t>ks oleva samba rolli. 23. jaanuaril 2017 toimus Euroopa konverents, millega võeti konsultatsiooniprotsess kokku</w:t>
      </w:r>
      <w:r>
        <w:rPr>
          <w:rFonts w:ascii="Times New Roman" w:hAnsi="Times New Roman"/>
          <w:noProof/>
          <w:sz w:val="24"/>
          <w:vertAlign w:val="superscript"/>
        </w:rPr>
        <w:footnoteReference w:id="3"/>
      </w:r>
      <w:r>
        <w:rPr>
          <w:rFonts w:ascii="Times New Roman" w:hAnsi="Times New Roman"/>
          <w:noProof/>
          <w:sz w:val="24"/>
        </w:rPr>
        <w:t>. Konsultatsiooni keskne teema oli see, kuidas tagada kõigi tööhõivevormide puhul inimeste sotsiaalkaitse.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Sidusrühmade väitel peaks „piisav ja </w:t>
      </w:r>
      <w:r>
        <w:rPr>
          <w:rFonts w:ascii="Times New Roman" w:hAnsi="Times New Roman"/>
          <w:noProof/>
          <w:sz w:val="24"/>
        </w:rPr>
        <w:t>kestlik sotsiaalkaitse olema tagatud kõigile inimestele sõltumata nende tööalasest seisundist, võttes nõuetekohaselt arvesse kõige haavatavamaid, lähtudes integreeritud lähenemisviisist hüvitistele ja teenuste osutamisele, sealhulgas riiklikke asjaolusid a</w:t>
      </w:r>
      <w:r>
        <w:rPr>
          <w:rFonts w:ascii="Times New Roman" w:hAnsi="Times New Roman"/>
          <w:noProof/>
          <w:sz w:val="24"/>
        </w:rPr>
        <w:t>rvesse võttev kättesaadav ja kestlik tervishoid ning koduhoolduse ja kogukonnapõhiste teenuste alusel toimiv kvaliteetne pikaajaline hooldus, samuti sobiv majutus ja toetus kodututele sotsiaalsel taasintegreerimisel. Piisavad mõistliku kestusega töötushüvi</w:t>
      </w:r>
      <w:r>
        <w:rPr>
          <w:rFonts w:ascii="Times New Roman" w:hAnsi="Times New Roman"/>
          <w:noProof/>
          <w:sz w:val="24"/>
        </w:rPr>
        <w:t>tised</w:t>
      </w:r>
      <w:r>
        <w:rPr>
          <w:rFonts w:ascii="Calibri" w:hAnsi="Calibri"/>
          <w:noProof/>
        </w:rPr>
        <w:t xml:space="preserve"> </w:t>
      </w:r>
      <w:r>
        <w:rPr>
          <w:rFonts w:ascii="Times New Roman" w:hAnsi="Times New Roman"/>
          <w:noProof/>
          <w:sz w:val="24"/>
        </w:rPr>
        <w:t>ja piisava miinimumsissetuleku süsteem peaksid tagama tööturule taasintegreerumist võimaldava sujuva sotsiaalkaitse taseme. Pensionisüsteemid peaksid tagama eakate piisava kaitse vaesuse eest ja samas tuleks kindlustada kestlikkus, et oleks tagatud t</w:t>
      </w:r>
      <w:r>
        <w:rPr>
          <w:rFonts w:ascii="Times New Roman" w:hAnsi="Times New Roman"/>
          <w:noProof/>
          <w:sz w:val="24"/>
        </w:rPr>
        <w:t>ulevaste põlvkondade kaitse ja vaesuseta lapsepõlve jaoks vajalikud ressursid.“</w:t>
      </w:r>
      <w:r>
        <w:rPr>
          <w:rFonts w:ascii="Times New Roman" w:hAnsi="Times New Roman"/>
          <w:noProof/>
          <w:sz w:val="24"/>
          <w:vertAlign w:val="superscript"/>
        </w:rPr>
        <w:footnoteReference w:id="4"/>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Sellesse arutelusse andsid oma panuse ka teised ELi institutsioonid. Kui Euroopa Majandus- ja Sotsiaalkomitee</w:t>
      </w:r>
      <w:r>
        <w:rPr>
          <w:rFonts w:ascii="Times New Roman" w:hAnsi="Times New Roman"/>
          <w:noProof/>
          <w:sz w:val="24"/>
          <w:vertAlign w:val="superscript"/>
        </w:rPr>
        <w:footnoteReference w:id="5"/>
      </w:r>
      <w:r>
        <w:rPr>
          <w:rFonts w:ascii="Times New Roman" w:hAnsi="Times New Roman"/>
          <w:noProof/>
          <w:sz w:val="24"/>
        </w:rPr>
        <w:t>, („leiab, et Euroopa Komisjoni algatatud arutelude puhul Euroopa</w:t>
      </w:r>
      <w:r>
        <w:rPr>
          <w:rFonts w:ascii="Times New Roman" w:hAnsi="Times New Roman"/>
          <w:noProof/>
          <w:sz w:val="24"/>
        </w:rPr>
        <w:t xml:space="preserve"> sotsiaalõiguste samba arendamise kohta oleks vaja, et arutelude ulatus hõlmaks ka nende töötajate olukorda, kes töötavad uute tööhõivevormide alusel, eelkõige nende seisundi tunnustamise viisi, ja tagada, et neil oleks asjakohane juurdepääs sotsiaalkindlu</w:t>
      </w:r>
      <w:r>
        <w:rPr>
          <w:rFonts w:ascii="Times New Roman" w:hAnsi="Times New Roman"/>
          <w:noProof/>
          <w:sz w:val="24"/>
        </w:rPr>
        <w:t>stus- ja sotsiaalkaitsesüsteemidele“) ja Regioonide Komitee</w:t>
      </w:r>
      <w:r>
        <w:rPr>
          <w:rFonts w:ascii="Times New Roman" w:hAnsi="Times New Roman"/>
          <w:noProof/>
          <w:sz w:val="24"/>
          <w:vertAlign w:val="superscript"/>
        </w:rPr>
        <w:footnoteReference w:id="6"/>
      </w:r>
      <w:r>
        <w:rPr>
          <w:rFonts w:ascii="Times New Roman" w:hAnsi="Times New Roman"/>
          <w:noProof/>
          <w:sz w:val="24"/>
        </w:rPr>
        <w:t xml:space="preserve"> („on seisukohal, et uutes tööhõivevormides või uute ühiste Euroopa miinimumstandardite määratlemisel tuleks alati võtta arvesse sotsiaalse kaitse piisavat taset“) tõid arutellu asjakohased elemen</w:t>
      </w:r>
      <w:r>
        <w:rPr>
          <w:rFonts w:ascii="Times New Roman" w:hAnsi="Times New Roman"/>
          <w:noProof/>
          <w:sz w:val="24"/>
        </w:rPr>
        <w:t>did, siis Euroopa Parlament</w:t>
      </w:r>
      <w:r>
        <w:rPr>
          <w:rFonts w:ascii="Times New Roman" w:hAnsi="Times New Roman"/>
          <w:noProof/>
          <w:sz w:val="24"/>
          <w:vertAlign w:val="superscript"/>
        </w:rPr>
        <w:footnoteReference w:id="7"/>
      </w:r>
      <w:r>
        <w:rPr>
          <w:rFonts w:ascii="Times New Roman" w:hAnsi="Times New Roman"/>
          <w:noProof/>
          <w:sz w:val="24"/>
        </w:rPr>
        <w:t xml:space="preserve"> läks kaugemale, kutsudes üles andma „soovitust, mis annaks võimaluse kõigi tööhõivevormide alusel töötavatele inimestele ja füüsilisest isikust ettevõtjatele“.</w:t>
      </w:r>
    </w:p>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174D27">
      <w:pPr>
        <w:spacing w:after="120" w:line="240" w:lineRule="auto"/>
        <w:jc w:val="both"/>
        <w:rPr>
          <w:rFonts w:ascii="Times New Roman" w:eastAsia="Times New Roman" w:hAnsi="Times New Roman" w:cs="Times New Roman"/>
          <w:b/>
          <w:noProof/>
          <w:sz w:val="24"/>
          <w:szCs w:val="24"/>
          <w:u w:val="single"/>
        </w:rPr>
      </w:pPr>
      <w:r>
        <w:rPr>
          <w:rFonts w:ascii="Times New Roman" w:hAnsi="Times New Roman"/>
          <w:b/>
          <w:noProof/>
          <w:sz w:val="24"/>
          <w:u w:val="single"/>
        </w:rPr>
        <w:lastRenderedPageBreak/>
        <w:t>Sotsiaalkaitsele juurdepääsu käsitlev algatus</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Selle algatuse </w:t>
      </w:r>
      <w:r>
        <w:rPr>
          <w:rFonts w:ascii="Times New Roman" w:hAnsi="Times New Roman"/>
          <w:noProof/>
          <w:sz w:val="24"/>
        </w:rPr>
        <w:t>jaoks teabe kogumiseks peeti mitu konsultatsiooni sidusrühmadega. See hõlmas Euroopa Liidu toimimise lepingu artikli 154 kohast kaheetapilist konsulteerimist Euroopa sotsiaalpartneritega ja avalikku konsultatsiooni.</w:t>
      </w:r>
    </w:p>
    <w:p w:rsidR="008E2BD8" w:rsidRDefault="00174D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1. Esialgse mõjuhinnangu tulemused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Komis</w:t>
      </w:r>
      <w:r>
        <w:rPr>
          <w:rFonts w:ascii="Times New Roman" w:hAnsi="Times New Roman"/>
          <w:noProof/>
          <w:sz w:val="24"/>
        </w:rPr>
        <w:t>jon sai esialgse mõjuhinnangu kohta tagasisidet üheksalt Madalmaade (6), Belgia, Saksamaa ja Ühendkuningriigi üksikisikult ja organisatsioonilt. Madalmaadest inimeste ja ühenduste käest saadud tagasisides rõhutatakse subsidiaarsust ja seda, et FIEd tahaksi</w:t>
      </w:r>
      <w:r>
        <w:rPr>
          <w:rFonts w:ascii="Times New Roman" w:hAnsi="Times New Roman"/>
          <w:noProof/>
          <w:sz w:val="24"/>
        </w:rPr>
        <w:t>d kanda oma otsuste, sealhulgas riskide vastu kindlustamise eest ise vastutust. Ühendkuningriigi äriorganisatsioon arvas, et vabatahtlikke kavasid on liikmesriikides lühi- kuni pikaajaliselt (2–5 aastaga) hõlpsam ellu viia, kuid neid tuleb rakendada riikid</w:t>
      </w:r>
      <w:r>
        <w:rPr>
          <w:rFonts w:ascii="Times New Roman" w:hAnsi="Times New Roman"/>
          <w:noProof/>
          <w:sz w:val="24"/>
        </w:rPr>
        <w:t>e tasandil ja valitsustel võib olla raske sellega nõustuda. EuroHealthNetilt saadud tagasisides rõhutatakse olulist rolli, mida sotsiaalkaitse mängib tervishoiualase ebavõrdsuse vähendamisel, ning Saksa Sotsiaalkindlustuse (DSV) katusorganisatsioonid toeta</w:t>
      </w:r>
      <w:r>
        <w:rPr>
          <w:rFonts w:ascii="Times New Roman" w:hAnsi="Times New Roman"/>
          <w:noProof/>
          <w:sz w:val="24"/>
        </w:rPr>
        <w:t>vad arutelu sotsiaalkaitsele juurdepääsu üle muutuvas töömaailmas ja sotsiaalkaitsesüsteemide tulevikukindlaks muutmise üle.</w:t>
      </w:r>
    </w:p>
    <w:p w:rsidR="008E2BD8" w:rsidRDefault="00174D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2. Sotsiaalpartneritega konsulteerimise esimese etapi tulemused</w:t>
      </w:r>
    </w:p>
    <w:p w:rsidR="008E2BD8" w:rsidRDefault="00174D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Sotsiaalpartneritega konsulteerimise esimene etapp algas 29. aprill</w:t>
      </w:r>
      <w:r>
        <w:rPr>
          <w:rFonts w:ascii="Times New Roman" w:hAnsi="Times New Roman"/>
          <w:noProof/>
          <w:sz w:val="24"/>
        </w:rPr>
        <w:t>il ja lõppes 23. juunil 2017.</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Konsultatsioonile vastanud ametiühingud olid Euroopa Ametiühingute Keskliit (ETUC), Eurocadres ning Euroopa Juhtivtöötajate Keskliit (CEC), Euroopa sõltumatute ametiühingute liit (CESI), Euroopa Kunsti- ja Meelelahutusvaldkonn</w:t>
      </w:r>
      <w:r>
        <w:rPr>
          <w:rFonts w:ascii="Times New Roman" w:hAnsi="Times New Roman"/>
          <w:noProof/>
          <w:sz w:val="24"/>
        </w:rPr>
        <w:t>a Töötajate Liit (EAEA) ja Euroopa Ajakirjanike Liit (EFJ). Tuleb silmas pidada, et Euroopa Ametiühingute Keskliidu vastuses võeti arvesse ka kümne ETUCi valdkondliku ametiühinguorganisatsiooni seisukohad.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Tööandjate poolt saatsid konsultatsioonile vastuse</w:t>
      </w:r>
      <w:r>
        <w:rPr>
          <w:rFonts w:ascii="Times New Roman" w:hAnsi="Times New Roman"/>
          <w:noProof/>
          <w:sz w:val="24"/>
        </w:rPr>
        <w:t>d BusinessEurope, Euroopa Riigiosalusega Ettevõtete Keskus (CEEP), EuroCommerce, Euroopa Käsitööettevõtjate ning Väikeste ja Keskmise Suurusega Ettevõtjate Keskliit (UEAPME), Euroopa metallurgia, masinaehituse ja tehnoloogia põhiste tööstuste tööandjate nõ</w:t>
      </w:r>
      <w:r>
        <w:rPr>
          <w:rFonts w:ascii="Times New Roman" w:hAnsi="Times New Roman"/>
          <w:noProof/>
          <w:sz w:val="24"/>
        </w:rPr>
        <w:t>ukogu (CEEMET), Euroopa Kohalike ja Piirkondlike Omavalitsuste Nõukogu (CEMR), Euroopa keemiatööstuse tööandjate grupp (ECEG), Euroopa Hotellide, Restoranide ja Kohvikute Kutseliit (HOTREC), jaemüügi ning hulgi- ja rahvusvahelise kaubanduse ettevõtete esin</w:t>
      </w:r>
      <w:r>
        <w:rPr>
          <w:rFonts w:ascii="Times New Roman" w:hAnsi="Times New Roman"/>
          <w:noProof/>
          <w:sz w:val="24"/>
        </w:rPr>
        <w:t xml:space="preserve">dusorganisatsioon ELi juures (EuroCommerce), Euroopa Liidu põllumajandusorganisatsioonide komitee tööandjate rühm (GEOPA-COPA) ja Maailma Tööhõive Keskliit (WEC). </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Sotsiaalkaitsele juurdepääsuga seotud probleemide tuvastamine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Sotsiaalpartnerid olid üldisel</w:t>
      </w:r>
      <w:r>
        <w:rPr>
          <w:rFonts w:ascii="Times New Roman" w:hAnsi="Times New Roman"/>
          <w:noProof/>
          <w:sz w:val="24"/>
        </w:rPr>
        <w:t>t nõus, et mittestandardsete tööhõivevormidega hõivatud töötajate ja FIEde puhul esineb sotsiaalkaitsele juurdepääsuga probleeme.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Tööandjad aga rõhutasid, et väga mitmesuguste tööhõivevormide koondamine kategooria „mittestandardne“ alla pole asjakohane, ku</w:t>
      </w:r>
      <w:r>
        <w:rPr>
          <w:rFonts w:ascii="Times New Roman" w:hAnsi="Times New Roman"/>
          <w:noProof/>
          <w:sz w:val="24"/>
        </w:rPr>
        <w:t>na ei võeta arvesse nende vormide mitmekesisust ning nende alusel töötavate isikute sotsiaalkaitsele juurdepääsu vajadusi ja soove (BusinessEurope). WEC tõstis lisaks esile FIEde erisugusust. UEAPME kutsus üles põhjalikult kaardistama riiklikke meetmeid, k</w:t>
      </w:r>
      <w:r>
        <w:rPr>
          <w:rFonts w:ascii="Times New Roman" w:hAnsi="Times New Roman"/>
          <w:noProof/>
          <w:sz w:val="24"/>
        </w:rPr>
        <w:t>ohandatud sotsiaalkaitsekavade kättesaadavust ja pakkumist ning kasutamist erinevate rühmade kaupa. CEEP tõstis esile erinevaid tööturu- ja sotsiaalseid mudeleid, mis selgitavad erinevat kaitsetaset.</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Teisalt leidsid ametiühingud, et probleemide tuvastamine</w:t>
      </w:r>
      <w:r>
        <w:rPr>
          <w:rFonts w:ascii="Times New Roman" w:hAnsi="Times New Roman"/>
          <w:noProof/>
          <w:sz w:val="24"/>
        </w:rPr>
        <w:t xml:space="preserve"> kulgeb õiges suunas, aga seda saaks siiski parandada, täpsustades, et uued töövormid toovad kaasa töökohtade viletsama kvaliteedi </w:t>
      </w:r>
      <w:r>
        <w:rPr>
          <w:rFonts w:ascii="Times New Roman" w:hAnsi="Times New Roman"/>
          <w:noProof/>
          <w:sz w:val="24"/>
        </w:rPr>
        <w:lastRenderedPageBreak/>
        <w:t>ja ebakindlad tingimused, mis viivad pigem elus esinevate riskide vastase kaitse puudumise kui tegelike töövõimalusteni (ETUC</w:t>
      </w:r>
      <w:r>
        <w:rPr>
          <w:rFonts w:ascii="Times New Roman" w:hAnsi="Times New Roman"/>
          <w:noProof/>
          <w:sz w:val="24"/>
        </w:rPr>
        <w:t>, Eurocadres). Probleemiks on veel õigus kollektiivläbirääkimistele, kõigi õiglane tasustamine ja kõigi töötajate ühinemisvabadus (EFJ). Ametiühingud rõhutasid veel, et tagada tuleb kooskõla kirjaliku tõendi direktiivis sisalduvate ettepanekutega sotsiaalk</w:t>
      </w:r>
      <w:r>
        <w:rPr>
          <w:rFonts w:ascii="Times New Roman" w:hAnsi="Times New Roman"/>
          <w:noProof/>
          <w:sz w:val="24"/>
        </w:rPr>
        <w:t>indlustussüsteemi käsitleva teabe kohta (ETUC, Eurocadres).</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Kõige olulisemad sotsiaalkaitse- ja tööhõiveteenuste harud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Ametiühingud peavad kõiki harusid võrdselt oluliseks ning pooldavad integreeritud ja terviklikku lähenemist sotsiaalkaitsele, olenemata e</w:t>
      </w:r>
      <w:r>
        <w:rPr>
          <w:rFonts w:ascii="Times New Roman" w:hAnsi="Times New Roman"/>
          <w:noProof/>
          <w:sz w:val="24"/>
        </w:rPr>
        <w:t>espool nimetatud erinevustest poliitikavaldkondade vahel, sealhulgas kõigi ILO konventsioonis 102 (ja sotsiaalkindlustussüsteemide koordineerimise määruses) käsitletud harud. Kui need harud tuleks panna tähtsuse järjekorda, pooldaks CEC neid, mis pole univ</w:t>
      </w:r>
      <w:r>
        <w:rPr>
          <w:rFonts w:ascii="Times New Roman" w:hAnsi="Times New Roman"/>
          <w:noProof/>
          <w:sz w:val="24"/>
        </w:rPr>
        <w:t>ersaalsed. Kõigile tuleks tagada juurdepääs seotud tööhõiveteenustele.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Tööandjatel olid selles küsimuses erinevad arvamused. BusinessEurope’i arvates eeldab küsimus, et selles vallas luuakse ELi algatus (mida organisatsioon ei poolda). EuroCommerce seab ka</w:t>
      </w:r>
      <w:r>
        <w:rPr>
          <w:rFonts w:ascii="Times New Roman" w:hAnsi="Times New Roman"/>
          <w:noProof/>
          <w:sz w:val="24"/>
        </w:rPr>
        <w:t>htluse alla sotsiaalkaitseharude liigitamise teostatavuse, COPA peab aga tähtsaks tööõnnetuste ja kutsehaigustega seotud küsimusi. HOTREC peab sotsiaalkaitset riikide pädevusse kuuluvaks teemaks, rõhutades ühtlasi, et oskused, haridus ja koolitus peak</w:t>
      </w:r>
      <w:r>
        <w:rPr>
          <w:noProof/>
        </w:rPr>
        <w:t>sid o</w:t>
      </w:r>
      <w:r>
        <w:rPr>
          <w:noProof/>
        </w:rPr>
        <w:t>lema kõigile kodanikele hõlpsasti kättesaadavad.</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ELi algatuse isikuline kohaldamisala</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Ametiühingud pooldavad üldiselt laialdast isikulist kohaldamisala ning kõigi mittestandardseid tööhõivevorme kasutavate töötajate ja ka FIEde kaasamist ELi algatusse. Mõn</w:t>
      </w:r>
      <w:r>
        <w:rPr>
          <w:rFonts w:ascii="Times New Roman" w:hAnsi="Times New Roman"/>
          <w:noProof/>
          <w:sz w:val="24"/>
        </w:rPr>
        <w:t>ed aga kutsuvad eelkõige üles määrama kindlaks põhimõtted, mille alusel kehtestada ELi tasandil ühine arusaam erinevate tööhõivevormide õiguslikust laadist (CEC, CESI).</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Tööandjad ei taha eriti vastata küsimusele ELi algatuse isikulise kohaldamisala kohta, </w:t>
      </w:r>
      <w:r>
        <w:rPr>
          <w:rFonts w:ascii="Times New Roman" w:hAnsi="Times New Roman"/>
          <w:noProof/>
          <w:sz w:val="24"/>
        </w:rPr>
        <w:t>sest nad ei poolda ELi algatust (BusinessEurope), viitavad subsidiaarsuse põhimõttele (HOTREC) või arvavad, et isikuline kohaldamisala sõltub vastava algatuse laadist (EuroCommerce). CEMR rõhutab, et erinevate tööhõivevormide õigusliku laadi osas on vaja s</w:t>
      </w:r>
      <w:r>
        <w:rPr>
          <w:rFonts w:ascii="Times New Roman" w:hAnsi="Times New Roman"/>
          <w:noProof/>
          <w:sz w:val="24"/>
        </w:rPr>
        <w:t>uuremat selgust, COPA aga kaasaks kõik mittestandardsetes töösuhetes olevad töötajad ELi õiguslikku algatusse, kuid käsitleks FIEsid vaid soovituses.</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ELi õigusaktid ja ELi tasandi vahendid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BusinessEurope, UEAPME ja EuroCommerce ei arva, et kõnealuse valdko</w:t>
      </w:r>
      <w:r>
        <w:rPr>
          <w:rFonts w:ascii="Times New Roman" w:hAnsi="Times New Roman"/>
          <w:noProof/>
          <w:sz w:val="24"/>
        </w:rPr>
        <w:t>nna ELi õigusaktide muutmine oleks vajalik või kohane. Üksteiselt õppimise ja heade tavade vahetamise õiged vahendid oleksid avatud koordinatsiooni meetod ja Euroopa poolaasta protsess, sealhulgas võrdlusnäitajad. Eesmärgiks peaks olema riiklike poliitikam</w:t>
      </w:r>
      <w:r>
        <w:rPr>
          <w:rFonts w:ascii="Times New Roman" w:hAnsi="Times New Roman"/>
          <w:noProof/>
          <w:sz w:val="24"/>
        </w:rPr>
        <w:t>eetmete parandamine, õppides muudest asjakohastest liikmesriikide tavadest. Teised tööandjate organisatsioonid juhivad tähelepanu valdkondlikule sotsiaaldialoogile (COPA), liikmesriikide pädevusele ning subsidiaarsuse ja proportsionaalsuse põhimõtetele (CE</w:t>
      </w:r>
      <w:r>
        <w:rPr>
          <w:rFonts w:ascii="Times New Roman" w:hAnsi="Times New Roman"/>
          <w:noProof/>
          <w:sz w:val="24"/>
        </w:rPr>
        <w:t xml:space="preserve">EMET, ECEG, EuroCommerce, WEC ja CEEP).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Ametiühingute arvates tuleks ELi õigusakte parandada. ETUC ja CESI näevad olemasolevate õigusaktide täitmise parema tagamise vajadust, eriti riikide tasandil. CEC mainib vajadust vähendada halduskoormust, mida võib </w:t>
      </w:r>
      <w:r>
        <w:rPr>
          <w:rFonts w:ascii="Times New Roman" w:hAnsi="Times New Roman"/>
          <w:noProof/>
          <w:sz w:val="24"/>
        </w:rPr>
        <w:t>seostada inimese tööhõiveolukorra alase teabe andmisega ja kõigi õiguste tõhusa ülekantavuse tagamisega.</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Läbirääkimisvalmidus</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Kõik ametiühingud on avaldanud valmisolekut alustada läbirääkimisi. Kuid juhul, kui ELi sotsiaalpartnerid ei nõustu läbirääkimiste</w:t>
      </w:r>
      <w:r>
        <w:rPr>
          <w:rFonts w:ascii="Times New Roman" w:hAnsi="Times New Roman"/>
          <w:noProof/>
          <w:sz w:val="24"/>
        </w:rPr>
        <w:t>ga või kui läbirääkimised ei lõpe edukalt, soovitavad ametiühingud komisjonil tulla välja seadusandliku ettepanekuga.</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Tööandjad ei kaalu Euroopa Liidu toimimise lepingu artikli 155 kohase dialoogi algatamist, kuna nad ei näe vajadust ELi tasandi meetmete </w:t>
      </w:r>
      <w:r>
        <w:rPr>
          <w:rFonts w:ascii="Times New Roman" w:hAnsi="Times New Roman"/>
          <w:noProof/>
          <w:sz w:val="24"/>
        </w:rPr>
        <w:t>järele, v.a vastastikune õpe ja tavade vahetamine (BusinessEurope), või kuna selles vallas on kõige olulisem subsidiaarsus (HOTREC, UAPME) ja selle küsimusega on parem tegeleda riikide valitsuste tasandil (EuroCommerce) või valdkondliku sotsiaaldialoogi ra</w:t>
      </w:r>
      <w:r>
        <w:rPr>
          <w:rFonts w:ascii="Times New Roman" w:hAnsi="Times New Roman"/>
          <w:noProof/>
          <w:sz w:val="24"/>
        </w:rPr>
        <w:t>ames (COPA). CEEP rõhutab, et kõigepealt tuleb määratleda õiged näitajad.</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Konsultatsiooni ulatus</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ETUC ei kasutanud võimalust esitada selged ettepanekud kvaliteetsete töökohtade loomiseks koos nende jälgimiseks mõeldud kokkulepitud näitajatega, sealhulgas </w:t>
      </w:r>
      <w:r>
        <w:rPr>
          <w:rFonts w:ascii="Times New Roman" w:hAnsi="Times New Roman"/>
          <w:noProof/>
          <w:sz w:val="24"/>
        </w:rPr>
        <w:t>sotsiaalkaitsele juurdepääsu kohta. Seetõttu pidas ETUC ebapiisava juurdepääsu kindlaks tehtud põhiaspekte (sotsiaalkaitsele juurdepääsu puudulikkus, õiguste ülekantavuse ja sotsiaalkaitseõiguste läbipaistvuse puudumine) olulisteks lahendamist vajavateks p</w:t>
      </w:r>
      <w:r>
        <w:rPr>
          <w:rFonts w:ascii="Times New Roman" w:hAnsi="Times New Roman"/>
          <w:noProof/>
          <w:sz w:val="24"/>
        </w:rPr>
        <w:t>robleemideks, kuid seadis rõhuasetuse inimeste erinevate sotsiaalkaitse ja tööhõiveteenuste alaste sotsiaalõigustega seonduvate probleemide lahendamisele.</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Täiendav konsulteerimine sotsiaalpartneritega</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Tööhõive ja sotsiaalküsimuste peadirektoraat on korrald</w:t>
      </w:r>
      <w:r>
        <w:rPr>
          <w:rFonts w:ascii="Times New Roman" w:hAnsi="Times New Roman"/>
          <w:noProof/>
          <w:sz w:val="24"/>
        </w:rPr>
        <w:t>anud kahepoolseid kohtumisi kõigi 16 sotsiaalpartneriga, kes andsid sotsiaalpartneritega konsulteerimise esimesse etappi oma panuse. Need kohtumised toimusid 14. juulist 5. septembrini. Kahepoolsete kohtumiste eesmärk oli keskenduda tehnilistele selgituste</w:t>
      </w:r>
      <w:r>
        <w:rPr>
          <w:rFonts w:ascii="Times New Roman" w:hAnsi="Times New Roman"/>
          <w:noProof/>
          <w:sz w:val="24"/>
        </w:rPr>
        <w:t xml:space="preserve">le ja võimaluse korral lisateabe kogumisele. Saadud teave esitatakse käesoleva dokumendi vastavates peatükkides. </w:t>
      </w:r>
    </w:p>
    <w:p w:rsidR="008E2BD8" w:rsidRDefault="008E2BD8">
      <w:pPr>
        <w:spacing w:after="120" w:line="240" w:lineRule="auto"/>
        <w:jc w:val="both"/>
        <w:rPr>
          <w:rFonts w:ascii="Calibri" w:eastAsia="Calibri" w:hAnsi="Calibri" w:cs="Times New Roman"/>
          <w:noProof/>
        </w:rPr>
      </w:pPr>
      <w:bookmarkStart w:id="2" w:name="_Toc500495879"/>
    </w:p>
    <w:p w:rsidR="008E2BD8" w:rsidRDefault="00174D27">
      <w:pPr>
        <w:keepNext/>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3. Sotsiaalpartneritega konsulteerimise teise etapi tulemused</w:t>
      </w:r>
      <w:bookmarkEnd w:id="2"/>
    </w:p>
    <w:p w:rsidR="008E2BD8" w:rsidRDefault="00174D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Sotsiaalpartneritega konsulteerimise teine etapp algas 20. novembril ja lõppes </w:t>
      </w:r>
      <w:r>
        <w:rPr>
          <w:rFonts w:ascii="Times New Roman" w:hAnsi="Times New Roman"/>
          <w:noProof/>
          <w:sz w:val="24"/>
        </w:rPr>
        <w:t>5. jaanuaril 2018.</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Konsultatsioonile vastanud ametiühingud olid Euroopa Ametiühingute Keskliit (ETUC), Eurocadres ja Euroopa Juhtivtöötajate Keskliit (CEC), Euroopa sõltumatute ametiühingute liit (CESI), Euroopa Kunsti- ja Meelelahutusvaldkonna Töötajate L</w:t>
      </w:r>
      <w:r>
        <w:rPr>
          <w:rFonts w:ascii="Times New Roman" w:hAnsi="Times New Roman"/>
          <w:noProof/>
          <w:sz w:val="24"/>
        </w:rPr>
        <w:t xml:space="preserve">iit (EAEA), UNI Europa ning Maailma Tööhõive Keskliit (WEC).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Tööandjatest saatsid konsultatsioonile vastused BusinessEurope, Euroopa Riigiosalusega Ettevõtete Keskus (CEEP), EuroCommerce, Euroopa Käsitööettevõtjate ning Väikeste ja Keskmise Suurusega Ette</w:t>
      </w:r>
      <w:r>
        <w:rPr>
          <w:rFonts w:ascii="Times New Roman" w:hAnsi="Times New Roman"/>
          <w:noProof/>
          <w:sz w:val="24"/>
        </w:rPr>
        <w:t xml:space="preserve">võtjate Keskliit (UEAPME), Euroopa metallurgia, masinaehituse ja tehnoloogia põhiste tööstuste tööandjate nõukogu (CEEMET), Euroopa keemiatööstuse tööandjate grupp (ECEG) ja Euroopa Hotellide, Restoranide ja Kohvikute Kutseliit (HOTREC). </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Kaetuse, ülekanta</w:t>
      </w:r>
      <w:r>
        <w:rPr>
          <w:rFonts w:ascii="Times New Roman" w:hAnsi="Times New Roman"/>
          <w:b/>
          <w:noProof/>
          <w:sz w:val="24"/>
        </w:rPr>
        <w:t>vuse ja läbipaistvuse eesmärgid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Ametiühingud jagavad algatuses esitatud kaetuse, ülekantavuse ja läbipaistvuse eesmärke. ETUCi jaoks on väga oluline ametlik ja tegelik kaetus, millele tuleks lisada juurdepääs </w:t>
      </w:r>
      <w:r>
        <w:rPr>
          <w:rFonts w:ascii="Times New Roman" w:hAnsi="Times New Roman"/>
          <w:i/>
          <w:noProof/>
          <w:sz w:val="24"/>
        </w:rPr>
        <w:t>piisavale</w:t>
      </w:r>
      <w:r>
        <w:rPr>
          <w:rFonts w:ascii="Times New Roman" w:hAnsi="Times New Roman"/>
          <w:noProof/>
          <w:sz w:val="24"/>
        </w:rPr>
        <w:t xml:space="preserve"> sotsiaalkaitsele. Maksed ja hüvitised</w:t>
      </w:r>
      <w:r>
        <w:rPr>
          <w:rFonts w:ascii="Times New Roman" w:hAnsi="Times New Roman"/>
          <w:noProof/>
          <w:sz w:val="24"/>
        </w:rPr>
        <w:t xml:space="preserve"> (FIEde ja mittestandardsete lepingutega töötajate puhul) peaksid olema võimalikult võrdsed standardsete töölepingute alusel töötajate omadega (CESI). Sotsiaalkaitseõiguste isikutega sidumine ei tohiks tuua kaasa sotsiaalkaitse individualiseerimist ja säil</w:t>
      </w:r>
      <w:r>
        <w:rPr>
          <w:rFonts w:ascii="Times New Roman" w:hAnsi="Times New Roman"/>
          <w:noProof/>
          <w:sz w:val="24"/>
        </w:rPr>
        <w:t>itada tuleb kollektiivne mõõde (EAEA). Sõltumata tööhõive vormist või kestusest tuleb tagada nende õiguste, hüvitiste ja hüvitisõiguste täielik ülekantavus ja liitmine (UNI Europa). Samuti rõhutati koolituse ja tööhõiveteenuste kättesaadavuse tähtsust (Eur</w:t>
      </w:r>
      <w:r>
        <w:rPr>
          <w:rFonts w:ascii="Times New Roman" w:hAnsi="Times New Roman"/>
          <w:noProof/>
          <w:sz w:val="24"/>
        </w:rPr>
        <w:t xml:space="preserve">ocadres). Kõik ametiühingud nõustuvad, et vaja on suuremat läbipaistvust.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Tööandjate poolt vaadates on arvamused üsna erinevad. Enamik tööandjate organisatsioone on kolme eesmärgiga enamasti nõus, kuid nad tõstavad esile liikmesriikide pädevust selles val</w:t>
      </w:r>
      <w:r>
        <w:rPr>
          <w:rFonts w:ascii="Times New Roman" w:hAnsi="Times New Roman"/>
          <w:noProof/>
          <w:sz w:val="24"/>
        </w:rPr>
        <w:t>las (BusinessEurope, EuroCommerce, CEEMET, CEEP ja UAPME).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ECEG ei jaga seisukohta, et mittestandardse lepinguga töötajatel ja FIEdel on sotsiaalkaitsele piiratud juurdepääs, ega näe vajadust otsida töötaja jaoks ELi tasandil ühist määratlust.</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HOTREC nõust</w:t>
      </w:r>
      <w:r>
        <w:rPr>
          <w:rFonts w:ascii="Times New Roman" w:hAnsi="Times New Roman"/>
          <w:noProof/>
          <w:sz w:val="24"/>
        </w:rPr>
        <w:t xml:space="preserve">ub, et vaja on suuremat läbipaistvust, kuid väidab, et kõige olulisem on subsidiaarsuse põhimõte, ja pooldab seetõttu ülekantavate süsteemide kaardistamist riikide tasandil. </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Kohustusliku ja vabatahtliku ametliku kaetuse variandid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Kõik ametiühingud eelista</w:t>
      </w:r>
      <w:r>
        <w:rPr>
          <w:rFonts w:ascii="Times New Roman" w:hAnsi="Times New Roman"/>
          <w:noProof/>
          <w:sz w:val="24"/>
        </w:rPr>
        <w:t>vad kohustuslikku ametlikku standardlepingutega töötajatega võrdsustatud kaetust (ETUC, EAEA), kuid arvestada tuleb ka riikide traditsioonidega (CEC).</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Tööandjad avaldasid nende arvamuste kohta erinevaid seisukohti. ECEG nõustub, et sotsiaalkaitse peaks ole</w:t>
      </w:r>
      <w:r>
        <w:rPr>
          <w:rFonts w:ascii="Times New Roman" w:hAnsi="Times New Roman"/>
          <w:noProof/>
          <w:sz w:val="24"/>
        </w:rPr>
        <w:t>ma kohustuslik, kuid töötajatel peaks olema õigus valida kaetuse vormi (avalik või erakindlustus). BusinessEurope tõstis esile FIEde valikuvabaduse. CEEP ja EuroCommerce pooldavad vabatahtlikku ametlikku kaetust, et võetaks arvesse FIEde tööhõivevormide mi</w:t>
      </w:r>
      <w:r>
        <w:rPr>
          <w:rFonts w:ascii="Times New Roman" w:hAnsi="Times New Roman"/>
          <w:noProof/>
          <w:sz w:val="24"/>
        </w:rPr>
        <w:t>tmekesisust. HOTREC, CEEMET ja UAPME osutasid sellele, et eeskätt tuleks silmas pidada subsidiaarsus.</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Sobiv meede tegeliku kaetuse tagamiseks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Ametiühingutel ja tööandjatel on sobiva meetme osas vastandlikud seisukohad. Ametiühingud pooldavad olemasolevate</w:t>
      </w:r>
      <w:r>
        <w:rPr>
          <w:rFonts w:ascii="Times New Roman" w:hAnsi="Times New Roman"/>
          <w:noProof/>
          <w:sz w:val="24"/>
        </w:rPr>
        <w:t xml:space="preserve"> kavade laiendamist ja kohandamist kõigi tööhõivevormide alusel töötavatele inimestele (ETUC), minnes ELi aluslepingute piires võimalikult kaugele (CESI). Mainitakse siduvate miinimumpõhimõtete ja -nõuetega ELi direktiivi (UNI Europa, EAEA), mis aga ei toh</w:t>
      </w:r>
      <w:r>
        <w:rPr>
          <w:rFonts w:ascii="Times New Roman" w:hAnsi="Times New Roman"/>
          <w:noProof/>
          <w:sz w:val="24"/>
        </w:rPr>
        <w:t>iks õõnestada olemasolevat ELi õigustikku ega muuta olemasolevaid riiklikke standardeid leebemaks; samuti ei tohiks see põhjustada õiguste ühtlustamist madalamale tasemele.</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Teisalt on tööandjate organisatsioonid vastu selles valdkonnas õiguslikult siduvate</w:t>
      </w:r>
      <w:r>
        <w:rPr>
          <w:rFonts w:ascii="Times New Roman" w:hAnsi="Times New Roman"/>
          <w:noProof/>
          <w:sz w:val="24"/>
        </w:rPr>
        <w:t>le meetmetele, kuna nende väitel on esmatähtis subsidiaarsuse põhimõte (ECEG, HOTREC), aga nad pooldaksid avatud koordinatsiooni meetodi kasutamist, Euroopa poolaastat, parimate tavade vahetamist, võrdlusnäitajaid ja sotsiaalnäitajate tulemustabelit (Busin</w:t>
      </w:r>
      <w:r>
        <w:rPr>
          <w:rFonts w:ascii="Times New Roman" w:hAnsi="Times New Roman"/>
          <w:noProof/>
          <w:sz w:val="24"/>
        </w:rPr>
        <w:t>essEurope). Mõnede tööandjate organisatsioonide (CEEP ja EuroCommerce) arvates oleks sobiv vahend nõukogu soovitus.</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Ülekantavuse ja läbipaistvuse tagamiseks kohased miinimumnõuded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Ametiühingute arvates on tööturusuundumuste tõttu vaja sotsiaalkaitse vallas</w:t>
      </w:r>
      <w:r>
        <w:rPr>
          <w:rFonts w:ascii="Times New Roman" w:hAnsi="Times New Roman"/>
          <w:noProof/>
          <w:sz w:val="24"/>
        </w:rPr>
        <w:t xml:space="preserve"> teatud ühiseid miinimumstandardeid (CESI). Tagada tuleks täielik ülekantavus, sidudes sotsiaalkaitseõigused isikutega võrdsustatud kalkulatsioonide ja summeerimise kaudu, aga ilma sotsiaalkaitset individualiseerimata (ETUC).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Mõned tööandjad on nõus õigus</w:t>
      </w:r>
      <w:r>
        <w:rPr>
          <w:rFonts w:ascii="Times New Roman" w:hAnsi="Times New Roman"/>
          <w:noProof/>
          <w:sz w:val="24"/>
        </w:rPr>
        <w:t>te ülekantavuse põhimõttega, kuid kutsuvad enne õiguslikult siduvate meetmete loomist üles hindama selle mõju (ECEG) või väidavad, et kõige olulisem on subsidiaarsus ja soodustada tuleks olemasolevate ülekantavate süsteemide kaardistamist (HOTREC).</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Teised </w:t>
      </w:r>
      <w:r>
        <w:rPr>
          <w:rFonts w:ascii="Times New Roman" w:hAnsi="Times New Roman"/>
          <w:noProof/>
          <w:sz w:val="24"/>
        </w:rPr>
        <w:t>soovitavad ELil piirduda üldsätetega (UAPME) või piirata ülekantavust minimaalsete sotsiaalkaitseõigustega (EuroCommerce). Ülekantavuse halduskulu tuleks hoida minimaalsena ja uuel tööandjal ei tohiks tekkida ülekantavate õigustega seoses mingeid lisakulus</w:t>
      </w:r>
      <w:r>
        <w:rPr>
          <w:rFonts w:ascii="Times New Roman" w:hAnsi="Times New Roman"/>
          <w:noProof/>
          <w:sz w:val="24"/>
        </w:rPr>
        <w:t>id (CEEP).</w:t>
      </w:r>
    </w:p>
    <w:p w:rsidR="008E2BD8" w:rsidRDefault="00174D27">
      <w:p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Läbirääkimisvalmidus</w:t>
      </w:r>
    </w:p>
    <w:p w:rsidR="008E2BD8" w:rsidRDefault="00174D27">
      <w:pPr>
        <w:spacing w:after="120" w:line="240" w:lineRule="auto"/>
        <w:jc w:val="both"/>
        <w:rPr>
          <w:rFonts w:ascii="Times New Roman" w:eastAsia="Times New Roman" w:hAnsi="Times New Roman" w:cs="Times New Roman"/>
          <w:noProof/>
        </w:rPr>
      </w:pPr>
      <w:r>
        <w:rPr>
          <w:rFonts w:ascii="Times New Roman" w:hAnsi="Times New Roman"/>
          <w:noProof/>
          <w:sz w:val="24"/>
        </w:rPr>
        <w:t xml:space="preserve">Kõik ametiühingud on avaldanud valmisolekut alustada läbirääkimisi. ETUC oli siiski veendunud, et tingimusi ametlikeks läbirääkimisteks enam ei ole, ning teised ametiühingud soovitavad komisjonil tulla enne 2019. aasta </w:t>
      </w:r>
      <w:r>
        <w:rPr>
          <w:rFonts w:ascii="Times New Roman" w:hAnsi="Times New Roman"/>
          <w:noProof/>
          <w:sz w:val="24"/>
        </w:rPr>
        <w:t>Euroopa Parlamendi valimisi välja seadusandliku ettepanekuga. Tööandjad ei kaalu ELi toimimise lepingu artikli 155 kohase dialoogi algatamist, kuna ei näe vajadust ELi tasandi meetmete järele.</w:t>
      </w:r>
    </w:p>
    <w:p w:rsidR="008E2BD8" w:rsidRDefault="00174D27">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 xml:space="preserve">4. Avaliku konsultatsiooni tulemused </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Avalik konsultatsioon oli</w:t>
      </w:r>
      <w:r>
        <w:rPr>
          <w:rFonts w:ascii="Times New Roman" w:hAnsi="Times New Roman"/>
          <w:noProof/>
          <w:sz w:val="24"/>
        </w:rPr>
        <w:t xml:space="preserve"> avatud 20. novembrist 2017 kuni 15. jaanuarini 2018. Konsultatsioonile vastas 119 osalejat, kellest 62 olid organisatsioonid, 7 asutused, 37 kodanikud ja 13 muud vastajad (nt uurimisinstituudid ja võrgustikud). Enamik vastuseid tuli hästi arenenud sotsiaa</w:t>
      </w:r>
      <w:r>
        <w:rPr>
          <w:rFonts w:ascii="Times New Roman" w:hAnsi="Times New Roman"/>
          <w:noProof/>
          <w:sz w:val="24"/>
        </w:rPr>
        <w:t>lkaitsesüsteemidega riikidest, nagu Saksamaa (18), Belgia (16), Prantsusmaa (15) ja Rootsi (14). Saadi 15 seisukohta, peamiselt Saksamaalt (5), Belgiast (4), Prantsusmaalt (2) ja Ühendkuningriigist (2), ning need hõlmasid piirkondlikke ja keskvalitsusi, so</w:t>
      </w:r>
      <w:r>
        <w:rPr>
          <w:rFonts w:ascii="Times New Roman" w:hAnsi="Times New Roman"/>
          <w:noProof/>
          <w:sz w:val="24"/>
        </w:rPr>
        <w:t xml:space="preserve">tsiaalkaitse pakkujaid, ühistuid, FIEde organisatsioone, ametiühingut, </w:t>
      </w:r>
      <w:r>
        <w:rPr>
          <w:rFonts w:ascii="Times New Roman" w:hAnsi="Times New Roman"/>
          <w:noProof/>
        </w:rPr>
        <w:t>vabaühendust</w:t>
      </w:r>
      <w:r>
        <w:rPr>
          <w:rFonts w:ascii="Times New Roman" w:hAnsi="Times New Roman"/>
          <w:noProof/>
          <w:sz w:val="24"/>
        </w:rPr>
        <w:t xml:space="preserve"> ja ettevõtet. </w:t>
      </w:r>
    </w:p>
    <w:p w:rsidR="008E2BD8" w:rsidRDefault="00174D27">
      <w:pPr>
        <w:spacing w:after="0"/>
        <w:rPr>
          <w:rFonts w:ascii="Times New Roman" w:eastAsia="Times New Roman" w:hAnsi="Times New Roman" w:cs="Times New Roman"/>
          <w:b/>
          <w:noProof/>
          <w:sz w:val="24"/>
          <w:szCs w:val="24"/>
        </w:rPr>
      </w:pPr>
      <w:r>
        <w:rPr>
          <w:rFonts w:ascii="Times New Roman" w:hAnsi="Times New Roman"/>
          <w:b/>
          <w:noProof/>
          <w:sz w:val="24"/>
        </w:rPr>
        <w:t>Probleemid</w:t>
      </w:r>
    </w:p>
    <w:p w:rsidR="008E2BD8" w:rsidRDefault="00174D27">
      <w:pPr>
        <w:spacing w:after="0" w:line="240" w:lineRule="auto"/>
        <w:ind w:right="-142"/>
        <w:rPr>
          <w:rFonts w:ascii="Times New Roman" w:eastAsia="Times New Roman" w:hAnsi="Times New Roman" w:cs="Times New Roman"/>
          <w:i/>
          <w:noProof/>
          <w:sz w:val="24"/>
          <w:szCs w:val="24"/>
        </w:rPr>
      </w:pPr>
      <w:r>
        <w:rPr>
          <w:rFonts w:ascii="Times New Roman" w:hAnsi="Times New Roman"/>
          <w:i/>
          <w:noProof/>
          <w:sz w:val="24"/>
        </w:rPr>
        <w:t>„Kas nõustute taustdokumendis kirjeldatud probleemide määratlusega?“</w:t>
      </w:r>
    </w:p>
    <w:p w:rsidR="008E2BD8" w:rsidRDefault="008E2BD8">
      <w:pPr>
        <w:spacing w:after="0" w:line="240" w:lineRule="auto"/>
        <w:ind w:right="-142"/>
        <w:rPr>
          <w:rFonts w:ascii="Times New Roman" w:eastAsia="Times New Roman" w:hAnsi="Times New Roman" w:cs="Times New Roman"/>
          <w:noProof/>
          <w:sz w:val="24"/>
          <w:szCs w:val="24"/>
        </w:rPr>
      </w:pPr>
    </w:p>
    <w:p w:rsidR="008E2BD8" w:rsidRDefault="00174D27">
      <w:pPr>
        <w:spacing w:after="0" w:line="240" w:lineRule="auto"/>
        <w:ind w:right="-142"/>
        <w:rPr>
          <w:rFonts w:ascii="Times New Roman" w:eastAsia="Times New Roman" w:hAnsi="Times New Roman" w:cs="Times New Roman"/>
          <w:noProof/>
          <w:sz w:val="24"/>
          <w:szCs w:val="24"/>
        </w:rPr>
      </w:pPr>
      <w:r>
        <w:rPr>
          <w:rFonts w:ascii="Times New Roman" w:hAnsi="Times New Roman"/>
          <w:noProof/>
          <w:sz w:val="24"/>
        </w:rPr>
        <w:t>Umbes 2/3 vastajaist oli komisjoni poolt kindlaks tehtud probleemidega nõus.</w:t>
      </w:r>
      <w:r>
        <w:rPr>
          <w:rFonts w:ascii="Times New Roman" w:hAnsi="Times New Roman"/>
          <w:noProof/>
          <w:sz w:val="24"/>
        </w:rPr>
        <w:t xml:space="preserve"> Enim nõustuti sellega, et probleemiks on tegeliku kaetuse puudujäägid, millele järgnes seadusandluse keerukus.</w:t>
      </w:r>
    </w:p>
    <w:p w:rsidR="008E2BD8" w:rsidRDefault="008E2BD8">
      <w:pPr>
        <w:spacing w:after="0" w:line="240" w:lineRule="auto"/>
        <w:ind w:right="-142"/>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4643"/>
        <w:gridCol w:w="4643"/>
      </w:tblGrid>
      <w:tr w:rsidR="008E2BD8">
        <w:tc>
          <w:tcPr>
            <w:tcW w:w="4643" w:type="dxa"/>
          </w:tcPr>
          <w:p w:rsidR="008E2BD8" w:rsidRDefault="008E2BD8">
            <w:pPr>
              <w:ind w:right="-142"/>
              <w:rPr>
                <w:rFonts w:ascii="Times New Roman" w:eastAsia="Times New Roman" w:hAnsi="Times New Roman"/>
                <w:noProof/>
                <w:sz w:val="24"/>
                <w:szCs w:val="24"/>
              </w:rPr>
            </w:pP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Olen nõus (vastust 119 vastusest)</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Sotsiaalkaitse ametlik kättesaadavus on puudulik</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66</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Sotsiaalkaitse tegelik kättesaadavus on puudulik</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78</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E</w:t>
            </w:r>
            <w:r>
              <w:rPr>
                <w:rFonts w:ascii="Times New Roman" w:hAnsi="Times New Roman"/>
                <w:noProof/>
                <w:sz w:val="24"/>
              </w:rPr>
              <w:t>bapiisav ülekantavus</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65</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Ebapiisav läbipaistvus</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69</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Seadusandlus on keerukas</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75</w:t>
            </w:r>
          </w:p>
        </w:tc>
      </w:tr>
      <w:tr w:rsidR="008E2BD8">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Esineb muid probleeme</w:t>
            </w:r>
          </w:p>
        </w:tc>
        <w:tc>
          <w:tcPr>
            <w:tcW w:w="4643" w:type="dxa"/>
          </w:tcPr>
          <w:p w:rsidR="008E2BD8" w:rsidRDefault="00174D27">
            <w:pPr>
              <w:ind w:right="-142"/>
              <w:rPr>
                <w:rFonts w:ascii="Times New Roman" w:eastAsia="Times New Roman" w:hAnsi="Times New Roman"/>
                <w:noProof/>
                <w:sz w:val="24"/>
                <w:szCs w:val="24"/>
              </w:rPr>
            </w:pPr>
            <w:r>
              <w:rPr>
                <w:rFonts w:ascii="Times New Roman" w:hAnsi="Times New Roman"/>
                <w:noProof/>
                <w:sz w:val="24"/>
              </w:rPr>
              <w:t>62</w:t>
            </w:r>
          </w:p>
        </w:tc>
      </w:tr>
    </w:tbl>
    <w:p w:rsidR="008E2BD8" w:rsidRDefault="008E2BD8">
      <w:pPr>
        <w:spacing w:after="0" w:line="240" w:lineRule="auto"/>
        <w:ind w:right="-142"/>
        <w:rPr>
          <w:rFonts w:ascii="Times New Roman" w:eastAsia="Times New Roman" w:hAnsi="Times New Roman" w:cs="Times New Roman"/>
          <w:noProof/>
          <w:sz w:val="24"/>
          <w:szCs w:val="24"/>
        </w:rPr>
      </w:pPr>
    </w:p>
    <w:p w:rsidR="008E2BD8" w:rsidRDefault="008E2BD8">
      <w:pPr>
        <w:spacing w:after="120"/>
        <w:rPr>
          <w:rFonts w:ascii="Times New Roman" w:eastAsia="Times New Roman" w:hAnsi="Times New Roman" w:cs="Times New Roman"/>
          <w:b/>
          <w:noProof/>
          <w:sz w:val="24"/>
          <w:szCs w:val="24"/>
        </w:rPr>
      </w:pPr>
    </w:p>
    <w:p w:rsidR="008E2BD8" w:rsidRDefault="00174D27">
      <w:pPr>
        <w:spacing w:after="120"/>
        <w:rPr>
          <w:rFonts w:ascii="Times New Roman" w:eastAsia="Times New Roman" w:hAnsi="Times New Roman" w:cs="Times New Roman"/>
          <w:b/>
          <w:noProof/>
          <w:sz w:val="24"/>
          <w:szCs w:val="24"/>
        </w:rPr>
      </w:pPr>
      <w:r>
        <w:rPr>
          <w:rFonts w:ascii="Times New Roman" w:hAnsi="Times New Roman"/>
          <w:b/>
          <w:noProof/>
          <w:sz w:val="24"/>
        </w:rPr>
        <w:t>Põhimõtted</w:t>
      </w:r>
    </w:p>
    <w:p w:rsidR="008E2BD8" w:rsidRDefault="00174D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„Kas Teie arvates oleks mõistlik alljärgnevate poliitika üldpõhimõtete elluviimiseks kasutada mõnd ELi algatust?“</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Vastajate suur enamus oli nõus, et põhimõtete elluviimiseks tuleks rakendada võimalikku ELi meedet, mis peaks hõlmama kõigile töötajatele piisava sotsiaalkaitse pakkumist sõltumata nende töösuhtest, sidudes õigused isikutega, kui nad töötavad, ning muutes </w:t>
      </w:r>
      <w:r>
        <w:rPr>
          <w:rFonts w:ascii="Times New Roman" w:hAnsi="Times New Roman"/>
          <w:noProof/>
          <w:sz w:val="24"/>
        </w:rPr>
        <w:t xml:space="preserve">õigused ülekantavaks, teabe läbipaistvaks ja lihtsustades haldusnõudeid. Ainult 14 vastajat nõustusid valikuga „meetmeid ei ole vaja“. </w:t>
      </w:r>
    </w:p>
    <w:p w:rsidR="008E2BD8" w:rsidRDefault="008E2BD8">
      <w:pPr>
        <w:spacing w:after="120" w:line="240" w:lineRule="auto"/>
        <w:jc w:val="both"/>
        <w:rPr>
          <w:rFonts w:ascii="Times New Roman" w:eastAsia="Times New Roman" w:hAnsi="Times New Roman" w:cs="Times New Roman"/>
          <w:noProof/>
          <w:sz w:val="24"/>
          <w:szCs w:val="24"/>
        </w:rPr>
      </w:pPr>
    </w:p>
    <w:tbl>
      <w:tblPr>
        <w:tblStyle w:val="TableGrid1"/>
        <w:tblW w:w="0" w:type="auto"/>
        <w:tblLayout w:type="fixed"/>
        <w:tblLook w:val="04A0" w:firstRow="1" w:lastRow="0" w:firstColumn="1" w:lastColumn="0" w:noHBand="0" w:noVBand="1"/>
      </w:tblPr>
      <w:tblGrid>
        <w:gridCol w:w="7052"/>
        <w:gridCol w:w="2234"/>
      </w:tblGrid>
      <w:tr w:rsidR="008E2BD8">
        <w:tc>
          <w:tcPr>
            <w:tcW w:w="7052" w:type="dxa"/>
          </w:tcPr>
          <w:p w:rsidR="008E2BD8" w:rsidRDefault="008E2BD8">
            <w:pPr>
              <w:spacing w:after="120"/>
              <w:jc w:val="both"/>
              <w:rPr>
                <w:rFonts w:ascii="Times New Roman" w:eastAsia="Times New Roman" w:hAnsi="Times New Roman"/>
                <w:noProof/>
                <w:sz w:val="24"/>
                <w:szCs w:val="24"/>
              </w:rPr>
            </w:pP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Olen nõus (vastust 119 vastusest)</w:t>
            </w:r>
          </w:p>
        </w:tc>
      </w:tr>
      <w:tr w:rsidR="008E2BD8">
        <w:tc>
          <w:tcPr>
            <w:tcW w:w="7052"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 xml:space="preserve">Töösuhte liigist ja kestusest olenemata on töötajatel ning võrreldavatel </w:t>
            </w:r>
            <w:r>
              <w:rPr>
                <w:rFonts w:ascii="Times New Roman" w:hAnsi="Times New Roman"/>
                <w:noProof/>
                <w:sz w:val="24"/>
              </w:rPr>
              <w:t>tingimustel füüsilisest isikust ettevõtjatel õigus piisavale sotsiaalkaitsele</w:t>
            </w: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85</w:t>
            </w:r>
          </w:p>
        </w:tc>
      </w:tr>
      <w:tr w:rsidR="008E2BD8">
        <w:tc>
          <w:tcPr>
            <w:tcW w:w="7052"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Isikute õigused tuleb siduda nende tööga (aga mitte töölepinguga) ja muuta ülekantavateks</w:t>
            </w: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72</w:t>
            </w:r>
          </w:p>
        </w:tc>
      </w:tr>
      <w:tr w:rsidR="008E2BD8">
        <w:tc>
          <w:tcPr>
            <w:tcW w:w="7052"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Õigused ja nendega seotud teave peavad olema läbipaistvad</w:t>
            </w: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86</w:t>
            </w:r>
          </w:p>
        </w:tc>
      </w:tr>
      <w:tr w:rsidR="008E2BD8">
        <w:tc>
          <w:tcPr>
            <w:tcW w:w="7052"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Haldusnõudeid tule</w:t>
            </w:r>
            <w:r>
              <w:rPr>
                <w:rFonts w:ascii="Times New Roman" w:hAnsi="Times New Roman"/>
                <w:noProof/>
                <w:sz w:val="24"/>
              </w:rPr>
              <w:t>b lihtsustada</w:t>
            </w: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82</w:t>
            </w:r>
          </w:p>
        </w:tc>
      </w:tr>
      <w:tr w:rsidR="008E2BD8">
        <w:tc>
          <w:tcPr>
            <w:tcW w:w="7052"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Uusi meetmeid ei ole vaja</w:t>
            </w:r>
          </w:p>
        </w:tc>
        <w:tc>
          <w:tcPr>
            <w:tcW w:w="2234"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14</w:t>
            </w:r>
          </w:p>
        </w:tc>
      </w:tr>
    </w:tbl>
    <w:p w:rsidR="008E2BD8" w:rsidRDefault="008E2BD8">
      <w:pPr>
        <w:spacing w:after="120"/>
        <w:rPr>
          <w:rFonts w:ascii="Times New Roman" w:eastAsia="Times New Roman" w:hAnsi="Times New Roman" w:cs="Times New Roman"/>
          <w:b/>
          <w:noProof/>
          <w:sz w:val="24"/>
          <w:szCs w:val="24"/>
        </w:rPr>
      </w:pPr>
    </w:p>
    <w:p w:rsidR="008E2BD8" w:rsidRDefault="00174D27">
      <w:pPr>
        <w:spacing w:after="120"/>
        <w:rPr>
          <w:rFonts w:ascii="Times New Roman" w:eastAsia="Times New Roman" w:hAnsi="Times New Roman" w:cs="Times New Roman"/>
          <w:b/>
          <w:noProof/>
          <w:sz w:val="24"/>
          <w:szCs w:val="24"/>
        </w:rPr>
      </w:pPr>
      <w:r>
        <w:rPr>
          <w:rFonts w:ascii="Times New Roman" w:hAnsi="Times New Roman"/>
          <w:b/>
          <w:noProof/>
          <w:sz w:val="24"/>
        </w:rPr>
        <w:t>Valikuvariandid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Loetletud variantide puhul väitis 69,7 % vastajaist, et sotsiaalkaitseõigused ja kohustused peaksid olema igat liiki töö puhul lepingu liigist sõltumata kohustuslikud, ja 56,3 % vastajaist ar</w:t>
      </w:r>
      <w:r>
        <w:rPr>
          <w:rFonts w:ascii="Times New Roman" w:hAnsi="Times New Roman"/>
          <w:noProof/>
          <w:sz w:val="24"/>
        </w:rPr>
        <w:t>vas, et mittestandardsete lepingutega töötajate kohustuslik kaitse ja maksed tuleb viia vastavusse standardlepinguga töötajate omadega.</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64,7 % vastajaist arvab, et sotsiaalkaitseõigused ja kohustused peaksid olema kõigi FIEde puhul kohustuslikud, ja 47,1 %</w:t>
      </w:r>
      <w:r>
        <w:rPr>
          <w:rFonts w:ascii="Times New Roman" w:hAnsi="Times New Roman"/>
          <w:noProof/>
          <w:sz w:val="24"/>
        </w:rPr>
        <w:t xml:space="preserve"> vastajaist arvab, et FIEde kohustuslik kaitse ja maksed tuleb viia vastavusse standardlepinguga töötajate omadega.</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Lõpuks arvab 52,94 % vastajaist, et üks kõiki tööga hõivatud isikuid kattev sotsiaalkaitsekava oleks kohaseim viis tegeliku kaetuse tagamise</w:t>
      </w:r>
      <w:r>
        <w:rPr>
          <w:rFonts w:ascii="Times New Roman" w:hAnsi="Times New Roman"/>
          <w:noProof/>
          <w:sz w:val="24"/>
        </w:rPr>
        <w:t>ks. Lausa 54,6 % vastajaist peab FIEde jaoks sobivaks ühte sotsiaalkaitsekava.</w:t>
      </w:r>
    </w:p>
    <w:p w:rsidR="008E2BD8" w:rsidRDefault="008E2BD8">
      <w:pPr>
        <w:spacing w:after="120" w:line="240" w:lineRule="auto"/>
        <w:rPr>
          <w:rFonts w:ascii="Times New Roman" w:eastAsia="Times New Roman" w:hAnsi="Times New Roman" w:cs="Times New Roman"/>
          <w:b/>
          <w:noProof/>
          <w:sz w:val="24"/>
          <w:szCs w:val="24"/>
        </w:rPr>
      </w:pPr>
    </w:p>
    <w:p w:rsidR="008E2BD8" w:rsidRDefault="00174D27">
      <w:pPr>
        <w:spacing w:after="120" w:line="240" w:lineRule="auto"/>
        <w:rPr>
          <w:rFonts w:ascii="Times New Roman" w:eastAsia="Times New Roman" w:hAnsi="Times New Roman" w:cs="Times New Roman"/>
          <w:b/>
          <w:noProof/>
          <w:sz w:val="24"/>
          <w:szCs w:val="24"/>
        </w:rPr>
      </w:pPr>
      <w:r>
        <w:rPr>
          <w:rFonts w:ascii="Times New Roman" w:hAnsi="Times New Roman"/>
          <w:b/>
          <w:noProof/>
          <w:sz w:val="24"/>
        </w:rPr>
        <w:t>Vahendid</w:t>
      </w: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Peaaegu kolm neljandikku vastajaist (72,3 %) tõstab esile vajaduse ELi tasandi meetmete järele. 54,6 % vastajaist peab väga tõhusaks uute ELi õigusaktide (nt </w:t>
      </w:r>
      <w:r>
        <w:rPr>
          <w:rFonts w:ascii="Times New Roman" w:hAnsi="Times New Roman"/>
          <w:noProof/>
          <w:sz w:val="24"/>
        </w:rPr>
        <w:t>direktiivi) kehtestamist. Ainult 4,2 % vastajaist peab väga tõhusaks nn pehmeid ELi õigusakte (nt nõukogu soovitus).</w:t>
      </w:r>
    </w:p>
    <w:p w:rsidR="008E2BD8" w:rsidRDefault="008E2BD8">
      <w:pPr>
        <w:spacing w:after="120"/>
        <w:rPr>
          <w:rFonts w:ascii="Times New Roman" w:eastAsia="Times New Roman" w:hAnsi="Times New Roman" w:cs="Times New Roman"/>
          <w:b/>
          <w:noProof/>
          <w:sz w:val="24"/>
          <w:szCs w:val="24"/>
        </w:rPr>
      </w:pPr>
    </w:p>
    <w:p w:rsidR="008E2BD8" w:rsidRDefault="00174D27">
      <w:pPr>
        <w:spacing w:after="120"/>
        <w:rPr>
          <w:rFonts w:ascii="Times New Roman" w:eastAsia="Times New Roman" w:hAnsi="Times New Roman" w:cs="Times New Roman"/>
          <w:b/>
          <w:noProof/>
          <w:sz w:val="24"/>
          <w:szCs w:val="24"/>
        </w:rPr>
      </w:pPr>
      <w:r>
        <w:rPr>
          <w:rFonts w:ascii="Times New Roman" w:hAnsi="Times New Roman"/>
          <w:b/>
          <w:noProof/>
          <w:sz w:val="24"/>
        </w:rPr>
        <w:t>Mõjud</w:t>
      </w:r>
    </w:p>
    <w:p w:rsidR="008E2BD8" w:rsidRDefault="00174D27">
      <w:pPr>
        <w:spacing w:after="120" w:line="240" w:lineRule="auto"/>
        <w:rPr>
          <w:rFonts w:ascii="Times New Roman" w:eastAsia="Times New Roman" w:hAnsi="Times New Roman" w:cs="Times New Roman"/>
          <w:noProof/>
          <w:sz w:val="24"/>
          <w:szCs w:val="24"/>
        </w:rPr>
      </w:pPr>
      <w:r>
        <w:rPr>
          <w:rFonts w:ascii="Times New Roman" w:hAnsi="Times New Roman"/>
          <w:noProof/>
          <w:sz w:val="24"/>
        </w:rPr>
        <w:t xml:space="preserve">Vastajate suure enamuse arvates avaldaks sotsiaalkaitseõiguste kõigi tööhõivevormide puhul </w:t>
      </w:r>
      <w:r>
        <w:rPr>
          <w:rFonts w:ascii="Times New Roman" w:hAnsi="Times New Roman"/>
          <w:b/>
          <w:noProof/>
          <w:sz w:val="24"/>
        </w:rPr>
        <w:t>kohustuslikuks</w:t>
      </w:r>
      <w:r>
        <w:rPr>
          <w:rFonts w:ascii="Times New Roman" w:hAnsi="Times New Roman"/>
          <w:noProof/>
          <w:sz w:val="24"/>
        </w:rPr>
        <w:t xml:space="preserve"> tegemine Euroopa ühiskonna</w:t>
      </w:r>
      <w:r>
        <w:rPr>
          <w:rFonts w:ascii="Times New Roman" w:hAnsi="Times New Roman"/>
          <w:noProof/>
          <w:sz w:val="24"/>
        </w:rPr>
        <w:t>le, tööturule, töötajatele, riigi rahandusele ja majandusele positiivset mõju,</w:t>
      </w:r>
    </w:p>
    <w:p w:rsidR="008E2BD8" w:rsidRDefault="008E2BD8">
      <w:pPr>
        <w:spacing w:after="120" w:line="240" w:lineRule="auto"/>
        <w:rPr>
          <w:rFonts w:ascii="Times New Roman" w:eastAsia="Times New Roman" w:hAnsi="Times New Roman" w:cs="Times New Roman"/>
          <w:noProof/>
          <w:sz w:val="24"/>
          <w:szCs w:val="24"/>
        </w:rPr>
      </w:pPr>
    </w:p>
    <w:p w:rsidR="008E2BD8" w:rsidRDefault="00174D27">
      <w:pPr>
        <w:spacing w:after="120" w:line="240" w:lineRule="auto"/>
        <w:rPr>
          <w:rFonts w:ascii="Times New Roman" w:eastAsia="Times New Roman" w:hAnsi="Times New Roman" w:cs="Times New Roman"/>
          <w:i/>
          <w:noProof/>
          <w:sz w:val="24"/>
          <w:szCs w:val="24"/>
        </w:rPr>
      </w:pPr>
      <w:r>
        <w:rPr>
          <w:rFonts w:ascii="Times New Roman" w:hAnsi="Times New Roman"/>
          <w:i/>
          <w:noProof/>
          <w:sz w:val="24"/>
        </w:rPr>
        <w:t>„Mõju, mida avaldab sotsiaalkaitseõiguste kohustuslikuks muutmine kõigi tööhõivevormide puhul, oleks Teie hinnangul positiivne, neutraalne või negatiivne: majandusele“</w:t>
      </w:r>
    </w:p>
    <w:tbl>
      <w:tblPr>
        <w:tblStyle w:val="TableGrid1"/>
        <w:tblW w:w="0" w:type="auto"/>
        <w:tblLayout w:type="fixed"/>
        <w:tblLook w:val="04A0" w:firstRow="1" w:lastRow="0" w:firstColumn="1" w:lastColumn="0" w:noHBand="0" w:noVBand="1"/>
      </w:tblPr>
      <w:tblGrid>
        <w:gridCol w:w="4643"/>
        <w:gridCol w:w="4643"/>
      </w:tblGrid>
      <w:tr w:rsidR="008E2BD8">
        <w:tc>
          <w:tcPr>
            <w:tcW w:w="4643" w:type="dxa"/>
          </w:tcPr>
          <w:p w:rsidR="008E2BD8" w:rsidRDefault="008E2BD8">
            <w:pPr>
              <w:spacing w:after="120"/>
              <w:rPr>
                <w:rFonts w:ascii="Times New Roman" w:eastAsia="Times New Roman" w:hAnsi="Times New Roman"/>
                <w:noProof/>
                <w:sz w:val="24"/>
                <w:szCs w:val="24"/>
              </w:rPr>
            </w:pPr>
          </w:p>
        </w:tc>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Positii</w:t>
            </w:r>
            <w:r>
              <w:rPr>
                <w:rFonts w:ascii="Times New Roman" w:hAnsi="Times New Roman"/>
                <w:noProof/>
                <w:sz w:val="24"/>
              </w:rPr>
              <w:t>vne (vastust 119 vastusest)</w:t>
            </w:r>
          </w:p>
        </w:tc>
      </w:tr>
      <w:tr w:rsidR="008E2BD8">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Konkurentsivõime seisukohast</w:t>
            </w:r>
          </w:p>
        </w:tc>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73</w:t>
            </w:r>
          </w:p>
        </w:tc>
      </w:tr>
      <w:tr w:rsidR="008E2BD8">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Toimetulekuvõime ja kohanduvuse seisukohast</w:t>
            </w:r>
          </w:p>
        </w:tc>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72</w:t>
            </w:r>
          </w:p>
        </w:tc>
      </w:tr>
      <w:tr w:rsidR="008E2BD8">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Majanduskasvu seisukohast</w:t>
            </w:r>
          </w:p>
        </w:tc>
        <w:tc>
          <w:tcPr>
            <w:tcW w:w="4643"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72</w:t>
            </w:r>
          </w:p>
        </w:tc>
      </w:tr>
    </w:tbl>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kuid väikestele ja keskmise suurusega ettevõtjatele (VKEd) pigem neutraalset.</w:t>
      </w:r>
    </w:p>
    <w:p w:rsidR="008E2BD8" w:rsidRDefault="00174D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 xml:space="preserve">„Mõju, mida avaldab </w:t>
      </w:r>
      <w:r>
        <w:rPr>
          <w:rFonts w:ascii="Times New Roman" w:hAnsi="Times New Roman"/>
          <w:i/>
          <w:noProof/>
          <w:sz w:val="24"/>
        </w:rPr>
        <w:t>sotsiaalkaitseõiguste kohustuslikuks muutmine kõigi tööhõivevormide puhul, oleks Teie hinnangul positiivne, neutraalne või negatiivne: väikestele ja keskmise suurusega ettevõtjatele“</w:t>
      </w:r>
    </w:p>
    <w:tbl>
      <w:tblPr>
        <w:tblStyle w:val="TableGrid1"/>
        <w:tblW w:w="0" w:type="auto"/>
        <w:tblLayout w:type="fixed"/>
        <w:tblLook w:val="04A0" w:firstRow="1" w:lastRow="0" w:firstColumn="1" w:lastColumn="0" w:noHBand="0" w:noVBand="1"/>
      </w:tblPr>
      <w:tblGrid>
        <w:gridCol w:w="4643"/>
        <w:gridCol w:w="4643"/>
      </w:tblGrid>
      <w:tr w:rsidR="008E2BD8">
        <w:tc>
          <w:tcPr>
            <w:tcW w:w="4643" w:type="dxa"/>
          </w:tcPr>
          <w:p w:rsidR="008E2BD8" w:rsidRDefault="008E2BD8">
            <w:pPr>
              <w:spacing w:after="120"/>
              <w:jc w:val="both"/>
              <w:rPr>
                <w:rFonts w:ascii="Times New Roman" w:eastAsia="Times New Roman" w:hAnsi="Times New Roman"/>
                <w:noProof/>
                <w:sz w:val="24"/>
                <w:szCs w:val="24"/>
              </w:rPr>
            </w:pP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Neutraalne (vastust 119 vastusest)</w:t>
            </w:r>
          </w:p>
        </w:tc>
      </w:tr>
      <w:tr w:rsidR="008E2BD8">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Kulud</w:t>
            </w: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51</w:t>
            </w:r>
          </w:p>
        </w:tc>
      </w:tr>
      <w:tr w:rsidR="008E2BD8">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Konkurents</w:t>
            </w: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45</w:t>
            </w:r>
          </w:p>
        </w:tc>
      </w:tr>
    </w:tbl>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Teisalt av</w:t>
      </w:r>
      <w:r>
        <w:rPr>
          <w:rFonts w:ascii="Times New Roman" w:hAnsi="Times New Roman"/>
          <w:noProof/>
          <w:sz w:val="24"/>
        </w:rPr>
        <w:t xml:space="preserve">aldaks sotsiaalkaitseõiguste </w:t>
      </w:r>
      <w:r>
        <w:rPr>
          <w:rFonts w:ascii="Times New Roman" w:hAnsi="Times New Roman"/>
          <w:b/>
          <w:noProof/>
          <w:sz w:val="24"/>
        </w:rPr>
        <w:t>vabatahtlikuks</w:t>
      </w:r>
      <w:r>
        <w:rPr>
          <w:rFonts w:ascii="Times New Roman" w:hAnsi="Times New Roman"/>
          <w:noProof/>
          <w:sz w:val="24"/>
        </w:rPr>
        <w:t xml:space="preserve"> muutmine praegu esinevate puuduste korral Euroopa ühiskonnale, tööturule, töötajatele, riigi rahandusele ja majandusele neutraalset/negatiivset mõju,</w:t>
      </w:r>
    </w:p>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174D27">
      <w:pPr>
        <w:spacing w:after="120" w:line="240" w:lineRule="auto"/>
        <w:jc w:val="both"/>
        <w:rPr>
          <w:rFonts w:ascii="Times New Roman" w:eastAsia="Times New Roman" w:hAnsi="Times New Roman" w:cs="Times New Roman"/>
          <w:i/>
          <w:noProof/>
          <w:sz w:val="24"/>
          <w:szCs w:val="24"/>
        </w:rPr>
      </w:pPr>
      <w:r>
        <w:rPr>
          <w:rFonts w:ascii="Times New Roman" w:hAnsi="Times New Roman"/>
          <w:i/>
          <w:noProof/>
          <w:sz w:val="24"/>
        </w:rPr>
        <w:t>„Mõju, mis tuleneb sotsiaalkaitseõiguste vabatahtlikuks muutm</w:t>
      </w:r>
      <w:r>
        <w:rPr>
          <w:rFonts w:ascii="Times New Roman" w:hAnsi="Times New Roman"/>
          <w:i/>
          <w:noProof/>
          <w:sz w:val="24"/>
        </w:rPr>
        <w:t>isest seal, kus praegu esineb puudusi, oleks Teie hinnangul: majandusele“</w:t>
      </w:r>
    </w:p>
    <w:tbl>
      <w:tblPr>
        <w:tblStyle w:val="TableGrid1"/>
        <w:tblW w:w="0" w:type="auto"/>
        <w:tblLayout w:type="fixed"/>
        <w:tblLook w:val="04A0" w:firstRow="1" w:lastRow="0" w:firstColumn="1" w:lastColumn="0" w:noHBand="0" w:noVBand="1"/>
      </w:tblPr>
      <w:tblGrid>
        <w:gridCol w:w="3439"/>
        <w:gridCol w:w="2760"/>
        <w:gridCol w:w="3087"/>
      </w:tblGrid>
      <w:tr w:rsidR="008E2BD8">
        <w:tc>
          <w:tcPr>
            <w:tcW w:w="3439" w:type="dxa"/>
          </w:tcPr>
          <w:p w:rsidR="008E2BD8" w:rsidRDefault="008E2BD8">
            <w:pPr>
              <w:spacing w:after="120"/>
              <w:rPr>
                <w:rFonts w:ascii="Times New Roman" w:eastAsia="Times New Roman" w:hAnsi="Times New Roman"/>
                <w:noProof/>
                <w:sz w:val="24"/>
                <w:szCs w:val="24"/>
              </w:rPr>
            </w:pPr>
          </w:p>
        </w:tc>
        <w:tc>
          <w:tcPr>
            <w:tcW w:w="2760"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Negatiivne (vastust 119 vastusest)</w:t>
            </w:r>
          </w:p>
        </w:tc>
        <w:tc>
          <w:tcPr>
            <w:tcW w:w="3087"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Neutraalne (vastust 119 vastusest)</w:t>
            </w:r>
          </w:p>
        </w:tc>
      </w:tr>
      <w:tr w:rsidR="008E2BD8">
        <w:tc>
          <w:tcPr>
            <w:tcW w:w="3439"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Konkurentsivõime seisukohast</w:t>
            </w:r>
          </w:p>
        </w:tc>
        <w:tc>
          <w:tcPr>
            <w:tcW w:w="2760"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45</w:t>
            </w:r>
          </w:p>
        </w:tc>
        <w:tc>
          <w:tcPr>
            <w:tcW w:w="3087"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 xml:space="preserve">43 </w:t>
            </w:r>
          </w:p>
        </w:tc>
      </w:tr>
      <w:tr w:rsidR="008E2BD8">
        <w:tc>
          <w:tcPr>
            <w:tcW w:w="3439"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Toimetulekuvõime ja kohanduvuse seisukohast</w:t>
            </w:r>
          </w:p>
        </w:tc>
        <w:tc>
          <w:tcPr>
            <w:tcW w:w="2760"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40</w:t>
            </w:r>
          </w:p>
        </w:tc>
      </w:tr>
      <w:tr w:rsidR="008E2BD8">
        <w:tc>
          <w:tcPr>
            <w:tcW w:w="3439"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 xml:space="preserve">Majanduskasvu </w:t>
            </w:r>
            <w:r>
              <w:rPr>
                <w:rFonts w:ascii="Times New Roman" w:hAnsi="Times New Roman"/>
                <w:noProof/>
                <w:sz w:val="24"/>
              </w:rPr>
              <w:t>seisukohast</w:t>
            </w:r>
          </w:p>
        </w:tc>
        <w:tc>
          <w:tcPr>
            <w:tcW w:w="2760"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49</w:t>
            </w:r>
          </w:p>
        </w:tc>
        <w:tc>
          <w:tcPr>
            <w:tcW w:w="3087" w:type="dxa"/>
          </w:tcPr>
          <w:p w:rsidR="008E2BD8" w:rsidRDefault="00174D27">
            <w:pPr>
              <w:spacing w:after="120"/>
              <w:rPr>
                <w:rFonts w:ascii="Times New Roman" w:eastAsia="Times New Roman" w:hAnsi="Times New Roman"/>
                <w:noProof/>
                <w:sz w:val="24"/>
                <w:szCs w:val="24"/>
              </w:rPr>
            </w:pPr>
            <w:r>
              <w:rPr>
                <w:rFonts w:ascii="Times New Roman" w:hAnsi="Times New Roman"/>
                <w:noProof/>
                <w:sz w:val="24"/>
              </w:rPr>
              <w:t>41</w:t>
            </w:r>
          </w:p>
        </w:tc>
      </w:tr>
    </w:tbl>
    <w:p w:rsidR="008E2BD8" w:rsidRDefault="008E2BD8">
      <w:pPr>
        <w:spacing w:after="120" w:line="240" w:lineRule="auto"/>
        <w:jc w:val="both"/>
        <w:rPr>
          <w:rFonts w:ascii="Times New Roman" w:eastAsia="Times New Roman" w:hAnsi="Times New Roman" w:cs="Times New Roman"/>
          <w:noProof/>
          <w:sz w:val="24"/>
          <w:szCs w:val="24"/>
        </w:rPr>
      </w:pPr>
    </w:p>
    <w:p w:rsidR="008E2BD8" w:rsidRDefault="00174D27">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kuid väikestele ja keskmise suurusega ettevõtjatele (VKEd) pigem neutraalset.</w:t>
      </w:r>
    </w:p>
    <w:p w:rsidR="008E2BD8" w:rsidRDefault="00174D27">
      <w:pPr>
        <w:spacing w:after="120"/>
        <w:rPr>
          <w:rFonts w:ascii="Times New Roman" w:eastAsia="Times New Roman" w:hAnsi="Times New Roman" w:cs="Times New Roman"/>
          <w:i/>
          <w:noProof/>
          <w:sz w:val="24"/>
          <w:szCs w:val="24"/>
        </w:rPr>
      </w:pPr>
      <w:r>
        <w:rPr>
          <w:rFonts w:ascii="Times New Roman" w:hAnsi="Times New Roman"/>
          <w:i/>
          <w:noProof/>
          <w:sz w:val="24"/>
        </w:rPr>
        <w:t xml:space="preserve">„Mõju, mis tuleneb sotsiaalkaitseõiguste vabatahtlikuks muutmisest seal, kus praegu esineb puudusi, oleks Teie hinnangul: väikestele ja keskmise suurusega </w:t>
      </w:r>
      <w:r>
        <w:rPr>
          <w:rFonts w:ascii="Times New Roman" w:hAnsi="Times New Roman"/>
          <w:i/>
          <w:noProof/>
          <w:sz w:val="24"/>
        </w:rPr>
        <w:t>ettevõtjatele“</w:t>
      </w:r>
    </w:p>
    <w:tbl>
      <w:tblPr>
        <w:tblStyle w:val="TableGrid1"/>
        <w:tblW w:w="0" w:type="auto"/>
        <w:tblLayout w:type="fixed"/>
        <w:tblLook w:val="04A0" w:firstRow="1" w:lastRow="0" w:firstColumn="1" w:lastColumn="0" w:noHBand="0" w:noVBand="1"/>
      </w:tblPr>
      <w:tblGrid>
        <w:gridCol w:w="4643"/>
        <w:gridCol w:w="4643"/>
      </w:tblGrid>
      <w:tr w:rsidR="008E2BD8">
        <w:tc>
          <w:tcPr>
            <w:tcW w:w="4643" w:type="dxa"/>
          </w:tcPr>
          <w:p w:rsidR="008E2BD8" w:rsidRDefault="008E2BD8">
            <w:pPr>
              <w:spacing w:after="120"/>
              <w:jc w:val="both"/>
              <w:rPr>
                <w:rFonts w:ascii="Times New Roman" w:eastAsia="Times New Roman" w:hAnsi="Times New Roman"/>
                <w:noProof/>
                <w:sz w:val="24"/>
                <w:szCs w:val="24"/>
              </w:rPr>
            </w:pP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Neutraalne (vastust 119 vastusest)</w:t>
            </w:r>
          </w:p>
        </w:tc>
      </w:tr>
      <w:tr w:rsidR="008E2BD8">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Kulud</w:t>
            </w: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55</w:t>
            </w:r>
          </w:p>
        </w:tc>
      </w:tr>
      <w:tr w:rsidR="008E2BD8">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Konkurents</w:t>
            </w:r>
          </w:p>
        </w:tc>
        <w:tc>
          <w:tcPr>
            <w:tcW w:w="4643" w:type="dxa"/>
          </w:tcPr>
          <w:p w:rsidR="008E2BD8" w:rsidRDefault="00174D27">
            <w:pPr>
              <w:spacing w:after="120"/>
              <w:jc w:val="both"/>
              <w:rPr>
                <w:rFonts w:ascii="Times New Roman" w:eastAsia="Times New Roman" w:hAnsi="Times New Roman"/>
                <w:noProof/>
                <w:sz w:val="24"/>
                <w:szCs w:val="24"/>
              </w:rPr>
            </w:pPr>
            <w:r>
              <w:rPr>
                <w:rFonts w:ascii="Times New Roman" w:hAnsi="Times New Roman"/>
                <w:noProof/>
                <w:sz w:val="24"/>
              </w:rPr>
              <w:t>62</w:t>
            </w:r>
          </w:p>
        </w:tc>
      </w:tr>
    </w:tbl>
    <w:p w:rsidR="008E2BD8" w:rsidRDefault="008E2BD8">
      <w:pPr>
        <w:spacing w:after="120"/>
        <w:rPr>
          <w:rFonts w:ascii="Times New Roman" w:eastAsia="Times New Roman" w:hAnsi="Times New Roman" w:cs="Times New Roman"/>
          <w:b/>
          <w:noProof/>
          <w:sz w:val="24"/>
          <w:szCs w:val="24"/>
        </w:rPr>
      </w:pPr>
    </w:p>
    <w:p w:rsidR="008E2BD8" w:rsidRDefault="008E2BD8">
      <w:pPr>
        <w:rPr>
          <w:noProof/>
        </w:rPr>
      </w:pPr>
    </w:p>
    <w:sectPr w:rsidR="008E2BD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D8" w:rsidRDefault="00174D27">
      <w:pPr>
        <w:spacing w:after="0" w:line="240" w:lineRule="auto"/>
      </w:pPr>
      <w:r>
        <w:separator/>
      </w:r>
    </w:p>
  </w:endnote>
  <w:endnote w:type="continuationSeparator" w:id="0">
    <w:p w:rsidR="008E2BD8" w:rsidRDefault="001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FooterCoverPage"/>
      <w:rPr>
        <w:rFonts w:ascii="Arial" w:hAnsi="Arial" w:cs="Arial"/>
        <w:b/>
        <w:sz w:val="48"/>
      </w:rPr>
    </w:pPr>
    <w:r w:rsidRPr="00174D27">
      <w:rPr>
        <w:rFonts w:ascii="Arial" w:hAnsi="Arial" w:cs="Arial"/>
        <w:b/>
        <w:sz w:val="48"/>
      </w:rPr>
      <w:t>ET</w:t>
    </w:r>
    <w:r w:rsidRPr="00174D27">
      <w:rPr>
        <w:rFonts w:ascii="Arial" w:hAnsi="Arial" w:cs="Arial"/>
        <w:b/>
        <w:sz w:val="48"/>
      </w:rPr>
      <w:tab/>
    </w:r>
    <w:r w:rsidRPr="00174D27">
      <w:rPr>
        <w:rFonts w:ascii="Arial" w:hAnsi="Arial" w:cs="Arial"/>
        <w:b/>
        <w:sz w:val="48"/>
      </w:rPr>
      <w:tab/>
    </w:r>
    <w:r w:rsidRPr="00174D27">
      <w:tab/>
    </w:r>
    <w:r w:rsidRPr="00174D27">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D8" w:rsidRDefault="008E2B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85487"/>
      <w:docPartObj>
        <w:docPartGallery w:val="Page Numbers (Bottom of Page)"/>
        <w:docPartUnique/>
      </w:docPartObj>
    </w:sdtPr>
    <w:sdtEndPr>
      <w:rPr>
        <w:noProof/>
      </w:rPr>
    </w:sdtEndPr>
    <w:sdtContent>
      <w:p w:rsidR="008E2BD8" w:rsidRDefault="00174D2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2BD8" w:rsidRDefault="008E2B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D8" w:rsidRDefault="008E2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D8" w:rsidRDefault="00174D27">
      <w:pPr>
        <w:spacing w:after="0" w:line="240" w:lineRule="auto"/>
      </w:pPr>
      <w:r>
        <w:separator/>
      </w:r>
    </w:p>
  </w:footnote>
  <w:footnote w:type="continuationSeparator" w:id="0">
    <w:p w:rsidR="008E2BD8" w:rsidRDefault="00174D27">
      <w:pPr>
        <w:spacing w:after="0" w:line="240" w:lineRule="auto"/>
      </w:pPr>
      <w:r>
        <w:continuationSeparator/>
      </w:r>
    </w:p>
  </w:footnote>
  <w:footnote w:id="1">
    <w:p w:rsidR="008E2BD8" w:rsidRDefault="00174D27">
      <w:pPr>
        <w:pStyle w:val="FootnoteText"/>
        <w:jc w:val="both"/>
        <w:rPr>
          <w:rFonts w:ascii="Times New Roman" w:hAnsi="Times New Roman" w:cs="Times New Roman"/>
          <w:sz w:val="16"/>
          <w:szCs w:val="16"/>
          <w:lang w:val="fi-FI"/>
        </w:rPr>
      </w:pPr>
      <w:r>
        <w:rPr>
          <w:rStyle w:val="FootnoteReference"/>
          <w:rFonts w:ascii="Times New Roman" w:hAnsi="Times New Roman"/>
          <w:sz w:val="16"/>
        </w:rPr>
        <w:footnoteRef/>
      </w:r>
      <w:r>
        <w:rPr>
          <w:rFonts w:ascii="Times New Roman" w:hAnsi="Times New Roman"/>
          <w:sz w:val="16"/>
        </w:rPr>
        <w:t xml:space="preserve"> COM (2016) 127 final.</w:t>
      </w:r>
    </w:p>
  </w:footnote>
  <w:footnote w:id="2">
    <w:p w:rsidR="008E2BD8" w:rsidRDefault="00174D27">
      <w:pPr>
        <w:pStyle w:val="Default"/>
        <w:jc w:val="both"/>
        <w:rPr>
          <w:rFonts w:ascii="Times New Roman" w:eastAsia="Times New Roman" w:hAnsi="Times New Roman"/>
          <w:sz w:val="16"/>
          <w:szCs w:val="16"/>
        </w:rPr>
      </w:pPr>
      <w:r>
        <w:rPr>
          <w:rStyle w:val="FootnoteReference"/>
          <w:rFonts w:ascii="Times New Roman" w:hAnsi="Times New Roman"/>
          <w:sz w:val="16"/>
        </w:rPr>
        <w:footnoteRef/>
      </w:r>
      <w:r>
        <w:rPr>
          <w:rStyle w:val="FootnoteReference"/>
          <w:rFonts w:ascii="Times New Roman" w:hAnsi="Times New Roman"/>
          <w:sz w:val="16"/>
        </w:rPr>
        <w:t xml:space="preserve"> </w:t>
      </w:r>
      <w:r>
        <w:rPr>
          <w:rFonts w:ascii="Times New Roman" w:hAnsi="Times New Roman"/>
          <w:sz w:val="16"/>
        </w:rPr>
        <w:t xml:space="preserve">Sellele oli lisatud kaks komisjoni talituste töödokumenti. Esimeses kirjeldati põhilisi majanduslikke, tööturu </w:t>
      </w:r>
      <w:r>
        <w:rPr>
          <w:rFonts w:ascii="Times New Roman" w:hAnsi="Times New Roman"/>
          <w:sz w:val="16"/>
        </w:rPr>
        <w:t>ja ühiskondlikke suundumusi, millele sammas toetub ja millega tegelemisele see peaks kaasa aitama. Teises tuletatakse meelde ELi tasandi asjakohaseimat õigustikku. Komisjoni talituste töödokumendid „Euroopa sotsiaalõiguste samba aluseks olevad põhilised ma</w:t>
      </w:r>
      <w:r>
        <w:rPr>
          <w:rFonts w:ascii="Times New Roman" w:hAnsi="Times New Roman"/>
          <w:sz w:val="16"/>
        </w:rPr>
        <w:t>jandus-, tööhõive- ja sotsiaalsuundumused“ (SWD (2016) 51) ja „ELi sotsiaalõigustik“ (SWD(2016) 50), 8. märts 2016.</w:t>
      </w:r>
    </w:p>
  </w:footnote>
  <w:footnote w:id="3">
    <w:p w:rsidR="008E2BD8" w:rsidRDefault="00174D27">
      <w:pPr>
        <w:pStyle w:val="FootnoteText"/>
        <w:jc w:val="both"/>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w:t>
      </w:r>
      <w:hyperlink r:id="rId1">
        <w:r>
          <w:rPr>
            <w:rStyle w:val="Hyperlink"/>
            <w:rFonts w:ascii="Times New Roman" w:hAnsi="Times New Roman"/>
            <w:sz w:val="16"/>
          </w:rPr>
          <w:t>Konverentsi veebisait</w:t>
        </w:r>
      </w:hyperlink>
      <w:r>
        <w:rPr>
          <w:rFonts w:ascii="Times New Roman" w:hAnsi="Times New Roman"/>
          <w:sz w:val="16"/>
        </w:rPr>
        <w:t>.</w:t>
      </w:r>
    </w:p>
  </w:footnote>
  <w:footnote w:id="4">
    <w:p w:rsidR="008E2BD8" w:rsidRDefault="00174D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SWD(2017) 206 final, </w:t>
      </w:r>
      <w:hyperlink r:id="rId2">
        <w:r>
          <w:rPr>
            <w:rStyle w:val="Hyperlink"/>
            <w:rFonts w:ascii="Times New Roman" w:hAnsi="Times New Roman"/>
            <w:sz w:val="16"/>
          </w:rPr>
          <w:t>avaldatud veebis</w:t>
        </w:r>
      </w:hyperlink>
      <w:r>
        <w:rPr>
          <w:rFonts w:ascii="Times New Roman" w:hAnsi="Times New Roman"/>
          <w:sz w:val="16"/>
        </w:rPr>
        <w:t>.</w:t>
      </w:r>
    </w:p>
  </w:footnote>
  <w:footnote w:id="5">
    <w:p w:rsidR="008E2BD8" w:rsidRDefault="00174D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EMSK SOC/542, </w:t>
      </w:r>
      <w:hyperlink r:id="rId3">
        <w:r>
          <w:rPr>
            <w:rStyle w:val="Hyperlink"/>
            <w:rFonts w:ascii="Times New Roman" w:hAnsi="Times New Roman"/>
            <w:sz w:val="16"/>
          </w:rPr>
          <w:t>avaldatud veebis</w:t>
        </w:r>
      </w:hyperlink>
    </w:p>
  </w:footnote>
  <w:footnote w:id="6">
    <w:p w:rsidR="008E2BD8" w:rsidRDefault="00174D27">
      <w:pPr>
        <w:pStyle w:val="FootnoteText"/>
        <w:rPr>
          <w:rFonts w:ascii="Times New Roman" w:hAnsi="Times New Roman" w:cs="Times New Roman"/>
          <w:sz w:val="16"/>
          <w:szCs w:val="16"/>
        </w:rPr>
      </w:pPr>
      <w:r>
        <w:rPr>
          <w:rStyle w:val="FootnoteReference"/>
          <w:rFonts w:ascii="Times New Roman" w:hAnsi="Times New Roman"/>
          <w:sz w:val="16"/>
        </w:rPr>
        <w:footnoteRef/>
      </w:r>
      <w:r>
        <w:rPr>
          <w:rFonts w:ascii="Times New Roman" w:hAnsi="Times New Roman"/>
          <w:sz w:val="16"/>
        </w:rPr>
        <w:t xml:space="preserve"> RK arvamus 2868/2016, </w:t>
      </w:r>
      <w:hyperlink r:id="rId4">
        <w:r>
          <w:rPr>
            <w:rStyle w:val="Hyperlink"/>
            <w:rFonts w:ascii="Times New Roman" w:hAnsi="Times New Roman"/>
            <w:sz w:val="16"/>
          </w:rPr>
          <w:t>avaldatud veebis</w:t>
        </w:r>
      </w:hyperlink>
      <w:r>
        <w:rPr>
          <w:rFonts w:ascii="Times New Roman" w:hAnsi="Times New Roman"/>
          <w:sz w:val="16"/>
        </w:rPr>
        <w:t>.</w:t>
      </w:r>
    </w:p>
  </w:footnote>
  <w:footnote w:id="7">
    <w:p w:rsidR="008E2BD8" w:rsidRDefault="00174D27">
      <w:pPr>
        <w:pStyle w:val="FootnoteText"/>
      </w:pPr>
      <w:r>
        <w:rPr>
          <w:rStyle w:val="FootnoteReference"/>
          <w:rFonts w:ascii="Times New Roman" w:hAnsi="Times New Roman"/>
          <w:sz w:val="16"/>
        </w:rPr>
        <w:footnoteRef/>
      </w:r>
      <w:r>
        <w:rPr>
          <w:rFonts w:ascii="Times New Roman" w:hAnsi="Times New Roman"/>
          <w:sz w:val="16"/>
        </w:rPr>
        <w:t xml:space="preserve"> Euroopa Parlamendi resolutsioon 201</w:t>
      </w:r>
      <w:r>
        <w:rPr>
          <w:rFonts w:ascii="Times New Roman" w:hAnsi="Times New Roman"/>
          <w:sz w:val="16"/>
        </w:rPr>
        <w:t xml:space="preserve">6/2095(INI), </w:t>
      </w:r>
      <w:hyperlink r:id="rId5">
        <w:r>
          <w:rPr>
            <w:rStyle w:val="Hyperlink"/>
            <w:rFonts w:ascii="Times New Roman" w:hAnsi="Times New Roman"/>
            <w:sz w:val="16"/>
          </w:rPr>
          <w:t>avaldatud veebis</w:t>
        </w:r>
      </w:hyperlink>
      <w:r>
        <w:rPr>
          <w:rFonts w:ascii="Times New Roman" w:hAnsi="Times New Roman"/>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27" w:rsidRPr="00174D27" w:rsidRDefault="00174D27" w:rsidP="00174D27">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D8" w:rsidRDefault="008E2B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D8" w:rsidRDefault="008E2B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D8" w:rsidRDefault="008E2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isatud dokumendile:"/>
    <w:docVar w:name="LW_CORRIGENDUM" w:val="&lt;UNUSED&gt;"/>
    <w:docVar w:name="LW_COVERPAGE_EXISTS" w:val="True"/>
    <w:docVar w:name="LW_COVERPAGE_GUID" w:val="60FB783D-BD69-4354-878B-26DD0C48D617"/>
    <w:docVar w:name="LW_COVERPAGE_TYPE" w:val="1"/>
    <w:docVar w:name="LW_CROSSREFERENCE" w:val="{COM(2018) 132 final}_x000d_"/>
    <w:docVar w:name="LW_DocType" w:val="NORMAL"/>
    <w:docVar w:name="LW_EMISSION" w:val="13.3.2018"/>
    <w:docVar w:name="LW_EMISSION_ISODATE" w:val="2018-03-13"/>
    <w:docVar w:name="LW_EMISSION_LOCATION" w:val="BRX"/>
    <w:docVar w:name="LW_EMISSION_PREFIX" w:val="Strasbourg,"/>
    <w:docVar w:name="LW_EMISSION_SUFFIX" w:val="&lt;EMPTY&gt;"/>
    <w:docVar w:name="LW_ID_DOCTYPE_NONLW" w:val="CP-025"/>
    <w:docVar w:name="LW_LANGUE" w:val="ET"/>
    <w:docVar w:name="LW_LEVEL_OF_SENSITIVITY" w:val="Standard treatment"/>
    <w:docVar w:name="LW_NOM.INST" w:val="EUROOPA KOMISJON"/>
    <w:docVar w:name="LW_NOM.INST_JOINTDOC" w:val="&lt;EMPTY&gt;"/>
    <w:docVar w:name="LW_OBJETACTEPRINCIPAL.CP" w:val="milles käsitletakse töötajate ja füüsilisest isikust ettevõtjate juurdepääsu sotsiaalkaitsele"/>
    <w:docVar w:name="LW_PART_NBR" w:val="1"/>
    <w:docVar w:name="LW_PART_NBR_TOTAL" w:val="1"/>
    <w:docVar w:name="LW_REF.INST.NEW" w:val="SWD"/>
    <w:docVar w:name="LW_REF.INST.NEW_ADOPTED" w:val="final"/>
    <w:docVar w:name="LW_REF.INST.NEW_TEXT" w:val="(2018) 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KONSULTEERIMINE SIDUSRÜHMADEGA - KOKKUVÕTLIK ARUANNE"/>
    <w:docVar w:name="LW_TYPE.DOC.CP" w:val="KOMISJONI TALITUSTE TÖÖDOKUMENT"/>
    <w:docVar w:name="LW_TYPEACTEPRINCIPAL.CP" w:val="Ettepanek: nõukogu soovitus,"/>
  </w:docVars>
  <w:rsids>
    <w:rsidRoot w:val="008E2BD8"/>
    <w:rsid w:val="00174D27"/>
    <w:rsid w:val="008E2BD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Hyperlink">
    <w:name w:val="Hyperlink"/>
    <w:basedOn w:val="DefaultParagraphFont"/>
    <w:unhideWhenUsed/>
    <w:rPr>
      <w:color w:val="0000FF" w:themeColor="hyperlink"/>
      <w:w w:val="100"/>
      <w:sz w:val="20"/>
      <w:szCs w:val="20"/>
      <w:u w:val="single"/>
      <w:shd w:val="clear" w:color="auto" w:fill="auto"/>
    </w:rPr>
  </w:style>
  <w:style w:type="character" w:styleId="FootnoteReference">
    <w:name w:val="footnote reference"/>
    <w:link w:val="BVIfnr"/>
    <w:uiPriority w:val="99"/>
    <w:unhideWhenUsed/>
    <w:qFormat/>
    <w:rPr>
      <w:sz w:val="20"/>
      <w:szCs w:val="20"/>
      <w:vertAlign w:val="superscript"/>
    </w:rPr>
  </w:style>
  <w:style w:type="paragraph" w:customStyle="1" w:styleId="BVIfnr">
    <w:name w:val="BVI fnr Знак Знак"/>
    <w:basedOn w:val="Normal"/>
    <w:link w:val="FootnoteReference"/>
    <w:uiPriority w:val="99"/>
    <w:pPr>
      <w:spacing w:after="0" w:line="240" w:lineRule="auto"/>
    </w:pPr>
    <w:rPr>
      <w:sz w:val="20"/>
      <w:szCs w:val="20"/>
      <w:vertAlign w:val="superscript"/>
    </w:rPr>
  </w:style>
  <w:style w:type="paragraph" w:customStyle="1" w:styleId="Default">
    <w:name w:val="Default"/>
    <w:pPr>
      <w:autoSpaceDE w:val="0"/>
      <w:autoSpaceDN w:val="0"/>
      <w:spacing w:after="0" w:line="240" w:lineRule="auto"/>
    </w:pPr>
    <w:rPr>
      <w:rFonts w:ascii="Verdana" w:eastAsia="Verdana" w:hAnsi="Verdana" w:cs="Times New Roman"/>
      <w:color w:val="000000"/>
      <w:sz w:val="24"/>
      <w:szCs w:val="24"/>
    </w:rPr>
  </w:style>
  <w:style w:type="table" w:customStyle="1" w:styleId="TableGrid1">
    <w:name w:val="Table Grid1"/>
    <w:basedOn w:val="TableNormal"/>
    <w:next w:val="TableGri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eesc.europa.eu/en/our-work/opinions-information-reports/opinions/european-pillar-social-rights-soc542" TargetMode="External"/><Relationship Id="rId2" Type="http://schemas.openxmlformats.org/officeDocument/2006/relationships/hyperlink" Target="http://eur-lex.europa.eu/legal-content/EN/TXT/?qid=1494929508490&amp;uri=CELEX:52017SC0206" TargetMode="External"/><Relationship Id="rId1" Type="http://schemas.openxmlformats.org/officeDocument/2006/relationships/hyperlink" Target="http://ec.europa.eu/social/main.jsp?langId=en&amp;catId=1226&amp;eventsId=1187&amp;furtherEvents=yes" TargetMode="External"/><Relationship Id="rId5" Type="http://schemas.openxmlformats.org/officeDocument/2006/relationships/hyperlink" Target="http://www.europarl.europa.eu/sides/getDoc.do?pubRef=-//EP//TEXT+REPORT+A8-2016-0391+0+DOC+XML+V0//EN" TargetMode="External"/><Relationship Id="rId4" Type="http://schemas.openxmlformats.org/officeDocument/2006/relationships/hyperlink" Target="http://cor.europa.eu/en/activities/opinions/pages/opinion-factsheet.aspx?OpinionNumber=CDR%202868/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2455</Words>
  <Characters>19203</Characters>
  <Application>Microsoft Office Word</Application>
  <DocSecurity>0</DocSecurity>
  <Lines>362</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18</cp:revision>
  <cp:lastPrinted>2015-08-28T07:32:00Z</cp:lastPrinted>
  <dcterms:created xsi:type="dcterms:W3CDTF">2018-03-08T10:32:00Z</dcterms:created>
  <dcterms:modified xsi:type="dcterms:W3CDTF">2018-04-05T12:07:00Z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