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B2" w:rsidRDefault="005E1FCB">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5AA3BCC-C0F2-4506-A541-0F24C6BD6811" style="width:451.5pt;height:294pt">
            <v:imagedata r:id="rId9" o:title=""/>
          </v:shape>
        </w:pict>
      </w:r>
    </w:p>
    <w:bookmarkEnd w:id="0"/>
    <w:p w:rsidR="00DA25B2" w:rsidRDefault="00DA25B2">
      <w:pPr>
        <w:jc w:val="both"/>
        <w:rPr>
          <w:noProof/>
        </w:rPr>
        <w:sectPr w:rsidR="00DA25B2">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2"/>
          <w:cols w:space="720"/>
          <w:docGrid w:linePitch="326"/>
        </w:sectPr>
      </w:pPr>
    </w:p>
    <w:p w:rsidR="00DA25B2" w:rsidRDefault="00667757">
      <w:pPr>
        <w:pStyle w:val="En-tte0"/>
        <w:numPr>
          <w:ilvl w:val="0"/>
          <w:numId w:val="2"/>
        </w:numPr>
        <w:spacing w:before="0" w:after="240"/>
        <w:rPr>
          <w:noProof/>
          <w:sz w:val="26"/>
          <w:szCs w:val="26"/>
        </w:rPr>
      </w:pPr>
      <w:r>
        <w:rPr>
          <w:noProof/>
          <w:sz w:val="26"/>
        </w:rPr>
        <w:lastRenderedPageBreak/>
        <w:t>Ievads. Militārās mobilitātes uzlabošana ES</w:t>
      </w:r>
    </w:p>
    <w:p w:rsidR="00DA25B2" w:rsidRDefault="00667757">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2017. gada 13. septembra uzrunā par stāvokli Savienībā</w:t>
      </w:r>
      <w:r>
        <w:rPr>
          <w:rStyle w:val="FootnoteReference"/>
          <w:rFonts w:ascii="Times New Roman" w:hAnsi="Times New Roman"/>
          <w:noProof/>
          <w:sz w:val="24"/>
        </w:rPr>
        <w:footnoteReference w:id="2"/>
      </w:r>
      <w:r>
        <w:rPr>
          <w:rStyle w:val="Aucun"/>
          <w:rFonts w:ascii="Times New Roman" w:hAnsi="Times New Roman"/>
          <w:noProof/>
          <w:sz w:val="24"/>
        </w:rPr>
        <w:t xml:space="preserve"> Komisijas priekšsēdētājs Ž. K. Junkers uzsvēra nepieciešamību līdz 2025. gadam izveidot pilnvērtīgu Eiropas Aizsardzības savienību. ES jau veic vajadzīgos pasākumus, lai izveidotu efektīvāku, reaģētspējīgāku un saliedētāku Savienību, kura spētu realizēt ES kopīgās intereses un prioritātes veicināt mieru un garantēt savu pilsoņu un teritorijas drošību, uz ko aicina arī ES vispārējā ārpolitikas un drošības politikas stratēģija</w:t>
      </w:r>
      <w:r>
        <w:rPr>
          <w:rStyle w:val="FootnoteReference"/>
          <w:rFonts w:ascii="Times New Roman" w:hAnsi="Times New Roman"/>
          <w:noProof/>
          <w:sz w:val="24"/>
        </w:rPr>
        <w:footnoteReference w:id="3"/>
      </w:r>
      <w:r>
        <w:rPr>
          <w:rStyle w:val="Aucun"/>
          <w:rFonts w:ascii="Times New Roman" w:hAnsi="Times New Roman"/>
          <w:noProof/>
          <w:sz w:val="24"/>
        </w:rPr>
        <w:t>. Par Eiropas apņēmību veikt izlēmīgus pasākumus dalībvalstu atbalstīšanai liecina Eiropas Aizsardzības rīcības plāns – konkrēti, Eiropas Aizsardzības fonds. Viens no praktiskajiem darbiem šim nolūkam – uzlabot Eiropas Savienībā militāro mobilitāti, ar to veicinot tādas Savienības veidošanu, kura aizsargā un kurā efektīvi tiek īstenota eiropiešu solidaritāte un savstarpējā palīdzība</w:t>
      </w:r>
      <w:r>
        <w:rPr>
          <w:rStyle w:val="FootnoteReference"/>
          <w:rFonts w:ascii="Times New Roman" w:hAnsi="Times New Roman"/>
          <w:noProof/>
          <w:sz w:val="24"/>
        </w:rPr>
        <w:footnoteReference w:id="4"/>
      </w:r>
      <w:r>
        <w:rPr>
          <w:rStyle w:val="Aucun"/>
          <w:rFonts w:ascii="Times New Roman" w:hAnsi="Times New Roman"/>
          <w:noProof/>
          <w:sz w:val="24"/>
        </w:rPr>
        <w:t xml:space="preserve">. </w:t>
      </w:r>
    </w:p>
    <w:p w:rsidR="00DA25B2" w:rsidRDefault="00667757">
      <w:pPr>
        <w:spacing w:after="200" w:line="276" w:lineRule="auto"/>
        <w:jc w:val="both"/>
        <w:rPr>
          <w:rStyle w:val="Aucun"/>
          <w:noProof/>
        </w:rPr>
      </w:pPr>
      <w:r>
        <w:rPr>
          <w:noProof/>
          <w:color w:val="000000"/>
          <w:u w:color="000000"/>
        </w:rPr>
        <w:t>Divdesmit piecas ES dalībvalstis ir nolēmušas militāro mobilitāti iekļaut ciešākajās saistībās, ko uzņēmušās 2017. gada 11. decembrī sāktās pastāvīgās strukturētās sadarbības ietvaros</w:t>
      </w:r>
      <w:r>
        <w:rPr>
          <w:rStyle w:val="FootnoteReference"/>
          <w:noProof/>
          <w:color w:val="000000"/>
          <w:u w:color="000000"/>
        </w:rPr>
        <w:footnoteReference w:id="5"/>
      </w:r>
      <w:r>
        <w:rPr>
          <w:noProof/>
          <w:color w:val="000000"/>
          <w:u w:color="000000"/>
        </w:rPr>
        <w:t>. 2018. gada 6. martā Padome pieņēma ieteikumu par ceļvedi pastāvīgās strukturētās sadarbības (</w:t>
      </w:r>
      <w:r>
        <w:rPr>
          <w:i/>
          <w:noProof/>
          <w:color w:val="000000"/>
          <w:u w:color="000000"/>
        </w:rPr>
        <w:t>PESCO</w:t>
      </w:r>
      <w:r>
        <w:rPr>
          <w:noProof/>
          <w:color w:val="000000"/>
          <w:u w:color="000000"/>
        </w:rPr>
        <w:t>) īstenošanā un lēmumu, kas izveido minētajā sadarbībā izstrādājamo projektu sarakstu</w:t>
      </w:r>
      <w:r>
        <w:rPr>
          <w:rStyle w:val="FootnoteReference"/>
          <w:noProof/>
          <w:color w:val="000000"/>
          <w:u w:color="000000"/>
        </w:rPr>
        <w:footnoteReference w:id="6"/>
      </w:r>
      <w:r>
        <w:rPr>
          <w:noProof/>
          <w:color w:val="000000"/>
          <w:u w:color="000000"/>
        </w:rPr>
        <w:t>. Jauno priekšlikumiem kopumu</w:t>
      </w:r>
      <w:r>
        <w:rPr>
          <w:noProof/>
          <w:color w:val="000000"/>
          <w:u w:color="000000"/>
          <w:vertAlign w:val="superscript"/>
        </w:rPr>
        <w:footnoteReference w:id="7"/>
      </w:r>
      <w:r>
        <w:rPr>
          <w:noProof/>
          <w:color w:val="000000"/>
          <w:u w:color="000000"/>
        </w:rPr>
        <w:t xml:space="preserve"> par ES un NATO 2016. gada jūlija kopīgās deklarācijas</w:t>
      </w:r>
      <w:r>
        <w:rPr>
          <w:noProof/>
          <w:color w:val="000000"/>
          <w:u w:color="000000"/>
          <w:vertAlign w:val="superscript"/>
        </w:rPr>
        <w:footnoteReference w:id="8"/>
      </w:r>
      <w:r>
        <w:rPr>
          <w:noProof/>
          <w:color w:val="000000"/>
          <w:u w:color="000000"/>
        </w:rPr>
        <w:t xml:space="preserve"> īstenošanu 2017. gada decembrī papildināja ar priekšlikumu par militāro mobilitāti. 2017. gada decembrī Eiropadome aicināja augsto pārstāvi, Komisiju un dalībvalstis virzīt uz priekšu darbu militārās mobilitātes jautājumā gan </w:t>
      </w:r>
      <w:r>
        <w:rPr>
          <w:i/>
          <w:noProof/>
          <w:color w:val="000000"/>
          <w:u w:color="000000"/>
        </w:rPr>
        <w:t>PESCO</w:t>
      </w:r>
      <w:r>
        <w:rPr>
          <w:noProof/>
          <w:color w:val="000000"/>
          <w:u w:color="000000"/>
        </w:rPr>
        <w:t xml:space="preserve"> ietvaros, gan saistībā ar ES un NATO sadarbību</w:t>
      </w:r>
      <w:r>
        <w:rPr>
          <w:rStyle w:val="FootnoteReference"/>
          <w:noProof/>
          <w:color w:val="000000"/>
          <w:u w:color="000000"/>
        </w:rPr>
        <w:footnoteReference w:id="9"/>
      </w:r>
      <w:r>
        <w:rPr>
          <w:noProof/>
          <w:color w:val="000000"/>
          <w:u w:color="000000"/>
        </w:rPr>
        <w:t>.</w:t>
      </w:r>
    </w:p>
    <w:p w:rsidR="00DA25B2" w:rsidRDefault="00667757">
      <w:pPr>
        <w:pStyle w:val="Briefingtext"/>
        <w:keepNext/>
        <w:spacing w:before="240" w:line="276" w:lineRule="auto"/>
        <w:rPr>
          <w:rStyle w:val="Aucun"/>
          <w:rFonts w:ascii="Times New Roman" w:hAnsi="Times New Roman" w:cs="Times New Roman"/>
          <w:b/>
          <w:noProof/>
          <w:sz w:val="24"/>
          <w:szCs w:val="24"/>
        </w:rPr>
      </w:pPr>
      <w:r>
        <w:rPr>
          <w:rStyle w:val="Aucun"/>
          <w:rFonts w:ascii="Times New Roman" w:hAnsi="Times New Roman"/>
          <w:b/>
          <w:noProof/>
          <w:sz w:val="24"/>
        </w:rPr>
        <w:t xml:space="preserve">ES pieejas pamatprincipi </w:t>
      </w:r>
    </w:p>
    <w:p w:rsidR="00DA25B2" w:rsidRDefault="00667757">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Izvēršot 2017. gada novembrī kopīgajā paziņojumā par militārās mobilitātes uzlabošanu ES</w:t>
      </w:r>
      <w:r>
        <w:rPr>
          <w:rStyle w:val="FootnoteReference"/>
          <w:rFonts w:ascii="Times New Roman" w:hAnsi="Times New Roman"/>
          <w:noProof/>
          <w:sz w:val="24"/>
        </w:rPr>
        <w:footnoteReference w:id="10"/>
      </w:r>
      <w:r>
        <w:rPr>
          <w:rStyle w:val="Aucun"/>
          <w:rFonts w:ascii="Times New Roman" w:hAnsi="Times New Roman"/>
          <w:noProof/>
          <w:sz w:val="24"/>
        </w:rPr>
        <w:t xml:space="preserve"> teikto un papildinot Eiropas Aizsardzības aģentūras ietvaros izstrādāto Militārās mobilitātes ceļvedi, rīcības plānā ir ierosināts saskanīgs satvars tagadējām un nākamām programmām, projektiem, iniciatīvām un pasākumiem. Tas ļaus labāk koordinēt ES pieeju, stiprinot dalībvalstu solidaritāti un palielinot ES pievienoto vērtību. </w:t>
      </w:r>
    </w:p>
    <w:p w:rsidR="00DA25B2" w:rsidRDefault="00667757">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lastRenderedPageBreak/>
        <w:t xml:space="preserve">Labāka bruņoto spēku mobilitāte ES un ārpus tās stiprinās Eiropas drošību, dodot iespēju ES dalībvalstīm rīkoties ātrāk un saskaņā ar savām aizsardzības vajadzībām un pienākumiem saistībā gan ar kopīgās drošības un aizsardzības politikas misijām un operācijām, gan valstu un starptautiskām darbībām (piemēram, NATO ietvaros). </w:t>
      </w:r>
    </w:p>
    <w:p w:rsidR="00DA25B2" w:rsidRDefault="00667757">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 xml:space="preserve">Rīcības plāna īstenošanā galvenais būs ES dalībvalstu un visu iesaistīto cieša sadarbošanās. Tas notiks, visnotaļ respektējot dalībvalstu suverenitāti to teritorijā un ar karaspēka pārvietošanos saistīto lēmumu pieņemšanas procesus tajās. Turklāt tiks veikti pasākumi, kas veicinās sadarbību starp Savienības iestādēm, aģentūrām un struktūrām un kompetentajām valsts iestādēm ES dalībvalstīs, pilnībā respektējot iesaistīto personu atšķirīgās atbildības jomas. Lai panāktu rezultātu papildināmību, jānodrošina šā rīcības plāna un </w:t>
      </w:r>
      <w:r>
        <w:rPr>
          <w:rStyle w:val="Aucun"/>
          <w:rFonts w:ascii="Times New Roman" w:hAnsi="Times New Roman"/>
          <w:i/>
          <w:noProof/>
          <w:sz w:val="24"/>
        </w:rPr>
        <w:t>PESCO</w:t>
      </w:r>
      <w:r>
        <w:rPr>
          <w:rStyle w:val="Aucun"/>
          <w:rFonts w:ascii="Times New Roman" w:hAnsi="Times New Roman"/>
          <w:noProof/>
          <w:sz w:val="24"/>
        </w:rPr>
        <w:t xml:space="preserve"> projekta cieša koordinācija militārās mobilitātes vajadzību jautājumā.</w:t>
      </w:r>
    </w:p>
    <w:p w:rsidR="00DA25B2" w:rsidRDefault="00667757">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 xml:space="preserve">Svarīgi ir arī militārās mobilitātes jautājumā turpināt sadarboties ar NATO, īstenojot kopīgo deklarāciju. Atbilstoši Padomes 2017. gada decembra secinājumiem sadarbība un konsultācijas ar NATO notiek personāla līmenī – regulārās sanāksmēs par militārās mobilitātes jautājumiem visās sfērās (zemes, jūras, gaisa). Ir nodoms nodrošināt ES un NATO saskaņotu pieeju un sinerģiju, lai efektīvi pārvarētu pastāvošos šķēršļus, tostarp likumiskos, infrastrukturālos un procedurālos, nolūkā atvieglot un paātrināt militārā personāla un materiāla pārvietošanos un robežu šķērsošanu, pilnībā respektējot suverēnus valstu lēmumus. Šī sadarbība tiks izvērsta pilnīgā atklātībā un pārredzamībā, ievērojot abu organizāciju lēmumu pieņemšanas autonomiju un procedūras, kā arī ievērojot iekļautības un savstarpības principus, neskarot nevienas dalībvalsts drošības un aizsardzības politikas specifiku. Savstarpējā sadarbība ar visām attiecīgajām ieinteresētajām personām tieksies optimalizēt koordināciju un efektivitāti, lai izmantotu visu iespējamo sinerģiju. </w:t>
      </w:r>
    </w:p>
    <w:p w:rsidR="00DA25B2" w:rsidRDefault="00667757">
      <w:pPr>
        <w:pStyle w:val="Briefingtext"/>
        <w:keepNext/>
        <w:spacing w:before="240" w:line="276" w:lineRule="auto"/>
        <w:rPr>
          <w:rStyle w:val="Aucun"/>
          <w:rFonts w:ascii="Times New Roman" w:hAnsi="Times New Roman" w:cs="Times New Roman"/>
          <w:b/>
          <w:noProof/>
          <w:sz w:val="24"/>
          <w:szCs w:val="24"/>
        </w:rPr>
      </w:pPr>
      <w:r>
        <w:rPr>
          <w:rStyle w:val="Aucun"/>
          <w:rFonts w:ascii="Times New Roman" w:hAnsi="Times New Roman"/>
          <w:b/>
          <w:noProof/>
          <w:sz w:val="24"/>
        </w:rPr>
        <w:t>Pārrobežu militāro pārvadājumu īpašās darba grupas darba rezultāts</w:t>
      </w:r>
    </w:p>
    <w:p w:rsidR="00DA25B2" w:rsidRDefault="00667757">
      <w:pPr>
        <w:spacing w:before="120" w:after="120" w:line="276" w:lineRule="auto"/>
        <w:jc w:val="both"/>
        <w:rPr>
          <w:rStyle w:val="Hyperlink"/>
          <w:rFonts w:eastAsia="Arial"/>
          <w:noProof/>
        </w:rPr>
      </w:pPr>
      <w:r>
        <w:rPr>
          <w:rStyle w:val="Aucun"/>
          <w:noProof/>
        </w:rPr>
        <w:t>Šis rīcības plāns tālāk attīsta militārās mobilitātes ceļvedi, ko Eiropas Aizsardzības aģentūras darba ietvaros izstrādājusi ar EAA Valdes 2017. gada septembra lēmumu izveidotā īpašā darba grupa. Īpašās darba grupas ceļvedī noteikti uzdevumi, pienākumi un saspringti termiņi militārās mobilitātes uzlabošanai šādos četros aspektos: tiesiskie jautājumi, muita, militārās vajadzības, ieskaitot infrastruktūras militāros standartus, robežšķērsošanas atļaujas, ieskaitot diplomātiskās atļaujas. Eiropas Aizsardzības aģentūras Valde 2018. gada 9. februārī ceļvedi atzinīgi novērtēja un uzdeva Eiropas Aizsardzības aģentūrai turpināt militārās mobilitātes uzlabošanas darbu, arī šā rīcības plāna īstenošanā, un ik gadu ziņot tai par panākumiem.</w:t>
      </w:r>
      <w:r>
        <w:rPr>
          <w:rStyle w:val="Hyperlink"/>
          <w:noProof/>
        </w:rPr>
        <w:t xml:space="preserve"> </w:t>
      </w:r>
    </w:p>
    <w:p w:rsidR="00DA25B2" w:rsidRDefault="00667757">
      <w:pPr>
        <w:spacing w:before="120" w:after="120" w:line="276" w:lineRule="auto"/>
        <w:jc w:val="both"/>
        <w:rPr>
          <w:noProof/>
        </w:rPr>
      </w:pPr>
      <w:r>
        <w:rPr>
          <w:rStyle w:val="Aucun"/>
          <w:noProof/>
        </w:rPr>
        <w:lastRenderedPageBreak/>
        <w:t>Bez tam ES dalībvalstis ir iesaistījušās vairākos Eiropas Aizsardzības aģentūras veicinātos sadarbības projektos un iniciatīvās:</w:t>
      </w:r>
      <w:r>
        <w:rPr>
          <w:noProof/>
        </w:rPr>
        <w:t xml:space="preserve"> Kustības un transporta projekta grupa</w:t>
      </w:r>
      <w:r>
        <w:rPr>
          <w:rStyle w:val="FootnoteReference"/>
          <w:noProof/>
        </w:rPr>
        <w:footnoteReference w:id="11"/>
      </w:r>
      <w:r>
        <w:rPr>
          <w:noProof/>
        </w:rPr>
        <w:t>, ES multimodālā transporta mezgli</w:t>
      </w:r>
      <w:r>
        <w:rPr>
          <w:rStyle w:val="FootnoteReference"/>
          <w:noProof/>
        </w:rPr>
        <w:footnoteReference w:id="12"/>
      </w:r>
      <w:r>
        <w:rPr>
          <w:noProof/>
        </w:rPr>
        <w:t xml:space="preserve"> un diplomātisko atļauju tehniskais risinājums</w:t>
      </w:r>
      <w:r>
        <w:rPr>
          <w:rStyle w:val="FootnoteReference"/>
          <w:noProof/>
        </w:rPr>
        <w:footnoteReference w:id="13"/>
      </w:r>
      <w:r>
        <w:rPr>
          <w:noProof/>
        </w:rPr>
        <w:t xml:space="preserve">. </w:t>
      </w:r>
    </w:p>
    <w:p w:rsidR="00DA25B2" w:rsidRDefault="00DA25B2">
      <w:pPr>
        <w:pStyle w:val="Briefingtext"/>
        <w:spacing w:after="200" w:line="276" w:lineRule="auto"/>
        <w:rPr>
          <w:rStyle w:val="Aucun"/>
          <w:rFonts w:ascii="Times New Roman" w:hAnsi="Times New Roman" w:cs="Times New Roman"/>
          <w:noProof/>
          <w:sz w:val="2"/>
          <w:szCs w:val="2"/>
        </w:rPr>
      </w:pPr>
    </w:p>
    <w:p w:rsidR="00DA25B2" w:rsidRDefault="00667757">
      <w:pPr>
        <w:pStyle w:val="En-tte0"/>
        <w:spacing w:before="240" w:after="240"/>
        <w:ind w:left="0" w:firstLine="0"/>
        <w:rPr>
          <w:noProof/>
          <w:sz w:val="26"/>
          <w:szCs w:val="26"/>
        </w:rPr>
      </w:pPr>
      <w:r>
        <w:rPr>
          <w:noProof/>
          <w:sz w:val="26"/>
        </w:rPr>
        <w:t>2.</w:t>
      </w:r>
      <w:r>
        <w:rPr>
          <w:noProof/>
        </w:rPr>
        <w:tab/>
      </w:r>
      <w:r>
        <w:rPr>
          <w:noProof/>
          <w:sz w:val="26"/>
        </w:rPr>
        <w:t xml:space="preserve">Konstatētās vajadzīgās darbības </w:t>
      </w:r>
    </w:p>
    <w:p w:rsidR="00DA25B2" w:rsidRDefault="00667757">
      <w:pPr>
        <w:pStyle w:val="Sous-section2"/>
        <w:numPr>
          <w:ilvl w:val="0"/>
          <w:numId w:val="0"/>
        </w:numPr>
        <w:spacing w:before="240" w:after="240"/>
        <w:ind w:left="709"/>
        <w:rPr>
          <w:noProof/>
        </w:rPr>
      </w:pPr>
      <w:r>
        <w:rPr>
          <w:noProof/>
        </w:rPr>
        <w:t>2.1.</w:t>
      </w:r>
      <w:r>
        <w:rPr>
          <w:noProof/>
        </w:rPr>
        <w:tab/>
        <w:t xml:space="preserve">Militārās prasības </w:t>
      </w:r>
    </w:p>
    <w:p w:rsidR="00DA25B2" w:rsidRDefault="00667757">
      <w:pPr>
        <w:pStyle w:val="Text2"/>
        <w:ind w:left="0"/>
        <w:jc w:val="both"/>
        <w:rPr>
          <w:rFonts w:ascii="Times New Roman" w:hAnsi="Times New Roman" w:cs="Times New Roman"/>
          <w:noProof/>
          <w:sz w:val="24"/>
          <w:szCs w:val="24"/>
        </w:rPr>
      </w:pPr>
      <w:r>
        <w:rPr>
          <w:rFonts w:ascii="Times New Roman" w:hAnsi="Times New Roman"/>
          <w:noProof/>
          <w:sz w:val="24"/>
        </w:rPr>
        <w:t>To militāro prasību noteikšana un saskaņošana, kas atspoguļo ES un tās dalībvalstu vajadzības, būs sākums efektīvai pieejai visā ES, kura aptvers visas citas darbības, kas aprakstītas šā paziņojuma tālākajās iedaļās. Šajās prasībās nosakāma arī militārajai mobilitātei nepieciešamā infrastruktūra. Tālab ES dalībvalstīm jāizmanto starpresoru pieeja – bez aizsardzības ministrijas jāiesaista arī citas kompetentās iestādes.</w:t>
      </w:r>
    </w:p>
    <w:p w:rsidR="00DA25B2" w:rsidRDefault="00667757">
      <w:pPr>
        <w:keepNext/>
        <w:pBdr>
          <w:top w:val="single" w:sz="4" w:space="0" w:color="000000"/>
          <w:left w:val="single" w:sz="4" w:space="0" w:color="000000"/>
          <w:bottom w:val="single" w:sz="4" w:space="0" w:color="000000"/>
          <w:right w:val="single" w:sz="4" w:space="0" w:color="000000"/>
        </w:pBdr>
        <w:shd w:val="clear" w:color="auto" w:fill="D9D9D9"/>
        <w:spacing w:before="60" w:after="60" w:line="276" w:lineRule="auto"/>
        <w:jc w:val="both"/>
        <w:rPr>
          <w:rFonts w:eastAsia="Calibri"/>
          <w:b/>
          <w:bCs/>
          <w:noProof/>
          <w:color w:val="000000"/>
          <w:u w:color="000000"/>
        </w:rPr>
      </w:pPr>
      <w:r>
        <w:rPr>
          <w:b/>
          <w:noProof/>
          <w:color w:val="000000"/>
          <w:u w:color="000000"/>
        </w:rPr>
        <w:t xml:space="preserve">Galvenie pasākumi ES līmenī </w:t>
      </w:r>
    </w:p>
    <w:p w:rsidR="00DA25B2" w:rsidRDefault="00667757">
      <w:pPr>
        <w:pStyle w:val="Text1"/>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hAnsi="Times New Roman" w:cs="Times New Roman"/>
          <w:noProof/>
          <w:sz w:val="24"/>
          <w:szCs w:val="24"/>
        </w:rPr>
      </w:pPr>
      <w:r>
        <w:rPr>
          <w:rFonts w:ascii="Times New Roman" w:hAnsi="Times New Roman"/>
          <w:noProof/>
          <w:sz w:val="24"/>
        </w:rPr>
        <w:t>Militārās prasības izstrādās Eiropas Ārējās darbības dienests/ES Militārais štābs ciešā sadarbībā ar ES dalībvalstīm, Komisiju un attiecīgajām Savienības aģentūrām un struktūrām (ieskaitot Eiropas Aizsardzības aģentūru) un attiecīgos gadījumos arī saziņā ar NATO.</w:t>
      </w:r>
    </w:p>
    <w:p w:rsidR="00DA25B2" w:rsidRDefault="00667757">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hAnsi="Times New Roman" w:cs="Times New Roman"/>
          <w:noProof/>
          <w:sz w:val="24"/>
          <w:szCs w:val="24"/>
        </w:rPr>
      </w:pPr>
      <w:r>
        <w:rPr>
          <w:rFonts w:ascii="Times New Roman" w:hAnsi="Times New Roman"/>
          <w:noProof/>
          <w:sz w:val="24"/>
        </w:rPr>
        <w:t xml:space="preserve">Padome tiek aicināta līdz 2018. gada vidum militārās prasības izskatīt un apstiprināt, iesaistot attiecīgās darba sagatavošanas struktūras, to vidū ES Militāro komiteju. </w:t>
      </w:r>
    </w:p>
    <w:p w:rsidR="00DA25B2" w:rsidRDefault="00667757">
      <w:pPr>
        <w:pStyle w:val="Sous-section2"/>
        <w:numPr>
          <w:ilvl w:val="0"/>
          <w:numId w:val="0"/>
        </w:numPr>
        <w:spacing w:before="240" w:after="240"/>
        <w:ind w:left="709"/>
        <w:rPr>
          <w:noProof/>
        </w:rPr>
      </w:pPr>
      <w:r>
        <w:rPr>
          <w:noProof/>
        </w:rPr>
        <w:t xml:space="preserve">2.2. </w:t>
      </w:r>
      <w:r>
        <w:rPr>
          <w:noProof/>
        </w:rPr>
        <w:tab/>
        <w:t>Transporta infrastruktūra</w:t>
      </w:r>
    </w:p>
    <w:p w:rsidR="00DA25B2" w:rsidRDefault="00667757">
      <w:pPr>
        <w:spacing w:after="200" w:line="276" w:lineRule="auto"/>
        <w:jc w:val="both"/>
        <w:rPr>
          <w:rStyle w:val="Aucun"/>
          <w:noProof/>
        </w:rPr>
      </w:pPr>
      <w:r>
        <w:rPr>
          <w:rStyle w:val="Aucun"/>
          <w:noProof/>
        </w:rPr>
        <w:t>Transporta infrastruktūras politika rada izdevību uzlabot sinerģiju starp aizsardzības vajadzībām un pastāvošo Savienības politiku, it īpaši Eiropas transporta tīklu (</w:t>
      </w:r>
      <w:r>
        <w:rPr>
          <w:rStyle w:val="Aucun"/>
          <w:i/>
          <w:noProof/>
        </w:rPr>
        <w:t>TEN-T</w:t>
      </w:r>
      <w:r>
        <w:rPr>
          <w:rStyle w:val="Aucun"/>
          <w:noProof/>
        </w:rPr>
        <w:t>)</w:t>
      </w:r>
      <w:r>
        <w:rPr>
          <w:rStyle w:val="FootnoteReference"/>
          <w:noProof/>
        </w:rPr>
        <w:footnoteReference w:id="14"/>
      </w:r>
      <w:r>
        <w:rPr>
          <w:rStyle w:val="Aucun"/>
          <w:noProof/>
        </w:rPr>
        <w:t>. Līdz ar to</w:t>
      </w:r>
      <w:r>
        <w:rPr>
          <w:noProof/>
        </w:rPr>
        <w:t xml:space="preserve"> </w:t>
      </w:r>
      <w:r>
        <w:rPr>
          <w:rStyle w:val="Aucun"/>
          <w:noProof/>
        </w:rPr>
        <w:t>pastāv plašas iespējas parādīt, kā veidojas ES pievienotā vērtība,</w:t>
      </w:r>
      <w:r>
        <w:rPr>
          <w:noProof/>
        </w:rPr>
        <w:t xml:space="preserve"> </w:t>
      </w:r>
      <w:r>
        <w:rPr>
          <w:rStyle w:val="Aucun"/>
          <w:noProof/>
        </w:rPr>
        <w:t>un nodrošināt publiskā sektora naudas līdzekļu lietderīgāku izmantošanu.</w:t>
      </w:r>
    </w:p>
    <w:p w:rsidR="00DA25B2" w:rsidRDefault="00667757">
      <w:pPr>
        <w:pStyle w:val="Briefingtext"/>
        <w:keepNext/>
        <w:spacing w:before="240"/>
        <w:rPr>
          <w:rStyle w:val="Aucun"/>
          <w:rFonts w:ascii="Times New Roman" w:eastAsia="Times New Roman" w:hAnsi="Times New Roman" w:cs="Times New Roman"/>
          <w:b/>
          <w:noProof/>
          <w:sz w:val="24"/>
          <w:szCs w:val="24"/>
        </w:rPr>
      </w:pPr>
      <w:r>
        <w:rPr>
          <w:rStyle w:val="Aucun"/>
          <w:rFonts w:ascii="Times New Roman" w:hAnsi="Times New Roman"/>
          <w:b/>
          <w:noProof/>
          <w:sz w:val="24"/>
        </w:rPr>
        <w:t>Izmēģināšana</w:t>
      </w:r>
    </w:p>
    <w:p w:rsidR="00DA25B2" w:rsidRDefault="00667757">
      <w:pPr>
        <w:spacing w:after="200" w:line="276" w:lineRule="auto"/>
        <w:jc w:val="both"/>
        <w:rPr>
          <w:rStyle w:val="Aucun"/>
          <w:noProof/>
        </w:rPr>
      </w:pPr>
      <w:r>
        <w:rPr>
          <w:rStyle w:val="Aucun"/>
          <w:noProof/>
        </w:rPr>
        <w:t>Lai pārbaudītu, vai ES mēroga pieeja ir īstenojama, Igaunijas prezidentūra 2017. gadā izmēģinājuma veidā sāka analīzi Eiropas transporta tīkla</w:t>
      </w:r>
      <w:r>
        <w:rPr>
          <w:rStyle w:val="FootnoteReference"/>
          <w:noProof/>
        </w:rPr>
        <w:footnoteReference w:id="15"/>
      </w:r>
      <w:r>
        <w:rPr>
          <w:rStyle w:val="Aucun"/>
          <w:noProof/>
        </w:rPr>
        <w:t xml:space="preserve"> Ziemeļjūras–Baltijas koridora </w:t>
      </w:r>
      <w:r>
        <w:rPr>
          <w:rStyle w:val="Aucun"/>
          <w:noProof/>
        </w:rPr>
        <w:lastRenderedPageBreak/>
        <w:t>valstīs, iesaistot to aizsardzības un transporta nozares pārstāvjus. Analīzes mērķis ir sākt tālāk aprakstītos pasākumus, lai noskaidrotu provizoriskos elementus, kas var noderēt pilna apjoma analīzei.</w:t>
      </w:r>
    </w:p>
    <w:p w:rsidR="00DA25B2" w:rsidRDefault="00667757">
      <w:pPr>
        <w:spacing w:after="200" w:line="276" w:lineRule="auto"/>
        <w:jc w:val="both"/>
        <w:rPr>
          <w:rStyle w:val="Aucun"/>
          <w:noProof/>
        </w:rPr>
      </w:pPr>
      <w:r>
        <w:rPr>
          <w:rStyle w:val="Aucun"/>
          <w:noProof/>
        </w:rPr>
        <w:t>Izmēģinājums tik tiešām izrādījies lietderīgs. Tajā iesaistītās dalībvalstis katra savā transporta tīklā jau ir noskaidrojušas militārām vajadzībām nepiemērotas, bet uzlabojamas vietas un izveidojušas attiecīgu prioritāšu sarakstu.</w:t>
      </w:r>
    </w:p>
    <w:p w:rsidR="00DA25B2" w:rsidRDefault="00667757">
      <w:pPr>
        <w:spacing w:after="200" w:line="276" w:lineRule="auto"/>
        <w:jc w:val="both"/>
        <w:rPr>
          <w:rStyle w:val="Aucun"/>
          <w:noProof/>
        </w:rPr>
      </w:pPr>
      <w:r>
        <w:rPr>
          <w:rStyle w:val="Aucun"/>
          <w:noProof/>
        </w:rPr>
        <w:t xml:space="preserve">Divi konkrēti piemēri: analīzē atklājās, ka vairāku ES dalībvalstu autoceļu tīklā maksimālais zem tiltiem pieļaujamais transportlīdzekļa augstums, kā arī atsevišķu tiltu nestspēja nav pietiekami militārajai tehnikai ar prāvākiem gabarītiem vai masu, un dzelzceļa transportā dažos gadījumos nav lielgabarītu militārajam aprīkojumam pietiekamas vestspējas. </w:t>
      </w:r>
    </w:p>
    <w:p w:rsidR="00DA25B2" w:rsidRDefault="00667757">
      <w:pPr>
        <w:spacing w:after="200" w:line="276" w:lineRule="auto"/>
        <w:jc w:val="both"/>
        <w:rPr>
          <w:rStyle w:val="Aucun"/>
          <w:noProof/>
        </w:rPr>
      </w:pPr>
      <w:r>
        <w:rPr>
          <w:rStyle w:val="Aucun"/>
          <w:noProof/>
        </w:rPr>
        <w:t>Izmēģinājumā tika konstatēts, ka liels potenciāls ir divējāda – civila un militāra – lietojuma infrastruktūrai, cita starpā – multimodālā transporta platformām, kas ļauj kravu no ostām un lidostām ātri novirzīt uz dzelzceļiem un autoceļiem, iekšzemes termināļu caurlaidības uzlabošanai un piemērotiem dzelzceļa līniju iekraušanas gabarītiem. Tas viss vēl precizējams pēc šajā rīcības plānā noteiktajiem pasākumiem, taču izmēģinājums apstiprināja, ka lodziņā atspoguļotā metodika darbojas.</w:t>
      </w:r>
    </w:p>
    <w:p w:rsidR="00DA25B2" w:rsidRDefault="00667757">
      <w:pPr>
        <w:keepNext/>
        <w:spacing w:before="240" w:after="240" w:line="276" w:lineRule="auto"/>
        <w:jc w:val="both"/>
        <w:rPr>
          <w:rFonts w:eastAsia="Times New Roman"/>
          <w:b/>
          <w:noProof/>
        </w:rPr>
      </w:pPr>
      <w:r>
        <w:rPr>
          <w:b/>
          <w:noProof/>
        </w:rPr>
        <w:t xml:space="preserve">ES transporta infrastruktūras izmantošana divējādām vajadzībām – civilām un militārām </w:t>
      </w:r>
    </w:p>
    <w:p w:rsidR="00DA25B2" w:rsidRDefault="00667757">
      <w:pPr>
        <w:spacing w:after="200" w:line="276" w:lineRule="auto"/>
        <w:jc w:val="both"/>
        <w:rPr>
          <w:rStyle w:val="Aucun"/>
          <w:noProof/>
        </w:rPr>
      </w:pPr>
      <w:r>
        <w:rPr>
          <w:rStyle w:val="Aucun"/>
          <w:noProof/>
        </w:rPr>
        <w:t>Īpašās darba grupas ceļvedī norādīts, ka ir iecerēts izmēģinājumu paplašināt un padziļināt, lai varētu novērtēt, cik lielā mērā pastāvošā transporta infrastruktūra, kura Eiropas transporta tīkla regulā noteikta par prioritāru visos transporta veidos, un tās tehniskās prasības ir piemērotas un pietiekamas militārā personāla un militāro līdzekļu transportēšanai, un, kur nav, izpētīt un izstrādāt papildu infrastruktūras posmus un elementus un paplašināt prasības.</w:t>
      </w:r>
    </w:p>
    <w:p w:rsidR="00DA25B2" w:rsidRDefault="00667757">
      <w:pPr>
        <w:pStyle w:val="Text1"/>
        <w:keepNext/>
        <w:pBdr>
          <w:top w:val="single" w:sz="4" w:space="0" w:color="000000"/>
          <w:left w:val="single" w:sz="4" w:space="0" w:color="000000"/>
          <w:bottom w:val="single" w:sz="4" w:space="0" w:color="000000"/>
          <w:right w:val="single" w:sz="4" w:space="0" w:color="000000"/>
        </w:pBdr>
        <w:shd w:val="clear" w:color="auto" w:fill="D9D9D9"/>
        <w:spacing w:before="60" w:after="60"/>
        <w:ind w:left="0"/>
        <w:jc w:val="both"/>
        <w:rPr>
          <w:rStyle w:val="Aucun"/>
          <w:rFonts w:ascii="Times New Roman" w:eastAsia="Times New Roman" w:hAnsi="Times New Roman" w:cs="Times New Roman"/>
          <w:b/>
          <w:bCs/>
          <w:noProof/>
          <w:sz w:val="24"/>
          <w:szCs w:val="24"/>
        </w:rPr>
      </w:pPr>
      <w:r>
        <w:rPr>
          <w:rStyle w:val="Aucun"/>
          <w:rFonts w:ascii="Times New Roman" w:hAnsi="Times New Roman"/>
          <w:b/>
          <w:noProof/>
          <w:sz w:val="24"/>
        </w:rPr>
        <w:t>Galvenie pasākumi ES līmenī</w:t>
      </w:r>
    </w:p>
    <w:p w:rsidR="00DA25B2" w:rsidRDefault="00667757">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t>Līdz 2018. gada beigām Komisija sadarbībā ar ES dalībvalstīm, Eiropas Ārējās darbības dienestu/ES Militāro štābu un Eiropas Aizsardzības aģentūru apzinās neatbilstības starp spēkā esošajām tehniskajām prasībām Eiropas transporta tīklam un tehniskajām prasībām, kas būtu piemērotas militārajam transportam. Tiks apzinātas arī atšķirības, kas saistītas ar ģeogrāfisko darbības jomu.</w:t>
      </w:r>
    </w:p>
    <w:p w:rsidR="00DA25B2" w:rsidRDefault="00667757">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t>Līdz 2019. gadam Komisijas dienesti noskaidros, kuras Eiropas transporta tīkla daļas ir piemērotas militārajam transportam, kā arī nepieciešamos pastāvošās infrastruktūras uzlabojumus. Tiks īpaši noskaidroti divējāda lietojuma projekti un skaitļos izteiktas to izmaksas. Uz konstatēto faktu pamata tiks sastādīts prioritāro projektu saraksts. Bez tam tiks aplēsts Eiropas transporta tīklā militārām vajadzībām izdarāmo ieguldījumu kopapjoms.</w:t>
      </w:r>
    </w:p>
    <w:p w:rsidR="00DA25B2" w:rsidRDefault="00667757">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lastRenderedPageBreak/>
        <w:t>Līdz 2020. gadam Komisija izvērtēs,</w:t>
      </w:r>
      <w:r>
        <w:rPr>
          <w:rFonts w:ascii="Times New Roman" w:hAnsi="Times New Roman"/>
          <w:noProof/>
        </w:rPr>
        <w:t xml:space="preserve"> </w:t>
      </w:r>
      <w:r>
        <w:rPr>
          <w:rFonts w:ascii="Times New Roman" w:hAnsi="Times New Roman"/>
          <w:noProof/>
          <w:sz w:val="24"/>
        </w:rPr>
        <w:t>vai vajag koriģēt Eiropas transporta tīkla regulu, iekļaujot tajā pārstrādātas tehniskās prasības, kas varētu aptvert arī militārās vajadzības.</w:t>
      </w:r>
    </w:p>
    <w:p w:rsidR="00DA25B2" w:rsidRDefault="00667757">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t>Līdz 2019. gada beigām Komisija sadarbībā ar attiecīgajām personām noskaidros, vai ir realizējama militāro un civilo (</w:t>
      </w:r>
      <w:r>
        <w:rPr>
          <w:rFonts w:ascii="Times New Roman" w:hAnsi="Times New Roman"/>
          <w:i/>
          <w:noProof/>
          <w:sz w:val="24"/>
        </w:rPr>
        <w:t>TENtec</w:t>
      </w:r>
      <w:r>
        <w:rPr>
          <w:rFonts w:ascii="Times New Roman" w:hAnsi="Times New Roman"/>
          <w:noProof/>
          <w:sz w:val="24"/>
        </w:rPr>
        <w:t xml:space="preserve">) datubāzu savienošana un kāds varētu būt tādu darbību apmērs. Uz tāda pamata Komisija noteiks, kādas tālākas korekcijas </w:t>
      </w:r>
      <w:r>
        <w:rPr>
          <w:rFonts w:ascii="Times New Roman" w:hAnsi="Times New Roman"/>
          <w:i/>
          <w:noProof/>
          <w:sz w:val="24"/>
        </w:rPr>
        <w:t>TENtec</w:t>
      </w:r>
      <w:r>
        <w:rPr>
          <w:rFonts w:ascii="Times New Roman" w:hAnsi="Times New Roman"/>
          <w:noProof/>
          <w:sz w:val="24"/>
        </w:rPr>
        <w:t xml:space="preserve"> funkcijās šim nolūkam būtu vajadzīgas un kādai jābūt datubāzu regulāras atjaunināšanas procedūrai.</w:t>
      </w:r>
    </w:p>
    <w:p w:rsidR="00DA25B2" w:rsidRDefault="00667757">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Style w:val="Aucun"/>
          <w:rFonts w:ascii="Times New Roman" w:eastAsia="Times New Roman" w:hAnsi="Times New Roman" w:cs="Times New Roman"/>
          <w:noProof/>
          <w:sz w:val="2"/>
          <w:szCs w:val="2"/>
        </w:rPr>
      </w:pPr>
      <w:r>
        <w:rPr>
          <w:rFonts w:ascii="Times New Roman" w:hAnsi="Times New Roman"/>
          <w:noProof/>
          <w:sz w:val="24"/>
        </w:rPr>
        <w:t xml:space="preserve">Pašlaik notiekošais: Komisija turpinās meklēt un stiprināt sinerģiju starp Eiropas transporta tīklu un attiecīgajām kosmosa programmām (kā </w:t>
      </w:r>
      <w:r>
        <w:rPr>
          <w:rFonts w:ascii="Times New Roman" w:hAnsi="Times New Roman"/>
          <w:i/>
          <w:noProof/>
          <w:sz w:val="24"/>
        </w:rPr>
        <w:t>EGNOS/Galileo</w:t>
      </w:r>
      <w:r>
        <w:rPr>
          <w:rFonts w:ascii="Times New Roman" w:hAnsi="Times New Roman"/>
          <w:noProof/>
          <w:sz w:val="24"/>
        </w:rPr>
        <w:t>).</w:t>
      </w:r>
    </w:p>
    <w:p w:rsidR="00DA25B2" w:rsidRDefault="00667757">
      <w:pPr>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jc w:val="both"/>
        <w:rPr>
          <w:rStyle w:val="Aucun"/>
          <w:rFonts w:eastAsia="Times New Roman"/>
          <w:b/>
          <w:bCs/>
          <w:noProof/>
        </w:rPr>
      </w:pPr>
      <w:r>
        <w:rPr>
          <w:rStyle w:val="Aucun"/>
          <w:b/>
          <w:noProof/>
        </w:rPr>
        <w:t>Dalībvalstis tiek aicinātas:</w:t>
      </w:r>
    </w:p>
    <w:p w:rsidR="00DA25B2" w:rsidRDefault="00667757">
      <w:pPr>
        <w:pStyle w:val="ListParagraph"/>
        <w:keepLines/>
        <w:numPr>
          <w:ilvl w:val="0"/>
          <w:numId w:val="16"/>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360"/>
        <w:jc w:val="both"/>
        <w:rPr>
          <w:rFonts w:ascii="Times New Roman" w:eastAsia="Times New Roman" w:hAnsi="Times New Roman" w:cs="Times New Roman"/>
          <w:noProof/>
          <w:sz w:val="24"/>
          <w:szCs w:val="24"/>
        </w:rPr>
      </w:pPr>
      <w:r>
        <w:rPr>
          <w:rFonts w:ascii="Times New Roman" w:hAnsi="Times New Roman"/>
          <w:noProof/>
          <w:sz w:val="24"/>
        </w:rPr>
        <w:t>Kolīdz iespējams, izveidot vienotu kontaktpunktu informēšanai par transporta infrastruktūras izmantojamību militārām vajadzībām.</w:t>
      </w:r>
    </w:p>
    <w:p w:rsidR="00DA25B2" w:rsidRDefault="00667757">
      <w:pPr>
        <w:pStyle w:val="ListParagraph"/>
        <w:keepLines/>
        <w:numPr>
          <w:ilvl w:val="0"/>
          <w:numId w:val="16"/>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360"/>
        <w:jc w:val="both"/>
        <w:rPr>
          <w:rFonts w:ascii="Times New Roman" w:eastAsia="Times New Roman" w:hAnsi="Times New Roman" w:cs="Times New Roman"/>
          <w:noProof/>
          <w:sz w:val="24"/>
          <w:szCs w:val="24"/>
        </w:rPr>
      </w:pPr>
      <w:r>
        <w:rPr>
          <w:rFonts w:ascii="Times New Roman" w:hAnsi="Times New Roman"/>
          <w:noProof/>
          <w:sz w:val="24"/>
        </w:rPr>
        <w:t>Būvējot transporta infrastruktūru, konsekventi ievērot militārās vajadzības.</w:t>
      </w:r>
    </w:p>
    <w:p w:rsidR="00DA25B2" w:rsidRDefault="00667757">
      <w:pPr>
        <w:pStyle w:val="Sous-section2"/>
        <w:numPr>
          <w:ilvl w:val="0"/>
          <w:numId w:val="0"/>
        </w:numPr>
        <w:spacing w:before="240" w:after="240"/>
        <w:ind w:left="709"/>
        <w:rPr>
          <w:noProof/>
        </w:rPr>
      </w:pPr>
      <w:r>
        <w:rPr>
          <w:noProof/>
        </w:rPr>
        <w:t>2.3.</w:t>
      </w:r>
      <w:r>
        <w:rPr>
          <w:noProof/>
        </w:rPr>
        <w:tab/>
        <w:t>Regulatīvie un procedurālie jautājumi</w:t>
      </w:r>
    </w:p>
    <w:p w:rsidR="00DA25B2" w:rsidRDefault="00667757">
      <w:pPr>
        <w:pStyle w:val="Briefingtext"/>
        <w:keepNext/>
        <w:spacing w:before="240"/>
        <w:rPr>
          <w:rFonts w:ascii="Times New Roman" w:eastAsia="Times New Roman" w:hAnsi="Times New Roman" w:cs="Times New Roman"/>
          <w:b/>
          <w:noProof/>
          <w:sz w:val="24"/>
          <w:szCs w:val="24"/>
        </w:rPr>
      </w:pPr>
      <w:r>
        <w:rPr>
          <w:rFonts w:ascii="Times New Roman" w:hAnsi="Times New Roman"/>
          <w:b/>
          <w:noProof/>
          <w:sz w:val="24"/>
        </w:rPr>
        <w:t>2.3.1.</w:t>
      </w:r>
      <w:r>
        <w:rPr>
          <w:noProof/>
        </w:rPr>
        <w:tab/>
      </w:r>
      <w:r>
        <w:rPr>
          <w:rFonts w:ascii="Times New Roman" w:hAnsi="Times New Roman"/>
          <w:b/>
          <w:noProof/>
          <w:sz w:val="24"/>
        </w:rPr>
        <w:t>Bīstamās kravas</w:t>
      </w:r>
    </w:p>
    <w:p w:rsidR="00DA25B2" w:rsidRDefault="00667757">
      <w:pPr>
        <w:spacing w:after="200" w:line="276" w:lineRule="auto"/>
        <w:jc w:val="both"/>
        <w:rPr>
          <w:rFonts w:eastAsia="Times New Roman"/>
          <w:noProof/>
          <w:u w:color="000000"/>
        </w:rPr>
      </w:pPr>
      <w:r>
        <w:rPr>
          <w:noProof/>
        </w:rPr>
        <w:t>Bīstamo kravu pārvadāšana pa sauszemi ir joma, kurā ES dalībvalstis un Komisija aktīvi iesaistās sarunās par sarežģītām starptautiskām konvencijām un ANO ieteikumiem. Tie gan attiecas tikai uz civilām vajadzībām, un tad, kad tiek prasīts piešķirt pārvietošanās brīvību militārajam transportam, kurā ir arī bīstamas kravas, ES dalībvalstis piemēro savus noteikumus. Šī atšķirība no civilajiem noteikumiem prasa vienreizējas (</w:t>
      </w:r>
      <w:r>
        <w:rPr>
          <w:i/>
          <w:noProof/>
        </w:rPr>
        <w:t>ad hoc</w:t>
      </w:r>
      <w:r>
        <w:rPr>
          <w:noProof/>
        </w:rPr>
        <w:t xml:space="preserve">) atļaujas un izraisa kavēšanos. </w:t>
      </w:r>
    </w:p>
    <w:p w:rsidR="00DA25B2" w:rsidRDefault="00667757">
      <w:pPr>
        <w:spacing w:after="200" w:line="276" w:lineRule="auto"/>
        <w:jc w:val="both"/>
        <w:rPr>
          <w:rFonts w:eastAsia="Times New Roman"/>
          <w:noProof/>
          <w:u w:color="000000"/>
        </w:rPr>
      </w:pPr>
      <w:r>
        <w:rPr>
          <w:noProof/>
        </w:rPr>
        <w:t xml:space="preserve">Saskaņojot bruņotajiem spēkiem piemērojamos noteikumus ar spēkā esošajām ES normām, palielinātos drošība un tiktu rasta bīstamu kravu militārajiem pārvadājumiem vajadzīgā sinerģija un saskanība, nevājinot civilās normas. </w:t>
      </w:r>
    </w:p>
    <w:p w:rsidR="00DA25B2" w:rsidRDefault="00DA25B2">
      <w:pPr>
        <w:spacing w:before="120" w:after="120" w:line="276" w:lineRule="auto"/>
        <w:jc w:val="both"/>
        <w:rPr>
          <w:rFonts w:eastAsia="Times New Roman"/>
          <w:noProof/>
          <w:sz w:val="2"/>
          <w:szCs w:val="2"/>
          <w:u w:color="000000"/>
        </w:rPr>
      </w:pPr>
    </w:p>
    <w:p w:rsidR="00DA25B2" w:rsidRDefault="00667757">
      <w:pPr>
        <w:pStyle w:val="Text1"/>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0"/>
        <w:jc w:val="both"/>
        <w:rPr>
          <w:rFonts w:ascii="Times New Roman" w:hAnsi="Times New Roman" w:cs="Times New Roman"/>
          <w:b/>
          <w:noProof/>
          <w:color w:val="auto"/>
          <w:sz w:val="24"/>
          <w:szCs w:val="24"/>
        </w:rPr>
      </w:pPr>
      <w:r>
        <w:rPr>
          <w:rFonts w:ascii="Times New Roman" w:hAnsi="Times New Roman"/>
          <w:b/>
          <w:noProof/>
          <w:color w:val="auto"/>
          <w:sz w:val="24"/>
        </w:rPr>
        <w:t>Galvenie pasākumi ES līmenī</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Līdz 2019. gada pavasarim Eiropas Aizsardzības aģentūra ciešā sadarbībā ar Eiropas Ārējās darbības dienestu/Eiropas Savienības Militāro štābu un visām pārējām iesaistītajām iestādēm apsekos vairākas sfēras: valstu noteikumi, vajadzību noteikšana, esošo saskaņoto civilo noteikumu piemērotība un papildnoteikumu vai grozījumu vajadzība. ES dalībvalstis tiek aicinātas aktīvi atbalstīt šo procesu. </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Pašlaik notiekošais: Komisijas dienesti ciešā sadarbībā ar Eiropas Ārējās darbības dienestu/ES Militāro štābu un ar Eiropas Aizsardzības aģentūras atbalstu turpinās veicināt civilo un militāro ekspertu zināšanu apmaiņu bīstamu kravu pārvadāšanas jautājumos. </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lastRenderedPageBreak/>
        <w:t>Līdz 2020. gadam Komisijas dienesti ciešā sadarbībā ar Eiropas Ārējās darbības dienestu/ES Militāro štābu un Eiropas Aizsardzības aģentūru izvērtēs, vai ir iespējams un vajadzīgs realizēt vēl kādas darbības ES līmenī.</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Līdz 2019. gada vasarai Eiropas Aizsardzības aģentūra ciešā sadarbībā ar dalībvalstīm un Eiropas Ārējās darbības dienestu/ES Militāro štābu arī izpētīs, vai dalībvalstu teritorijā iespējams uzlabot militārā gaisa transporta (pārvadāšanas un kraušanas) jomā piemērojamo noteikumu un procedūru konsekvenci. </w:t>
      </w:r>
    </w:p>
    <w:p w:rsidR="00DA25B2" w:rsidRDefault="00667757">
      <w:pPr>
        <w:keepNext/>
        <w:tabs>
          <w:tab w:val="left" w:pos="1429"/>
        </w:tabs>
        <w:spacing w:before="240" w:after="240" w:line="276" w:lineRule="auto"/>
        <w:jc w:val="both"/>
        <w:outlineLvl w:val="1"/>
        <w:rPr>
          <w:b/>
          <w:bCs/>
          <w:noProof/>
          <w:color w:val="000000"/>
          <w:u w:color="000000"/>
        </w:rPr>
      </w:pPr>
      <w:r>
        <w:rPr>
          <w:b/>
          <w:noProof/>
          <w:color w:val="000000"/>
          <w:u w:color="000000"/>
        </w:rPr>
        <w:t xml:space="preserve">2.3.2. Muita un pievienotās vērtības nodoklis </w:t>
      </w:r>
    </w:p>
    <w:p w:rsidR="00DA25B2" w:rsidRDefault="00667757">
      <w:pPr>
        <w:pStyle w:val="Briefingtext"/>
        <w:spacing w:after="200" w:line="276" w:lineRule="auto"/>
        <w:rPr>
          <w:rStyle w:val="Aucun"/>
          <w:rFonts w:ascii="Times New Roman" w:hAnsi="Times New Roman" w:cs="Times New Roman"/>
          <w:noProof/>
          <w:color w:val="auto"/>
          <w:sz w:val="24"/>
          <w:szCs w:val="24"/>
          <w:u w:color="1F497D"/>
        </w:rPr>
      </w:pPr>
      <w:r>
        <w:rPr>
          <w:rStyle w:val="Aucun"/>
          <w:rFonts w:ascii="Times New Roman" w:hAnsi="Times New Roman"/>
          <w:noProof/>
          <w:color w:val="auto"/>
          <w:sz w:val="24"/>
          <w:u w:color="1F497D"/>
        </w:rPr>
        <w:t>Īpašās darba grupas darbības laikā dažas ES dalībvalstis ir ziņojušas par apgrūtinājumiem, ko izraisa neskaidrība ar veidlapas Nr. 302 izmantošanu ES dalībvalstu bruņoto spēku vai to uzdevumā sūtīto militāro kravu izvešanai uz laiku un atpakaļievešanai.</w:t>
      </w:r>
    </w:p>
    <w:p w:rsidR="00DA25B2" w:rsidRDefault="00667757">
      <w:pPr>
        <w:pStyle w:val="Briefing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rPr>
          <w:rFonts w:ascii="Times New Roman" w:hAnsi="Times New Roman" w:cs="Times New Roman"/>
          <w:noProof/>
          <w:sz w:val="24"/>
          <w:szCs w:val="24"/>
        </w:rPr>
      </w:pPr>
      <w:r>
        <w:rPr>
          <w:rStyle w:val="Aucun"/>
          <w:rFonts w:ascii="Times New Roman" w:hAnsi="Times New Roman"/>
          <w:b/>
          <w:noProof/>
          <w:color w:val="auto"/>
          <w:sz w:val="24"/>
        </w:rPr>
        <w:t>Galvenie muitas pasākumi ES līmenī</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Style w:val="Aucun"/>
          <w:rFonts w:ascii="Times New Roman" w:hAnsi="Times New Roman" w:cs="Times New Roman"/>
          <w:noProof/>
          <w:color w:val="auto"/>
          <w:sz w:val="24"/>
          <w:szCs w:val="24"/>
        </w:rPr>
      </w:pPr>
      <w:r>
        <w:rPr>
          <w:rFonts w:ascii="Times New Roman" w:hAnsi="Times New Roman"/>
          <w:noProof/>
          <w:color w:val="auto"/>
          <w:sz w:val="24"/>
        </w:rPr>
        <w:t>Līdz 2018. gada beigām Komisijas dienesti kopā ar ES dalībvalstīm, Eiropas Ārējās darbības dienestu/ES Militāro štābu un Eiropas Aizsardzības aģentūru uzskaitīs visas ar muitu saistās darbības, kuras veidlapai Nr. 302 jāaptver. Turklāt Komisijas dienesti</w:t>
      </w:r>
      <w:r>
        <w:rPr>
          <w:rFonts w:ascii="Times New Roman" w:hAnsi="Times New Roman"/>
          <w:noProof/>
        </w:rPr>
        <w:t xml:space="preserve"> </w:t>
      </w:r>
      <w:r>
        <w:rPr>
          <w:rFonts w:ascii="Times New Roman" w:hAnsi="Times New Roman"/>
          <w:noProof/>
          <w:color w:val="auto"/>
          <w:sz w:val="24"/>
        </w:rPr>
        <w:t>ciešā sadarbībā ar Eiropas Aizsardzības aģentūru izvērtēs, vai ir vajadzība izstrādāt ES parauga veidlapu Nr. 302 gadījumiem, kuros pašreizējo veidlapu Nr. 302 nevar izmantot. Novērtēšanā aptvers varbūtējo ietekmi uz pašreizējiem muitas tiesību aktiem.</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Līdz 2018. gada beigām Komisija izpētīs iespējas racionalizēt un vienkāršot muitas formalitātes, kas skar militāro operāciju darbības, kuras saistītas ar muitu.</w:t>
      </w:r>
      <w:r>
        <w:rPr>
          <w:rFonts w:ascii="Times New Roman" w:hAnsi="Times New Roman"/>
          <w:noProof/>
        </w:rPr>
        <w:t xml:space="preserve"> </w:t>
      </w:r>
      <w:r>
        <w:rPr>
          <w:rFonts w:ascii="Times New Roman" w:hAnsi="Times New Roman"/>
          <w:noProof/>
          <w:color w:val="auto"/>
          <w:sz w:val="24"/>
        </w:rPr>
        <w:t>Tā arī nodrošinās attiecīgo muitas noteikumu vienveidīgu piemērošanu un īstenošanu.</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Līdz 2018. gada beigām Komisija konstatēs, vai ir kādi tiesību akti, kas jāgroza. Vajadzības gadījumā uz šā pamata Komisija ierosinās muitas tiesiskā regulējuma, sevišķi ar Savienības Muitas kodeksu saistīto Komisijas aktu</w:t>
      </w:r>
      <w:r>
        <w:rPr>
          <w:rFonts w:ascii="Times New Roman" w:hAnsi="Times New Roman"/>
          <w:noProof/>
          <w:color w:val="auto"/>
          <w:sz w:val="24"/>
          <w:vertAlign w:val="superscript"/>
        </w:rPr>
        <w:footnoteReference w:id="16"/>
      </w:r>
      <w:r>
        <w:rPr>
          <w:rFonts w:ascii="Times New Roman" w:hAnsi="Times New Roman"/>
          <w:noProof/>
          <w:color w:val="auto"/>
          <w:sz w:val="24"/>
        </w:rPr>
        <w:t xml:space="preserve"> grozījumus, lai padarītu skaidru veidlapas Nr. 302 izmantošanu norādītajās ar muitu saistītajās darbībās. </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Iesaistīdama Eiropas Ārējās darbības dienestu/ES Militāro štābu un Eiropas Aizsardzības aģentūru, Komisija izstrādās vadlīnijas, kam jānodrošina pareiza, vienota muitas tiesību normu īstenošana ar militārām darbībām saistītos jautājumos. Darba grafiks būs atkarīgs no minēto grozījumu pieņemšanas.</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lastRenderedPageBreak/>
        <w:t>Līdz 2018. gada vasarai Eiropas Aizsardzības aģentūra pēc Valdes lēmuma sagatavos A kategorijas projektu par muitu, to pastāvīgi koordinējot ar Eiropas Ārējās darbības dienestu/ES Militāro štābu un Komisijas dienestiem un dalībvalstu aizsardzības un muitas ekspertiem, neskarot Komisijas likumdošanas iniciatīvu Savienības muitas tiesību aktu jomā.</w:t>
      </w:r>
    </w:p>
    <w:p w:rsidR="00DA25B2" w:rsidRDefault="00DA25B2">
      <w:pPr>
        <w:pStyle w:val="Briefingtext"/>
        <w:spacing w:after="200" w:line="276" w:lineRule="auto"/>
        <w:rPr>
          <w:rStyle w:val="Aucun"/>
          <w:rFonts w:ascii="Times New Roman" w:hAnsi="Times New Roman" w:cs="Times New Roman"/>
          <w:noProof/>
          <w:color w:val="auto"/>
          <w:sz w:val="2"/>
          <w:szCs w:val="2"/>
          <w:u w:color="1F497D"/>
        </w:rPr>
      </w:pPr>
    </w:p>
    <w:p w:rsidR="00DA25B2" w:rsidRDefault="00667757">
      <w:pPr>
        <w:pStyle w:val="Briefingtext"/>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rPr>
          <w:rFonts w:ascii="Times New Roman" w:hAnsi="Times New Roman" w:cs="Times New Roman"/>
          <w:b/>
          <w:noProof/>
          <w:color w:val="auto"/>
          <w:sz w:val="24"/>
          <w:szCs w:val="24"/>
        </w:rPr>
      </w:pPr>
      <w:r>
        <w:rPr>
          <w:rFonts w:ascii="Times New Roman" w:hAnsi="Times New Roman"/>
          <w:b/>
          <w:noProof/>
          <w:color w:val="auto"/>
          <w:sz w:val="24"/>
        </w:rPr>
        <w:t>ES dalībvalstis tiek aicinātas</w:t>
      </w:r>
      <w:r>
        <w:rPr>
          <w:rFonts w:ascii="Times New Roman" w:hAnsi="Times New Roman"/>
          <w:noProof/>
          <w:color w:val="auto"/>
          <w:sz w:val="24"/>
        </w:rPr>
        <w:t xml:space="preserve"> līdz 2020. gada beigām izvērtēt, vai, izmantojot arī ES kosmiskās tehnoloģijas, būtu jāizstrādā elektroniskas sistēmas bruņoto spēku ar muitu saistītu darbību un muitas iestāžu pārvaldībai.</w:t>
      </w:r>
    </w:p>
    <w:p w:rsidR="00DA25B2" w:rsidRDefault="00DA25B2">
      <w:pPr>
        <w:pStyle w:val="Briefingtext"/>
        <w:spacing w:after="200" w:line="276" w:lineRule="auto"/>
        <w:rPr>
          <w:rStyle w:val="Aucun"/>
          <w:rFonts w:ascii="Times New Roman" w:hAnsi="Times New Roman" w:cs="Times New Roman"/>
          <w:noProof/>
          <w:color w:val="auto"/>
          <w:sz w:val="10"/>
          <w:szCs w:val="10"/>
          <w:u w:color="1F497D"/>
        </w:rPr>
      </w:pPr>
    </w:p>
    <w:p w:rsidR="00DA25B2" w:rsidRDefault="00667757">
      <w:pPr>
        <w:pStyle w:val="Briefingtext"/>
        <w:spacing w:after="200" w:line="276" w:lineRule="auto"/>
        <w:rPr>
          <w:rFonts w:ascii="Times New Roman" w:hAnsi="Times New Roman" w:cs="Times New Roman"/>
          <w:noProof/>
          <w:sz w:val="24"/>
          <w:szCs w:val="24"/>
        </w:rPr>
      </w:pPr>
      <w:r>
        <w:rPr>
          <w:rFonts w:ascii="Times New Roman" w:hAnsi="Times New Roman"/>
          <w:noProof/>
          <w:sz w:val="24"/>
        </w:rPr>
        <w:t xml:space="preserve">Militārās mobilitātes veicināšana skar arī pastāvošos noteikumus par pievienotās vērtības nodokli. Aizsardzības jomas pasākumi un īpaši militārā mobilitāte rada nepieciešamību sagādāt, piemēram, materiālus apmācībai un mācībām, izmitināšanu, provīziju un ēdināšanas pakalpojumus, degvielu utt. Principā tādām piegādēm piemērojams pievienotās vērtības nodoklis. Īpašajā militārās mobilitātes darba grupā dalībvalstis norādīja, ka uz aizsardzības jomas pasākumiem jāattiecina vienlīdzīgs režīms, lai samazinātu administratīvo slodzi, tā izvairoties no militārās mobilitātes aizkavēšanas un izmaksām un nodrošinot dalībvalstīm stimulu sadarboties. </w:t>
      </w:r>
    </w:p>
    <w:p w:rsidR="00DA25B2" w:rsidRDefault="00667757">
      <w:pPr>
        <w:pStyle w:val="Text1"/>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0"/>
        <w:jc w:val="both"/>
        <w:rPr>
          <w:rFonts w:ascii="Times New Roman" w:hAnsi="Times New Roman" w:cs="Times New Roman"/>
          <w:b/>
          <w:noProof/>
          <w:color w:val="auto"/>
          <w:sz w:val="24"/>
          <w:szCs w:val="24"/>
        </w:rPr>
      </w:pPr>
      <w:r>
        <w:rPr>
          <w:rFonts w:ascii="Times New Roman" w:hAnsi="Times New Roman"/>
          <w:b/>
          <w:noProof/>
          <w:color w:val="auto"/>
          <w:sz w:val="24"/>
        </w:rPr>
        <w:t>Galvenās ES līmeņa darbības pievienotās vērtības nodokļa jomā</w:t>
      </w:r>
    </w:p>
    <w:p w:rsidR="00DA25B2" w:rsidRDefault="00667757">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Līdz 2018. gada beigām, apspriežoties ar ES dalībvalstīm un cieši sadarbojoties ar attiecīgām Savienības struktūrām, Komisija izvērtēs iespējas samazināt administratīvo slodzi un to, vai ir iespējams savā starpā saskaņot pievienotās vērtības nodokļa režīmu aizsardzības jomas pasākumiem, kas tiek īstenoti gan ES satvarā, gan NATO paspārnē. </w:t>
      </w:r>
    </w:p>
    <w:p w:rsidR="00DA25B2" w:rsidRDefault="00667757">
      <w:pPr>
        <w:pStyle w:val="Sous-section2"/>
        <w:numPr>
          <w:ilvl w:val="0"/>
          <w:numId w:val="0"/>
        </w:numPr>
        <w:spacing w:before="240" w:after="240"/>
        <w:rPr>
          <w:noProof/>
        </w:rPr>
      </w:pPr>
      <w:r>
        <w:rPr>
          <w:noProof/>
        </w:rPr>
        <w:t>2.3.3. Robežšķērsošanas atļaujas</w:t>
      </w:r>
    </w:p>
    <w:p w:rsidR="00DA25B2" w:rsidRDefault="006677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bdr w:val="none" w:sz="0" w:space="0" w:color="auto"/>
        </w:rPr>
      </w:pPr>
      <w:r>
        <w:rPr>
          <w:noProof/>
        </w:rPr>
        <w:t xml:space="preserve">Īpašās darba grupas ceļvedī ierosināts, ka robežšķērsošanas atļaujas (ieskaitot diplomātisko atļauju) ir joma, kurā ES dalībvalstis var kopīgiem spēkiem uzlabot procedūru konsekvenci un/vai efektivitāti. Robežšķērsošanas atļauju jautājums skar procedūras, kurās tiek izdota atļauja pārkļūt robežai. Spēkā esošā diplomātiskā atļauja samazina administratīvo slodzi un laiku, kādā tiek atļauta militārā mobilitāte. Pastāvošā diplomātisko atļauju tehniskā risinājuma vērtība ir pierādījusies specifiskā gaisa pārvadājumu jomā, tomēr ir skaidri atklājušies arī dažādi ierobežojumi, ko piemēro atsevišķi parakstītāji, piemēram, neatļauj izmantot gaisa telpas reģionus vai lidlaukus vai izpildīt atsevišķus uzdevumus. Iesaistījušos ES dalībvalstu katru gadu piešķirtos diplomātiskās atļaujas numurus, kā arī ierobežojumus un kontaktēšanās laikus pārvalda un atspoguļo tam paredzētā tīmekļa portālā. </w:t>
      </w:r>
    </w:p>
    <w:p w:rsidR="00DA25B2" w:rsidRDefault="006677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bdr w:val="none" w:sz="0" w:space="0" w:color="auto"/>
        </w:rPr>
      </w:pPr>
      <w:r>
        <w:rPr>
          <w:noProof/>
        </w:rPr>
        <w:t xml:space="preserve">Robežšķērsošanas atļauju izdošanas kārtība, kas koncentrētos uz kustību pa zemi, būtu iespēja uzlabot militāro mobilitāti uz autoceļiem, dzelzceļiem un iekšējiem ūdensceļiem. Administratīvās procedūras daļēji varētu noteikt tehniskā risinājumā, kas nodrošinātu </w:t>
      </w:r>
      <w:r>
        <w:rPr>
          <w:noProof/>
        </w:rPr>
        <w:lastRenderedPageBreak/>
        <w:t xml:space="preserve">vienotus noteikumus un procedūras, it īpaši kopīgās drošības un aizsardzības politikas misijām un operācijām, kā arī citādām plānotām darbībām, mācībām un ikdienas kustībai. </w:t>
      </w:r>
    </w:p>
    <w:p w:rsidR="00DA25B2" w:rsidRDefault="006677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bdr w:val="none" w:sz="0" w:space="0" w:color="auto"/>
        </w:rPr>
      </w:pPr>
      <w:r>
        <w:rPr>
          <w:noProof/>
        </w:rPr>
        <w:t>Gaisa satiksmē lidojumiem, ko veic pēc vispārējās gaisa satiksmes noteikumiem, ir jāatbilst Eiropas vienotajā gaisa telpā ieviestajam tiesiskajam regulējumam. Lidojumos, kas notiek pēc valsts operatīvās gaisa satiksmes noteikumiem, pārrobežu operācijās dalībvalstīm ir jāizmanto divpusēji nolīgumi vai diplomātisko atļauju tehniskais risinājums. Visu drošības prasību izpildes pārbaudē palīdzēt varētu laicīga, precīza drošības informācijas nodošana Eiropas līmenī. Turklāt dažu iekārtu un pakalpojumu pieejamība palīdzētu nodrošināt gan visas aviācijas sistēmas drošumu, regularitāti un efektivitāti, gan atbilstību militāro gaisa operāciju prasībām. To varētu panākt, veicinot vienotu izpratni par galvenajiem principiem, daloties labākajā praksē un pārraugot tās ieviešanu.</w:t>
      </w:r>
    </w:p>
    <w:p w:rsidR="00DA25B2" w:rsidRDefault="00667757">
      <w:pPr>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jc w:val="both"/>
        <w:rPr>
          <w:rFonts w:eastAsia="Times New Roman"/>
          <w:b/>
          <w:noProof/>
          <w:u w:color="000000"/>
        </w:rPr>
      </w:pPr>
      <w:r>
        <w:rPr>
          <w:b/>
          <w:noProof/>
          <w:u w:color="000000"/>
        </w:rPr>
        <w:t xml:space="preserve">Galvenie pasākumi ES līmenī </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 xml:space="preserve">Līdz 2018. gada vasarai Eiropas Aizsardzības aģentūra pēc Valdes lēmuma sagatavos A kategorijas projektu par robežšķērsošanas atļauju izdošanu, kas palīdzēs dalībvalstīm izstrādāt robežšķērsošanas atļauju izdošanas kārtību. </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 xml:space="preserve">Eiropas Aizsardzības aģentūra ar Kustības un transporta projekta grupas spēkiem izveidos platformu viedokļu apmaiņai starp ES dalībvalstīm un Eiropas Ārējās darbības dienestu/ES Militāro štābu un NATO jautājumos par kustības pa zemi izpildes grafikiem. </w:t>
      </w:r>
    </w:p>
    <w:p w:rsidR="00DA25B2" w:rsidRDefault="00DA25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sz w:val="2"/>
          <w:szCs w:val="2"/>
          <w:bdr w:val="none" w:sz="0" w:space="0" w:color="auto"/>
        </w:rPr>
      </w:pPr>
    </w:p>
    <w:p w:rsidR="00DA25B2" w:rsidRDefault="00667757">
      <w:pPr>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jc w:val="both"/>
        <w:rPr>
          <w:rFonts w:eastAsia="Times New Roman"/>
          <w:b/>
          <w:noProof/>
          <w:u w:color="000000"/>
        </w:rPr>
      </w:pPr>
      <w:r>
        <w:rPr>
          <w:b/>
          <w:noProof/>
          <w:u w:color="000000"/>
        </w:rPr>
        <w:t>Dalībvalstis tiek aicinātas:</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uzskaitīt visas savas pašreizējās tiesību normas, kas skar tām nepiederošo militāro līdzekļu pieļaujamās darbības ES dalībvalstīs, sevišķi ierobežojumu ziņā,</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militāro vajadzību sakarā palīdzēt noteikt šās jomas specifiskās operatīvās vajadzības militāro līdzekļu pārvietošanai,</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norādīt valsts regulatīvos ierobežojumus un to politisko pamatojumu,</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izstrādāt risinājumus, izmantojot pastāvošās iestrādes un veikumu un līdzsvarojot operatīvās vajadzības ar saprātīgiem politiskiem ierobežojumiem, tā panākot, ka (diplomātiskās) atļaujas var piešķirt ar minimāliem valsts noteiktiem ierobežojumiem,</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noteikt, vai vajadzīgs koriģēt savus noteikumus gadījumos, kur uz grozītu noteikumu pamata var panākt militārās mobilitātes uzlabošanos, paturot būtiskus nemilitāri motivētus ierobežojumus tikai tad, ja tie nepieciešami,</w:t>
      </w:r>
    </w:p>
    <w:p w:rsidR="00DA25B2" w:rsidRDefault="00667757">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parakstīt jomai specifiskas vienošanās, kurās saskaņo procedūras un ļauj iepriekš izdot robežšķērsošanas atļauju militārām pārvietošanās un transporta vajadzībām, kurām atļauja jāsaņem iepriekš.</w:t>
      </w:r>
    </w:p>
    <w:p w:rsidR="00DA25B2" w:rsidRDefault="00DA25B2">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eastAsia="Calibri"/>
          <w:noProof/>
          <w:sz w:val="2"/>
          <w:szCs w:val="2"/>
          <w:bdr w:val="none" w:sz="0" w:space="0" w:color="auto"/>
        </w:rPr>
      </w:pPr>
    </w:p>
    <w:p w:rsidR="00DA25B2" w:rsidRDefault="00667757">
      <w:pPr>
        <w:keepNext/>
        <w:spacing w:before="240" w:after="240"/>
        <w:rPr>
          <w:b/>
          <w:noProof/>
        </w:rPr>
      </w:pPr>
      <w:r>
        <w:rPr>
          <w:b/>
          <w:noProof/>
        </w:rPr>
        <w:lastRenderedPageBreak/>
        <w:t>2.3.4.</w:t>
      </w:r>
      <w:r>
        <w:rPr>
          <w:noProof/>
        </w:rPr>
        <w:tab/>
      </w:r>
      <w:r>
        <w:rPr>
          <w:b/>
          <w:noProof/>
        </w:rPr>
        <w:t xml:space="preserve">Citi jautājumi </w:t>
      </w:r>
    </w:p>
    <w:p w:rsidR="00DA25B2" w:rsidRDefault="00667757">
      <w:pPr>
        <w:tabs>
          <w:tab w:val="left" w:pos="1429"/>
        </w:tabs>
        <w:spacing w:after="200" w:line="276" w:lineRule="auto"/>
        <w:jc w:val="both"/>
        <w:outlineLvl w:val="1"/>
        <w:rPr>
          <w:noProof/>
        </w:rPr>
      </w:pPr>
      <w:r>
        <w:rPr>
          <w:noProof/>
        </w:rPr>
        <w:t xml:space="preserve">Īpašās darba grupas ceļvedī izklāstīti arī citi, bet ne visi rīcības virzieni, kas saistīti ar regulatīviem un procedurāliem jautājumiem, ieskaitot likumiskos. To vidū – sīkāk noskaidrot ES Nolīguma par bruņoto spēku statusu iespējamo ietekmi uz militāro mobilitāti pēc tā stāšanās spēkā. </w:t>
      </w:r>
    </w:p>
    <w:p w:rsidR="00DA25B2" w:rsidRDefault="00667757">
      <w:pPr>
        <w:tabs>
          <w:tab w:val="left" w:pos="1429"/>
        </w:tabs>
        <w:spacing w:after="200" w:line="276" w:lineRule="auto"/>
        <w:jc w:val="both"/>
        <w:outlineLvl w:val="1"/>
        <w:rPr>
          <w:noProof/>
        </w:rPr>
      </w:pPr>
      <w:r>
        <w:rPr>
          <w:noProof/>
        </w:rPr>
        <w:t>Bez tam militārās mobilitātes uzlabošanā ES jāņem vērā hibrīdiski apdraudējumi. Tālab, īstenojot attiecīgās darbības saskaņā ar paziņojumu par kopīgu regulējumu hibrīddraudu apkarošanai</w:t>
      </w:r>
      <w:r>
        <w:rPr>
          <w:rStyle w:val="FootnoteReference"/>
          <w:noProof/>
        </w:rPr>
        <w:footnoteReference w:id="17"/>
      </w:r>
      <w:r>
        <w:rPr>
          <w:noProof/>
        </w:rPr>
        <w:t>, jāapsver militārās mobilitātes aspekts.</w:t>
      </w:r>
    </w:p>
    <w:p w:rsidR="00DA25B2" w:rsidRDefault="00667757">
      <w:pPr>
        <w:pStyle w:val="Text1"/>
        <w:keepNext/>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before="60" w:after="60"/>
        <w:ind w:left="0"/>
        <w:jc w:val="both"/>
        <w:rPr>
          <w:rFonts w:ascii="Times New Roman" w:hAnsi="Times New Roman" w:cs="Times New Roman"/>
          <w:b/>
          <w:noProof/>
          <w:color w:val="auto"/>
          <w:sz w:val="24"/>
          <w:szCs w:val="24"/>
        </w:rPr>
      </w:pPr>
      <w:r>
        <w:rPr>
          <w:rFonts w:ascii="Times New Roman" w:hAnsi="Times New Roman"/>
          <w:b/>
          <w:noProof/>
          <w:color w:val="auto"/>
          <w:sz w:val="24"/>
        </w:rPr>
        <w:t>Galvenie pasākumi ES līmenī</w:t>
      </w:r>
    </w:p>
    <w:p w:rsidR="00DA25B2" w:rsidRDefault="00667757">
      <w:pPr>
        <w:pStyle w:val="Text1"/>
        <w:keepLines/>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Līdz 2019. gada pavasarim Eiropas Aizsardzības aģentūra veiks pētījumu par šiem citiem jautājumiem, iesaistot kompetentās dalībvalstu iestādes, kā arī attiecīgi Komisijas dienestus un Eiropas Ārējās darbības dienestu/ES Militāro štābu, lai apzinātu vēl citus iespējamus darbības virzienus.</w:t>
      </w:r>
    </w:p>
    <w:p w:rsidR="00DA25B2" w:rsidRDefault="00667757">
      <w:pPr>
        <w:pStyle w:val="Text1"/>
        <w:keepLines/>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Pašlaik notiekošais: Īstenojot kopīgo regulējumu hibrīddraudu apkarošanai, īpaša uzmanība tiks pievērsta militārās mobilitātes aspektam, it īpaši spējai analizēt izlūkdatus (Hibrīddraudu analīzes vienībai), lēmumu pieņemšanai briesmu gadījumā un kritiskās infrastruktūras noturībai.</w:t>
      </w:r>
    </w:p>
    <w:p w:rsidR="00DA25B2" w:rsidRDefault="00DA25B2">
      <w:pPr>
        <w:pStyle w:val="Briefingtext"/>
        <w:spacing w:after="200" w:line="276" w:lineRule="auto"/>
        <w:ind w:left="357"/>
        <w:rPr>
          <w:rStyle w:val="Aucun"/>
          <w:rFonts w:ascii="Times New Roman" w:hAnsi="Times New Roman" w:cs="Times New Roman"/>
          <w:noProof/>
          <w:color w:val="auto"/>
          <w:sz w:val="2"/>
          <w:szCs w:val="2"/>
          <w:u w:color="1F497D"/>
        </w:rPr>
      </w:pPr>
    </w:p>
    <w:p w:rsidR="00DA25B2" w:rsidRDefault="00667757">
      <w:pPr>
        <w:pStyle w:val="Briefingtext"/>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rPr>
          <w:rFonts w:ascii="Times New Roman" w:hAnsi="Times New Roman" w:cs="Times New Roman"/>
          <w:noProof/>
          <w:color w:val="auto"/>
          <w:sz w:val="24"/>
          <w:szCs w:val="24"/>
        </w:rPr>
      </w:pPr>
      <w:r>
        <w:rPr>
          <w:rFonts w:ascii="Times New Roman" w:hAnsi="Times New Roman"/>
          <w:b/>
          <w:noProof/>
          <w:color w:val="auto"/>
          <w:sz w:val="24"/>
        </w:rPr>
        <w:t>ES dalībvalstis tiek aicinātas</w:t>
      </w:r>
      <w:r>
        <w:rPr>
          <w:rFonts w:ascii="Times New Roman" w:hAnsi="Times New Roman"/>
          <w:noProof/>
          <w:color w:val="auto"/>
          <w:sz w:val="24"/>
        </w:rPr>
        <w:t xml:space="preserve"> ES Nolīgumu par bruņoto spēku statusu un tā īstenošanu pēc tā stāšanās spēkā aplūkot arī militārās mobilitātes kontekstā.</w:t>
      </w:r>
    </w:p>
    <w:p w:rsidR="00DA25B2" w:rsidRDefault="00667757">
      <w:pPr>
        <w:pStyle w:val="En-tte0"/>
        <w:spacing w:before="240" w:after="240"/>
        <w:ind w:left="0" w:firstLine="0"/>
        <w:rPr>
          <w:noProof/>
        </w:rPr>
      </w:pPr>
      <w:r>
        <w:rPr>
          <w:noProof/>
        </w:rPr>
        <w:t>3.</w:t>
      </w:r>
      <w:r>
        <w:rPr>
          <w:noProof/>
        </w:rPr>
        <w:tab/>
        <w:t>Ietekme uz budžetu</w:t>
      </w:r>
    </w:p>
    <w:p w:rsidR="00DA25B2" w:rsidRDefault="00667757">
      <w:pPr>
        <w:pStyle w:val="Text1"/>
        <w:ind w:left="0"/>
        <w:jc w:val="both"/>
        <w:rPr>
          <w:rFonts w:ascii="Times New Roman" w:hAnsi="Times New Roman" w:cs="Times New Roman"/>
          <w:noProof/>
          <w:sz w:val="24"/>
          <w:szCs w:val="24"/>
        </w:rPr>
      </w:pPr>
      <w:r>
        <w:rPr>
          <w:rFonts w:ascii="Times New Roman" w:hAnsi="Times New Roman"/>
          <w:noProof/>
          <w:sz w:val="24"/>
        </w:rPr>
        <w:t>Šim rīcības plānam nav citādas ietekmes uz ES budžetu kā vien 2.2. iedaļā aprakstītais nākotnē iespējamais divējāda lietojuma infrastruktūras finansējums. Tādējādi ES iespējamais finansiālais papildu atbalsts divējāda lietojuma produktu projektu īstenošanai tiks ņemts vērā Komisijas gaidāmajā priekšlikumā par daudzgadu finanšu shēmu.</w:t>
      </w:r>
    </w:p>
    <w:p w:rsidR="00DA25B2" w:rsidRDefault="00667757">
      <w:pPr>
        <w:pStyle w:val="En-tte0"/>
        <w:spacing w:before="240" w:after="240"/>
        <w:ind w:left="0" w:firstLine="0"/>
        <w:rPr>
          <w:noProof/>
        </w:rPr>
      </w:pPr>
      <w:r>
        <w:rPr>
          <w:noProof/>
        </w:rPr>
        <w:t>4.</w:t>
      </w:r>
      <w:r>
        <w:rPr>
          <w:noProof/>
        </w:rPr>
        <w:tab/>
        <w:t>Tālākās darbības</w:t>
      </w:r>
    </w:p>
    <w:p w:rsidR="00DA25B2" w:rsidRDefault="00667757">
      <w:pPr>
        <w:pStyle w:val="Text1"/>
        <w:spacing w:after="0"/>
        <w:ind w:left="0"/>
        <w:jc w:val="both"/>
        <w:rPr>
          <w:rFonts w:ascii="Times New Roman" w:hAnsi="Times New Roman" w:cs="Times New Roman"/>
          <w:noProof/>
          <w:sz w:val="24"/>
          <w:szCs w:val="24"/>
        </w:rPr>
      </w:pPr>
      <w:r>
        <w:rPr>
          <w:rFonts w:ascii="Times New Roman" w:hAnsi="Times New Roman"/>
          <w:noProof/>
          <w:sz w:val="24"/>
        </w:rPr>
        <w:t>Militārās mobilitātes rīcības plānu augstā pārstāve un Komisija iesniedz ES dalībvalstīm apsvēršanai un apstiprināšanai, un tas ļaus to laicīgi un koordinēti īstenot. Tas uzskatāms par dzīvu plānu, ko pēcāk iespējams attiecīgi pārskatīt.</w:t>
      </w:r>
    </w:p>
    <w:p w:rsidR="00DA25B2" w:rsidRDefault="00667757">
      <w:pPr>
        <w:pStyle w:val="Text1"/>
        <w:spacing w:before="120" w:after="120"/>
        <w:ind w:left="0"/>
        <w:jc w:val="both"/>
        <w:rPr>
          <w:rFonts w:ascii="Times New Roman" w:hAnsi="Times New Roman" w:cs="Times New Roman"/>
          <w:noProof/>
          <w:sz w:val="24"/>
          <w:szCs w:val="24"/>
        </w:rPr>
      </w:pPr>
      <w:r>
        <w:rPr>
          <w:rFonts w:ascii="Times New Roman" w:hAnsi="Times New Roman"/>
          <w:noProof/>
          <w:sz w:val="24"/>
        </w:rPr>
        <w:t>Augstā pārstāve un Komisija iesniegs ES dalībvalstīm pienācīgus regulārus ziņojumus par rīcības plāna īstenošanu – pirmo līdztekus un papildus Eiropas Aizsardzības aģentūras gada pārskatam dalībvalstu aizsardzības ministriem iesniegs līdz 2019. gada vasarai.</w:t>
      </w:r>
    </w:p>
    <w:sectPr w:rsidR="00DA25B2">
      <w:headerReference w:type="even" r:id="rId16"/>
      <w:headerReference w:type="default" r:id="rId17"/>
      <w:footerReference w:type="even" r:id="rId18"/>
      <w:footerReference w:type="default" r:id="rId19"/>
      <w:headerReference w:type="first" r:id="rId20"/>
      <w:footerReference w:type="first" r:id="rId21"/>
      <w:pgSz w:w="11900" w:h="16840"/>
      <w:pgMar w:top="1620" w:right="1620" w:bottom="1620" w:left="1620" w:header="300" w:footer="30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D4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D47D4" w16cid:durableId="1E4865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B2" w:rsidRDefault="00667757">
      <w:r>
        <w:separator/>
      </w:r>
    </w:p>
  </w:endnote>
  <w:endnote w:type="continuationSeparator" w:id="0">
    <w:p w:rsidR="00DA25B2" w:rsidRDefault="0066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5E1FCB">
    <w:pPr>
      <w:pStyle w:val="FooterCoverPage"/>
      <w:rPr>
        <w:rFonts w:ascii="Arial" w:hAnsi="Arial" w:cs="Arial"/>
        <w:b/>
        <w:sz w:val="48"/>
      </w:rPr>
    </w:pPr>
    <w:r>
      <w:rPr>
        <w:rFonts w:ascii="Arial" w:hAnsi="Arial" w:cs="Arial"/>
        <w:b/>
        <w:sz w:val="48"/>
      </w:rPr>
      <w:tab/>
    </w:r>
    <w:r w:rsidR="00667757">
      <w:rPr>
        <w:rFonts w:ascii="Arial" w:hAnsi="Arial" w:cs="Arial"/>
        <w:b/>
        <w:sz w:val="48"/>
      </w:rPr>
      <w:t>LV</w:t>
    </w:r>
    <w:r w:rsidR="00667757">
      <w:rPr>
        <w:rFonts w:ascii="Arial" w:hAnsi="Arial" w:cs="Arial"/>
        <w:b/>
        <w:sz w:val="48"/>
      </w:rPr>
      <w:tab/>
    </w:r>
    <w:r w:rsidR="00667757">
      <w:rPr>
        <w:rFonts w:ascii="Arial" w:hAnsi="Arial" w:cs="Arial"/>
        <w:b/>
        <w:sz w:val="48"/>
      </w:rPr>
      <w:tab/>
    </w:r>
    <w:r w:rsidR="00667757">
      <w:tab/>
    </w:r>
    <w:r w:rsidR="00667757">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95311"/>
      <w:docPartObj>
        <w:docPartGallery w:val="Page Numbers (Bottom of Page)"/>
        <w:docPartUnique/>
      </w:docPartObj>
    </w:sdtPr>
    <w:sdtEndPr>
      <w:rPr>
        <w:noProof/>
      </w:rPr>
    </w:sdtEndPr>
    <w:sdtContent>
      <w:p w:rsidR="00DA25B2" w:rsidRDefault="00667757">
        <w:pPr>
          <w:pStyle w:val="Footer"/>
          <w:jc w:val="center"/>
        </w:pPr>
        <w:r>
          <w:fldChar w:fldCharType="begin"/>
        </w:r>
        <w:r>
          <w:instrText xml:space="preserve"> PAGE   \* MERGEFORMAT </w:instrText>
        </w:r>
        <w:r>
          <w:fldChar w:fldCharType="separate"/>
        </w:r>
        <w:r w:rsidR="005E1FCB">
          <w:rPr>
            <w:noProof/>
          </w:rPr>
          <w:t>5</w:t>
        </w:r>
        <w:r>
          <w:rPr>
            <w:noProof/>
          </w:rPr>
          <w:fldChar w:fldCharType="end"/>
        </w:r>
      </w:p>
    </w:sdtContent>
  </w:sdt>
  <w:p w:rsidR="00DA25B2" w:rsidRDefault="00DA25B2">
    <w:pPr>
      <w:pStyle w:val="Footer"/>
      <w:tabs>
        <w:tab w:val="clear" w:pos="9071"/>
        <w:tab w:val="clear" w:pos="9921"/>
        <w:tab w:val="right" w:pos="8593"/>
        <w:tab w:val="right" w:pos="8593"/>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B2" w:rsidRDefault="00667757">
      <w:r>
        <w:separator/>
      </w:r>
    </w:p>
  </w:footnote>
  <w:footnote w:type="continuationSeparator" w:id="0">
    <w:p w:rsidR="00DA25B2" w:rsidRDefault="00667757">
      <w:r>
        <w:continuationSeparator/>
      </w:r>
    </w:p>
  </w:footnote>
  <w:footnote w:type="continuationNotice" w:id="1">
    <w:p w:rsidR="00DA25B2" w:rsidRDefault="00DA25B2"/>
  </w:footnote>
  <w:footnote w:id="2">
    <w:p w:rsidR="00DA25B2" w:rsidRPr="00667757" w:rsidRDefault="00667757">
      <w:pPr>
        <w:pStyle w:val="FootnoteText"/>
        <w:spacing w:after="0" w:line="240" w:lineRule="auto"/>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2017. gada 13. septembra uzruna par stāvokli Savienībā 2017. gadā. </w:t>
      </w:r>
      <w:hyperlink r:id="rId1">
        <w:r>
          <w:rPr>
            <w:rStyle w:val="Hyperlink"/>
            <w:rFonts w:ascii="Times New Roman" w:hAnsi="Times New Roman"/>
          </w:rPr>
          <w:t>http://europa.eu/rapid/press-release_SPEECH-17-3165_lv.htm</w:t>
        </w:r>
      </w:hyperlink>
      <w:r>
        <w:rPr>
          <w:rFonts w:ascii="Times New Roman" w:hAnsi="Times New Roman"/>
        </w:rPr>
        <w:t xml:space="preserve"> </w:t>
      </w:r>
    </w:p>
  </w:footnote>
  <w:footnote w:id="3">
    <w:p w:rsidR="00DA25B2" w:rsidRPr="00667757" w:rsidRDefault="00667757">
      <w:pPr>
        <w:pStyle w:val="FootnoteText"/>
        <w:spacing w:after="0" w:line="240" w:lineRule="auto"/>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Globālā Eiropas Savienības ārpolitikas un drošības politikas stratēģija, Ārlietu padomes secinājumi, 2016. gada 14. novembris.</w:t>
      </w:r>
    </w:p>
  </w:footnote>
  <w:footnote w:id="4">
    <w:p w:rsidR="00DA25B2" w:rsidRPr="00667757" w:rsidRDefault="00667757">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 42. panta 7. punkts.</w:t>
      </w:r>
    </w:p>
  </w:footnote>
  <w:footnote w:id="5">
    <w:p w:rsidR="00DA25B2" w:rsidRDefault="00667757">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http://www.consilium.europa.eu/media/32000/st14866en17.pdf</w:t>
      </w:r>
    </w:p>
  </w:footnote>
  <w:footnote w:id="6">
    <w:p w:rsidR="00DA25B2" w:rsidRDefault="00667757">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http://www.consilium.europa.eu/media/33064/council-recommendation.pdf</w:t>
        </w:r>
      </w:hyperlink>
    </w:p>
    <w:p w:rsidR="00DA25B2" w:rsidRDefault="00667757">
      <w:pPr>
        <w:pStyle w:val="FootnoteText"/>
        <w:spacing w:after="0" w:line="240" w:lineRule="auto"/>
        <w:ind w:left="360" w:hanging="360"/>
        <w:rPr>
          <w:rFonts w:ascii="Times New Roman" w:hAnsi="Times New Roman" w:cs="Times New Roman"/>
        </w:rPr>
      </w:pPr>
      <w:r w:rsidRPr="00667757">
        <w:rPr>
          <w:rStyle w:val="Hyperlink"/>
          <w:rFonts w:ascii="Times New Roman" w:hAnsi="Times New Roman"/>
          <w:u w:val="none"/>
        </w:rPr>
        <w:tab/>
      </w:r>
      <w:r>
        <w:rPr>
          <w:rStyle w:val="Hyperlink"/>
          <w:rFonts w:ascii="Times New Roman" w:hAnsi="Times New Roman"/>
        </w:rPr>
        <w:t>http://data.consilium.europa.eu/doc/document/ST-6393-2018-INIT/en/pdf</w:t>
      </w:r>
    </w:p>
  </w:footnote>
  <w:footnote w:id="7">
    <w:p w:rsidR="00DA25B2" w:rsidRDefault="00667757">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http://www.consilium.europa.eu/media/31947/st14802en17.pdf</w:t>
      </w:r>
    </w:p>
  </w:footnote>
  <w:footnote w:id="8">
    <w:p w:rsidR="00DA25B2" w:rsidRDefault="00667757">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u w:val="none"/>
          </w:rPr>
          <w:t>http://www.consilium.europa.eu/media/21481/nato-eu-declaration-8-july-en-final.pdf</w:t>
        </w:r>
      </w:hyperlink>
    </w:p>
    <w:p w:rsidR="00DA25B2" w:rsidRDefault="00667757">
      <w:pPr>
        <w:pStyle w:val="FootnoteText"/>
        <w:spacing w:after="0" w:line="240" w:lineRule="auto"/>
        <w:ind w:left="360" w:firstLine="0"/>
        <w:rPr>
          <w:rFonts w:ascii="Times New Roman" w:hAnsi="Times New Roman" w:cs="Times New Roman"/>
        </w:rPr>
      </w:pPr>
      <w:r>
        <w:rPr>
          <w:rFonts w:ascii="Times New Roman" w:hAnsi="Times New Roman"/>
        </w:rPr>
        <w:t>http://www.consilium.europa.eu/media/31947/st14802en17.pdf</w:t>
      </w:r>
    </w:p>
  </w:footnote>
  <w:footnote w:id="9">
    <w:p w:rsidR="00DA25B2" w:rsidRDefault="00667757">
      <w:pPr>
        <w:pStyle w:val="FootnoteText"/>
        <w:spacing w:after="0" w:line="240" w:lineRule="auto"/>
        <w:ind w:left="360" w:hanging="360"/>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http://www.consilium.europa.eu/media/32204/14-final-conclusions-rev1-en.pdf</w:t>
      </w:r>
    </w:p>
  </w:footnote>
  <w:footnote w:id="10">
    <w:p w:rsidR="00DA25B2" w:rsidRDefault="00667757">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u w:val="none"/>
          </w:rPr>
          <w:t>https://eeas.europa.eu/sites/eeas/files/joint_communication_to_the_european_parliament_and_the_</w:t>
        </w:r>
      </w:hyperlink>
      <w:r>
        <w:rPr>
          <w:rFonts w:ascii="Times New Roman" w:hAnsi="Times New Roman"/>
        </w:rPr>
        <w:t xml:space="preserve"> </w:t>
      </w:r>
      <w:proofErr w:type="spellStart"/>
      <w:r>
        <w:rPr>
          <w:rFonts w:ascii="Times New Roman" w:hAnsi="Times New Roman"/>
        </w:rPr>
        <w:t>council_-_improving_military_mobility_in_the_european_union.pdf</w:t>
      </w:r>
      <w:proofErr w:type="spellEnd"/>
    </w:p>
  </w:footnote>
  <w:footnote w:id="11">
    <w:p w:rsidR="00DA25B2" w:rsidRDefault="00667757">
      <w:pPr>
        <w:pStyle w:val="FootnoteText"/>
        <w:spacing w:after="0"/>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Kustības un transporta projekta grupā iekļauti ES dalībvalstu eksperti, un tās mērķis ir noteikt iespējamās sadarbības jomas, izvērtēt sadarbības pasākumu iespējas un uzlabot militāro vajadzību konsekvenci. Tā ir platforma, kurā ES dalībvalstis savā starpā dalās informācijā par visiem notiekošajiem pasākumiem kustības un transporta jomā ar mērķi derīgi izmantot jau sāktās iniciatīvas, izvairoties no darba dubultošanās.</w:t>
      </w:r>
    </w:p>
  </w:footnote>
  <w:footnote w:id="12">
    <w:p w:rsidR="00DA25B2" w:rsidRPr="00667757" w:rsidRDefault="00667757">
      <w:pPr>
        <w:pStyle w:val="FootnoteText"/>
        <w:spacing w:after="0"/>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https://www.eda.europa.eu/what-we-do/activities/activities-search/eu-multimodal-transport-hubs</w:t>
        </w:r>
      </w:hyperlink>
      <w:r>
        <w:rPr>
          <w:rFonts w:ascii="Times New Roman" w:hAnsi="Times New Roman"/>
        </w:rPr>
        <w:t xml:space="preserve"> </w:t>
      </w:r>
    </w:p>
  </w:footnote>
  <w:footnote w:id="13">
    <w:p w:rsidR="00DA25B2" w:rsidRPr="00667757" w:rsidRDefault="00667757">
      <w:pPr>
        <w:pStyle w:val="FootnoteText"/>
        <w:spacing w:after="0"/>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https://www.eda.europa.eu/docs/default-source/documents/dic-ip.pdf</w:t>
        </w:r>
      </w:hyperlink>
      <w:r>
        <w:rPr>
          <w:rFonts w:ascii="Times New Roman" w:hAnsi="Times New Roman"/>
        </w:rPr>
        <w:t xml:space="preserve"> </w:t>
      </w:r>
    </w:p>
  </w:footnote>
  <w:footnote w:id="14">
    <w:p w:rsidR="00DA25B2" w:rsidRPr="00667757" w:rsidRDefault="00667757">
      <w:pPr>
        <w:pStyle w:val="FootnoteText"/>
        <w:spacing w:after="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Aucun"/>
          <w:rFonts w:ascii="Times New Roman" w:hAnsi="Times New Roman"/>
        </w:rPr>
        <w:t xml:space="preserve">Eiropas Parlamenta un Padomes 2013. gada 11. decembra Regula (ES) </w:t>
      </w:r>
      <w:proofErr w:type="spellStart"/>
      <w:r>
        <w:rPr>
          <w:rStyle w:val="Aucun"/>
          <w:rFonts w:ascii="Times New Roman" w:hAnsi="Times New Roman"/>
        </w:rPr>
        <w:t>Nr</w:t>
      </w:r>
      <w:proofErr w:type="spellEnd"/>
      <w:r>
        <w:rPr>
          <w:rStyle w:val="Aucun"/>
          <w:rFonts w:ascii="Times New Roman" w:hAnsi="Times New Roman"/>
        </w:rPr>
        <w:t xml:space="preserve">. 1315/2013 par Savienības pamatnostādnēm Eiropas transporta tīkla attīstībai un ar ko atceļ Lēmumu </w:t>
      </w:r>
      <w:proofErr w:type="spellStart"/>
      <w:r>
        <w:rPr>
          <w:rStyle w:val="Aucun"/>
          <w:rFonts w:ascii="Times New Roman" w:hAnsi="Times New Roman"/>
        </w:rPr>
        <w:t>Nr</w:t>
      </w:r>
      <w:proofErr w:type="spellEnd"/>
      <w:r>
        <w:rPr>
          <w:rStyle w:val="Aucun"/>
          <w:rFonts w:ascii="Times New Roman" w:hAnsi="Times New Roman"/>
        </w:rPr>
        <w:t>. 661/2010/ES (OV L 348, 20.12.2013., 1. </w:t>
      </w:r>
      <w:proofErr w:type="spellStart"/>
      <w:r>
        <w:rPr>
          <w:rStyle w:val="Aucun"/>
          <w:rFonts w:ascii="Times New Roman" w:hAnsi="Times New Roman"/>
        </w:rPr>
        <w:t>lpp</w:t>
      </w:r>
      <w:proofErr w:type="spellEnd"/>
      <w:r>
        <w:rPr>
          <w:rStyle w:val="Aucun"/>
          <w:rFonts w:ascii="Times New Roman" w:hAnsi="Times New Roman"/>
        </w:rPr>
        <w:t>.).</w:t>
      </w:r>
    </w:p>
  </w:footnote>
  <w:footnote w:id="15">
    <w:p w:rsidR="00DA25B2" w:rsidRPr="00667757" w:rsidRDefault="00667757">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Nīderlande, Beļģija, Vācija, Polija, Lietuva, Latvija, Igaunija un Somija.</w:t>
      </w:r>
    </w:p>
  </w:footnote>
  <w:footnote w:id="16">
    <w:p w:rsidR="00DA25B2" w:rsidRDefault="00667757">
      <w:pPr>
        <w:pStyle w:val="FootnoteText"/>
        <w:spacing w:after="0" w:line="240" w:lineRule="auto"/>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Komisijas 2015. gada 28. jūlija Deleģētā regula (ES) 2015/2446, ar ko papildina Eiropas Parlamenta un Padomes Regulu (ES) </w:t>
      </w:r>
      <w:proofErr w:type="spellStart"/>
      <w:r>
        <w:rPr>
          <w:rFonts w:ascii="Times New Roman" w:hAnsi="Times New Roman"/>
        </w:rPr>
        <w:t>Nr</w:t>
      </w:r>
      <w:proofErr w:type="spellEnd"/>
      <w:r>
        <w:rPr>
          <w:rFonts w:ascii="Times New Roman" w:hAnsi="Times New Roman"/>
        </w:rPr>
        <w:t xml:space="preserve">. 952/2013 attiecībā uz sīki izstrādātiem noteikumiem, kuri attiecas uz dažiem Savienības Muitas kodeksa noteikumiem (OV L 343, 29.12.2015., 1. </w:t>
      </w:r>
      <w:proofErr w:type="spellStart"/>
      <w:r>
        <w:rPr>
          <w:rFonts w:ascii="Times New Roman" w:hAnsi="Times New Roman"/>
        </w:rPr>
        <w:t>lpp</w:t>
      </w:r>
      <w:proofErr w:type="spellEnd"/>
      <w:r>
        <w:rPr>
          <w:rFonts w:ascii="Times New Roman" w:hAnsi="Times New Roman"/>
        </w:rPr>
        <w:t xml:space="preserve">.) un Komisijas 2015. gada 24. novembra Īstenošanas regula (ES) 2015/2447, ar ko paredz sīki izstrādātus noteikumus, kas vajadzīgi, lai īstenotu konkrētus noteikumus Eiropas Parlamenta un Padomes Regulā (ES) </w:t>
      </w:r>
      <w:proofErr w:type="spellStart"/>
      <w:r>
        <w:rPr>
          <w:rFonts w:ascii="Times New Roman" w:hAnsi="Times New Roman"/>
        </w:rPr>
        <w:t>Nr</w:t>
      </w:r>
      <w:proofErr w:type="spellEnd"/>
      <w:r>
        <w:rPr>
          <w:rFonts w:ascii="Times New Roman" w:hAnsi="Times New Roman"/>
        </w:rPr>
        <w:t xml:space="preserve">. 952/2013, ar ko izveido Savienības Muitas kodeksu (OV L 343, 29.12.2015., 558. </w:t>
      </w:r>
      <w:proofErr w:type="spellStart"/>
      <w:r>
        <w:rPr>
          <w:rFonts w:ascii="Times New Roman" w:hAnsi="Times New Roman"/>
        </w:rPr>
        <w:t>lpp</w:t>
      </w:r>
      <w:proofErr w:type="spellEnd"/>
      <w:r>
        <w:rPr>
          <w:rFonts w:ascii="Times New Roman" w:hAnsi="Times New Roman"/>
        </w:rPr>
        <w:t>.).</w:t>
      </w:r>
    </w:p>
  </w:footnote>
  <w:footnote w:id="17">
    <w:p w:rsidR="00DA25B2" w:rsidRDefault="00667757">
      <w:pPr>
        <w:pStyle w:val="FootnoteText"/>
      </w:pPr>
      <w:r>
        <w:rPr>
          <w:rStyle w:val="FootnoteReference"/>
        </w:rPr>
        <w:footnoteRef/>
      </w:r>
      <w:r>
        <w:t xml:space="preserve"> </w:t>
      </w:r>
      <w:hyperlink r:id="rId7">
        <w:r>
          <w:rPr>
            <w:rStyle w:val="Hyperlink"/>
          </w:rPr>
          <w:t>http://eur-lex.europa.eu/legal-content/EN/TXT/?uri=CELEX:52016JC0018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B2" w:rsidRDefault="00DA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9CC"/>
    <w:multiLevelType w:val="hybridMultilevel"/>
    <w:tmpl w:val="11DC9056"/>
    <w:styleLink w:val="Style12import"/>
    <w:lvl w:ilvl="0" w:tplc="9800B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A9242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AA640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60FC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B4833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368D3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F0490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660C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5E71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061A4B70"/>
    <w:multiLevelType w:val="hybridMultilevel"/>
    <w:tmpl w:val="7426652C"/>
    <w:styleLink w:val="Style2import"/>
    <w:lvl w:ilvl="0" w:tplc="AFB2E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E2F5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058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D6F8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303F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E80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CBF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E0B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06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6E2E1F"/>
    <w:multiLevelType w:val="hybridMultilevel"/>
    <w:tmpl w:val="1C80BB92"/>
    <w:styleLink w:val="Style6import"/>
    <w:lvl w:ilvl="0" w:tplc="529EEA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A9F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A46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94F0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26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6F8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E1B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54EC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828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A31AAD"/>
    <w:multiLevelType w:val="hybridMultilevel"/>
    <w:tmpl w:val="0AC6A03A"/>
    <w:styleLink w:val="Style7import"/>
    <w:lvl w:ilvl="0" w:tplc="7682C8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9B2B4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6837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870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C1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76DB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6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02B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AAE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B64FFB"/>
    <w:multiLevelType w:val="hybridMultilevel"/>
    <w:tmpl w:val="1F682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4B6130"/>
    <w:multiLevelType w:val="hybridMultilevel"/>
    <w:tmpl w:val="64101E0C"/>
    <w:lvl w:ilvl="0" w:tplc="3C70EEF2">
      <w:start w:val="1"/>
      <w:numFmt w:val="bullet"/>
      <w:lvlText w:val="•"/>
      <w:lvlJc w:val="left"/>
      <w:pPr>
        <w:tabs>
          <w:tab w:val="num" w:pos="720"/>
        </w:tabs>
        <w:ind w:left="720" w:hanging="360"/>
      </w:pPr>
      <w:rPr>
        <w:rFonts w:ascii="Arial" w:hAnsi="Arial" w:hint="default"/>
      </w:rPr>
    </w:lvl>
    <w:lvl w:ilvl="1" w:tplc="5F50EC14">
      <w:numFmt w:val="bullet"/>
      <w:lvlText w:val="-"/>
      <w:lvlJc w:val="left"/>
      <w:pPr>
        <w:tabs>
          <w:tab w:val="num" w:pos="1440"/>
        </w:tabs>
        <w:ind w:left="1440" w:hanging="360"/>
      </w:pPr>
      <w:rPr>
        <w:rFonts w:ascii="Arial Narrow" w:hAnsi="Arial Narrow" w:hint="default"/>
      </w:rPr>
    </w:lvl>
    <w:lvl w:ilvl="2" w:tplc="3DCC2E92" w:tentative="1">
      <w:start w:val="1"/>
      <w:numFmt w:val="bullet"/>
      <w:lvlText w:val="•"/>
      <w:lvlJc w:val="left"/>
      <w:pPr>
        <w:tabs>
          <w:tab w:val="num" w:pos="2160"/>
        </w:tabs>
        <w:ind w:left="2160" w:hanging="360"/>
      </w:pPr>
      <w:rPr>
        <w:rFonts w:ascii="Arial" w:hAnsi="Arial" w:hint="default"/>
      </w:rPr>
    </w:lvl>
    <w:lvl w:ilvl="3" w:tplc="EF58A2A4" w:tentative="1">
      <w:start w:val="1"/>
      <w:numFmt w:val="bullet"/>
      <w:lvlText w:val="•"/>
      <w:lvlJc w:val="left"/>
      <w:pPr>
        <w:tabs>
          <w:tab w:val="num" w:pos="2880"/>
        </w:tabs>
        <w:ind w:left="2880" w:hanging="360"/>
      </w:pPr>
      <w:rPr>
        <w:rFonts w:ascii="Arial" w:hAnsi="Arial" w:hint="default"/>
      </w:rPr>
    </w:lvl>
    <w:lvl w:ilvl="4" w:tplc="ECF8A952" w:tentative="1">
      <w:start w:val="1"/>
      <w:numFmt w:val="bullet"/>
      <w:lvlText w:val="•"/>
      <w:lvlJc w:val="left"/>
      <w:pPr>
        <w:tabs>
          <w:tab w:val="num" w:pos="3600"/>
        </w:tabs>
        <w:ind w:left="3600" w:hanging="360"/>
      </w:pPr>
      <w:rPr>
        <w:rFonts w:ascii="Arial" w:hAnsi="Arial" w:hint="default"/>
      </w:rPr>
    </w:lvl>
    <w:lvl w:ilvl="5" w:tplc="61A2F77E" w:tentative="1">
      <w:start w:val="1"/>
      <w:numFmt w:val="bullet"/>
      <w:lvlText w:val="•"/>
      <w:lvlJc w:val="left"/>
      <w:pPr>
        <w:tabs>
          <w:tab w:val="num" w:pos="4320"/>
        </w:tabs>
        <w:ind w:left="4320" w:hanging="360"/>
      </w:pPr>
      <w:rPr>
        <w:rFonts w:ascii="Arial" w:hAnsi="Arial" w:hint="default"/>
      </w:rPr>
    </w:lvl>
    <w:lvl w:ilvl="6" w:tplc="59FC9DEC" w:tentative="1">
      <w:start w:val="1"/>
      <w:numFmt w:val="bullet"/>
      <w:lvlText w:val="•"/>
      <w:lvlJc w:val="left"/>
      <w:pPr>
        <w:tabs>
          <w:tab w:val="num" w:pos="5040"/>
        </w:tabs>
        <w:ind w:left="5040" w:hanging="360"/>
      </w:pPr>
      <w:rPr>
        <w:rFonts w:ascii="Arial" w:hAnsi="Arial" w:hint="default"/>
      </w:rPr>
    </w:lvl>
    <w:lvl w:ilvl="7" w:tplc="D3D2C4BC" w:tentative="1">
      <w:start w:val="1"/>
      <w:numFmt w:val="bullet"/>
      <w:lvlText w:val="•"/>
      <w:lvlJc w:val="left"/>
      <w:pPr>
        <w:tabs>
          <w:tab w:val="num" w:pos="5760"/>
        </w:tabs>
        <w:ind w:left="5760" w:hanging="360"/>
      </w:pPr>
      <w:rPr>
        <w:rFonts w:ascii="Arial" w:hAnsi="Arial" w:hint="default"/>
      </w:rPr>
    </w:lvl>
    <w:lvl w:ilvl="8" w:tplc="DD967658" w:tentative="1">
      <w:start w:val="1"/>
      <w:numFmt w:val="bullet"/>
      <w:lvlText w:val="•"/>
      <w:lvlJc w:val="left"/>
      <w:pPr>
        <w:tabs>
          <w:tab w:val="num" w:pos="6480"/>
        </w:tabs>
        <w:ind w:left="6480" w:hanging="360"/>
      </w:pPr>
      <w:rPr>
        <w:rFonts w:ascii="Arial" w:hAnsi="Arial" w:hint="default"/>
      </w:rPr>
    </w:lvl>
  </w:abstractNum>
  <w:abstractNum w:abstractNumId="6">
    <w:nsid w:val="2E5956E2"/>
    <w:multiLevelType w:val="hybridMultilevel"/>
    <w:tmpl w:val="A3B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42CB6"/>
    <w:multiLevelType w:val="hybridMultilevel"/>
    <w:tmpl w:val="E6B65C44"/>
    <w:styleLink w:val="Style5import"/>
    <w:lvl w:ilvl="0" w:tplc="F84AF4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372DA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9466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F8D0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C57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42CD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66A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D62E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6A9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54601D"/>
    <w:multiLevelType w:val="hybridMultilevel"/>
    <w:tmpl w:val="0128A55C"/>
    <w:lvl w:ilvl="0" w:tplc="52B8BA8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EE3A3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A6C2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2E93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B62CA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A983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AC0C0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41B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5AC5A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DD7359"/>
    <w:multiLevelType w:val="hybridMultilevel"/>
    <w:tmpl w:val="E6EA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1F1"/>
    <w:multiLevelType w:val="hybridMultilevel"/>
    <w:tmpl w:val="01EAC4C2"/>
    <w:lvl w:ilvl="0" w:tplc="A454BE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8A1330"/>
    <w:multiLevelType w:val="multilevel"/>
    <w:tmpl w:val="7862DCDA"/>
    <w:numStyleLink w:val="Style1import"/>
  </w:abstractNum>
  <w:abstractNum w:abstractNumId="12">
    <w:nsid w:val="58B436CE"/>
    <w:multiLevelType w:val="hybridMultilevel"/>
    <w:tmpl w:val="89CCB6E6"/>
    <w:styleLink w:val="Style3import"/>
    <w:lvl w:ilvl="0" w:tplc="411A13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2EA5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3E7C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F2A1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6011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6F4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E69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C417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A51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A636426"/>
    <w:multiLevelType w:val="hybridMultilevel"/>
    <w:tmpl w:val="BBE032A8"/>
    <w:lvl w:ilvl="0" w:tplc="DE1A4F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EE99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205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E003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088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E47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F08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423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B21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9E4264B"/>
    <w:multiLevelType w:val="hybridMultilevel"/>
    <w:tmpl w:val="9E3A9144"/>
    <w:styleLink w:val="Style13import"/>
    <w:lvl w:ilvl="0" w:tplc="76120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4A27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842DA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2CD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BA01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8BC33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3CE8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23AF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1A0E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nsid w:val="6C5A7E85"/>
    <w:multiLevelType w:val="hybridMultilevel"/>
    <w:tmpl w:val="FAFACCB6"/>
    <w:styleLink w:val="Style4import"/>
    <w:lvl w:ilvl="0" w:tplc="FAE838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A860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285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D6F5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E05D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F030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8227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52DE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CE95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10F2000"/>
    <w:multiLevelType w:val="hybridMultilevel"/>
    <w:tmpl w:val="FAFACCB6"/>
    <w:numStyleLink w:val="Style4import"/>
  </w:abstractNum>
  <w:abstractNum w:abstractNumId="17">
    <w:nsid w:val="73BB11B6"/>
    <w:multiLevelType w:val="multilevel"/>
    <w:tmpl w:val="7862DCDA"/>
    <w:styleLink w:val="Style1import"/>
    <w:lvl w:ilvl="0">
      <w:start w:val="1"/>
      <w:numFmt w:val="decimal"/>
      <w:pStyle w:val="HeaderSensitivity"/>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ous-section2"/>
      <w:lvlText w:val="%1.%2."/>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5CF638A"/>
    <w:multiLevelType w:val="hybridMultilevel"/>
    <w:tmpl w:val="DEC2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16C50"/>
    <w:multiLevelType w:val="hybridMultilevel"/>
    <w:tmpl w:val="EA0080AE"/>
    <w:lvl w:ilvl="0" w:tplc="A454BE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F7E5D"/>
    <w:multiLevelType w:val="hybridMultilevel"/>
    <w:tmpl w:val="33B62D4E"/>
    <w:styleLink w:val="Style14import"/>
    <w:lvl w:ilvl="0" w:tplc="83665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8D6C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92427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CDA5D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CFEE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24ED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5724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4A6E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C86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nsid w:val="7E5427AE"/>
    <w:multiLevelType w:val="hybridMultilevel"/>
    <w:tmpl w:val="F15AA88A"/>
    <w:styleLink w:val="Style11import"/>
    <w:lvl w:ilvl="0" w:tplc="63506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70F2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43402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D0B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FAD4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581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5CF8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9E21E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18AB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7"/>
  </w:num>
  <w:num w:numId="2">
    <w:abstractNumId w:val="11"/>
  </w:num>
  <w:num w:numId="3">
    <w:abstractNumId w:val="1"/>
  </w:num>
  <w:num w:numId="4">
    <w:abstractNumId w:val="12"/>
  </w:num>
  <w:num w:numId="5">
    <w:abstractNumId w:val="15"/>
  </w:num>
  <w:num w:numId="6">
    <w:abstractNumId w:val="16"/>
  </w:num>
  <w:num w:numId="7">
    <w:abstractNumId w:val="7"/>
  </w:num>
  <w:num w:numId="8">
    <w:abstractNumId w:val="2"/>
  </w:num>
  <w:num w:numId="9">
    <w:abstractNumId w:val="3"/>
  </w:num>
  <w:num w:numId="10">
    <w:abstractNumId w:val="8"/>
  </w:num>
  <w:num w:numId="11">
    <w:abstractNumId w:val="13"/>
  </w:num>
  <w:num w:numId="12">
    <w:abstractNumId w:val="21"/>
  </w:num>
  <w:num w:numId="13">
    <w:abstractNumId w:val="0"/>
  </w:num>
  <w:num w:numId="14">
    <w:abstractNumId w:val="14"/>
  </w:num>
  <w:num w:numId="15">
    <w:abstractNumId w:val="20"/>
  </w:num>
  <w:num w:numId="16">
    <w:abstractNumId w:val="9"/>
  </w:num>
  <w:num w:numId="17">
    <w:abstractNumId w:val="18"/>
  </w:num>
  <w:num w:numId="18">
    <w:abstractNumId w:val="19"/>
  </w:num>
  <w:num w:numId="19">
    <w:abstractNumId w:val="5"/>
  </w:num>
  <w:num w:numId="20">
    <w:abstractNumId w:val="6"/>
  </w:num>
  <w:num w:numId="21">
    <w:abstractNumId w:val="10"/>
  </w:num>
  <w:num w:numId="22">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silis Tsiamis">
    <w15:presenceInfo w15:providerId="Windows Live" w15:userId="500e4b6cadaa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movePersonalInformation/>
  <w:removeDateAndTime/>
  <w:hideSpellingErrors/>
  <w:hideGrammaticalErrors/>
  <w:proofState w:spelling="clean" w:grammar="clean"/>
  <w:doNotTrackFormatting/>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DocStatus" w:val="Red"/>
    <w:docVar w:name="LW_CORRIGENDUM" w:val="&lt;UNUSED&gt;"/>
    <w:docVar w:name="LW_COVERPAGE_EXISTS" w:val="True"/>
    <w:docVar w:name="LW_COVERPAGE_GUID" w:val="05AA3BCC-C0F2-4506-A541-0F24C6BD6811"/>
    <w:docVar w:name="LW_COVERPAGE_TYPE" w:val="1"/>
    <w:docVar w:name="LW_CROSSREFERENCE" w:val="&lt;UNUSED&gt;"/>
    <w:docVar w:name="LW_DocType" w:val="NORMAL"/>
    <w:docVar w:name="LW_EMISSION" w:val="28.3.2018"/>
    <w:docVar w:name="LW_EMISSION_ISODATE" w:val="2018-03-28"/>
    <w:docVar w:name="LW_EMISSION_LOCATION" w:val="BRX"/>
    <w:docVar w:name="LW_EMISSION_PREFIX" w:val="Briselē, "/>
    <w:docVar w:name="LW_EMISSION_SUFFIX" w:val="."/>
    <w:docVar w:name="LW_ID_DOCTYPE_NONLW" w:val="CP-015"/>
    <w:docVar w:name="LW_LANGUE" w:val="LV"/>
    <w:docVar w:name="LW_LEVEL_OF_SENSITIVITY" w:val="Standard treatment"/>
    <w:docVar w:name="LW_NOM.INST" w:val="EIROPAS KOMISIJA"/>
    <w:docVar w:name="LW_NOM.INST_JOINTDOC" w:val="SAVIEN\u298?BAS AUGST\u256?_x000b_P\u256?RST\u256?VE \u256?RLIET\u256?S UN_x000b_DRO\u352?\u298?BAS POLITIKAS_x000b_JAUT\u256?JUMOS"/>
    <w:docVar w:name="LW_PART_NBR" w:val="1"/>
    <w:docVar w:name="LW_PART_NBR_TOTAL" w:val="1"/>
    <w:docVar w:name="LW_REF.INST.NEW" w:val="JOIN"/>
    <w:docVar w:name="LW_REF.INST.NEW_ADOPTED" w:val="final"/>
    <w:docVar w:name="LW_REF.INST.NEW_TEXT" w:val="(2018)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r Milit\u257?r\u257?s mobilit\u257?tes r\u299?c\u299?bas pl\u257?nu"/>
    <w:docVar w:name="LW_TYPE.DOC.CP" w:val="KOP\u298?GS PAZI\u325?OJUMS EIROPAS PARLAMENTAM UN PADOMEI"/>
    <w:docVar w:name="LW_TYPE.DOC.CP.USERTEXT" w:val="&lt;EMPTY&gt;"/>
  </w:docVars>
  <w:rsids>
    <w:rsidRoot w:val="00DA25B2"/>
    <w:rsid w:val="005E1FCB"/>
    <w:rsid w:val="00667757"/>
    <w:rsid w:val="00DA25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ext4"/>
    <w:qFormat/>
    <w:pPr>
      <w:keepNext/>
      <w:tabs>
        <w:tab w:val="left" w:pos="1920"/>
      </w:tabs>
      <w:spacing w:after="200" w:line="276" w:lineRule="auto"/>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before="360"/>
    </w:pPr>
    <w:rPr>
      <w:rFonts w:cs="Arial Unicode MS"/>
      <w:color w:val="000000"/>
      <w:sz w:val="24"/>
      <w:szCs w:val="24"/>
      <w:u w:color="000000"/>
    </w:rPr>
  </w:style>
  <w:style w:type="paragraph" w:customStyle="1" w:styleId="En-tte0">
    <w:name w:val="En-tête"/>
    <w:next w:val="Text1"/>
    <w:link w:val="En-tteChar"/>
    <w:pPr>
      <w:keepNext/>
      <w:shd w:val="clear" w:color="auto" w:fill="FFFFFF"/>
      <w:tabs>
        <w:tab w:val="left" w:pos="480"/>
      </w:tabs>
      <w:spacing w:before="200" w:after="200" w:line="276" w:lineRule="auto"/>
      <w:ind w:left="482" w:hanging="482"/>
      <w:jc w:val="both"/>
      <w:outlineLvl w:val="0"/>
    </w:pPr>
    <w:rPr>
      <w:b/>
      <w:bCs/>
      <w:smallCaps/>
      <w:color w:val="000000"/>
      <w:sz w:val="24"/>
      <w:szCs w:val="24"/>
      <w:u w:color="000000"/>
    </w:rPr>
  </w:style>
  <w:style w:type="paragraph" w:customStyle="1" w:styleId="Text1">
    <w:name w:val="Text 1"/>
    <w:pPr>
      <w:spacing w:after="200" w:line="276" w:lineRule="auto"/>
      <w:ind w:left="482"/>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Aucun">
    <w:name w:val="Aucun"/>
    <w:rPr>
      <w:lang w:val="lv-LV"/>
    </w:rPr>
  </w:style>
  <w:style w:type="paragraph" w:styleId="FootnoteText">
    <w:name w:val="footnote text"/>
    <w:link w:val="FootnoteTextChar"/>
    <w:uiPriority w:val="99"/>
    <w:pPr>
      <w:spacing w:after="200" w:line="276" w:lineRule="auto"/>
      <w:ind w:left="357" w:hanging="357"/>
    </w:pPr>
    <w:rPr>
      <w:rFonts w:ascii="Calibri" w:eastAsia="Calibri" w:hAnsi="Calibri" w:cs="Calibri"/>
      <w:color w:val="000000"/>
      <w:u w:color="000000"/>
    </w:rPr>
  </w:style>
  <w:style w:type="paragraph" w:customStyle="1" w:styleId="Sous-section2">
    <w:name w:val="Sous-section 2"/>
    <w:next w:val="Text2"/>
    <w:pPr>
      <w:keepNext/>
      <w:numPr>
        <w:ilvl w:val="1"/>
        <w:numId w:val="2"/>
      </w:numPr>
      <w:tabs>
        <w:tab w:val="left" w:pos="1429"/>
      </w:tabs>
      <w:spacing w:after="200" w:line="276" w:lineRule="auto"/>
      <w:jc w:val="both"/>
      <w:outlineLvl w:val="1"/>
    </w:pPr>
    <w:rPr>
      <w:b/>
      <w:bCs/>
      <w:color w:val="000000"/>
      <w:sz w:val="24"/>
      <w:szCs w:val="24"/>
      <w:u w:color="000000"/>
    </w:rPr>
  </w:style>
  <w:style w:type="paragraph" w:customStyle="1" w:styleId="Text2">
    <w:name w:val="Text 2"/>
    <w:pPr>
      <w:tabs>
        <w:tab w:val="left" w:pos="2302"/>
      </w:tabs>
      <w:spacing w:after="200" w:line="276" w:lineRule="auto"/>
      <w:ind w:left="1202"/>
    </w:pPr>
    <w:rPr>
      <w:rFonts w:ascii="Calibri" w:eastAsia="Calibri" w:hAnsi="Calibri" w:cs="Calibri"/>
      <w:color w:val="000000"/>
      <w:sz w:val="22"/>
      <w:szCs w:val="22"/>
      <w:u w:color="000000"/>
    </w:rPr>
  </w:style>
  <w:style w:type="paragraph" w:customStyle="1" w:styleId="Ss-section3">
    <w:name w:val="Ss-section 3"/>
    <w:next w:val="Corps"/>
    <w:pPr>
      <w:keepNext/>
      <w:tabs>
        <w:tab w:val="left" w:pos="720"/>
      </w:tabs>
      <w:spacing w:after="200" w:line="276" w:lineRule="auto"/>
      <w:outlineLvl w:val="2"/>
    </w:pPr>
    <w:rPr>
      <w:rFonts w:ascii="Calibri" w:eastAsia="Calibri" w:hAnsi="Calibri" w:cs="Calibri"/>
      <w:i/>
      <w:iCs/>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Text4">
    <w:name w:val="Text 4"/>
    <w:pPr>
      <w:tabs>
        <w:tab w:val="left" w:pos="2302"/>
      </w:tabs>
      <w:spacing w:after="200" w:line="276" w:lineRule="auto"/>
      <w:ind w:left="1202"/>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2import">
    <w:name w:val="Style 2 importé"/>
    <w:pPr>
      <w:numPr>
        <w:numId w:val="3"/>
      </w:numPr>
    </w:pPr>
  </w:style>
  <w:style w:type="numbering" w:customStyle="1" w:styleId="Style3import">
    <w:name w:val="Style 3 importé"/>
    <w:pPr>
      <w:numPr>
        <w:numId w:val="4"/>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numbering" w:customStyle="1" w:styleId="Style6import">
    <w:name w:val="Style 6 importé"/>
    <w:pPr>
      <w:numPr>
        <w:numId w:val="8"/>
      </w:numPr>
    </w:pPr>
  </w:style>
  <w:style w:type="numbering" w:customStyle="1" w:styleId="Style7import">
    <w:name w:val="Style 7 importé"/>
    <w:pPr>
      <w:numPr>
        <w:numId w:val="9"/>
      </w:numPr>
    </w:pPr>
  </w:style>
  <w:style w:type="paragraph" w:customStyle="1" w:styleId="Briefingtext">
    <w:name w:val="Briefing text"/>
    <w:link w:val="BriefingtextChar"/>
    <w:pPr>
      <w:spacing w:after="240"/>
      <w:jc w:val="both"/>
    </w:pPr>
    <w:rPr>
      <w:rFonts w:ascii="Arial" w:eastAsia="Arial" w:hAnsi="Arial" w:cs="Arial"/>
      <w:color w:val="000000"/>
      <w:sz w:val="22"/>
      <w:szCs w:val="22"/>
      <w:u w:color="000000"/>
    </w:rPr>
  </w:style>
  <w:style w:type="numbering" w:customStyle="1" w:styleId="Style11import">
    <w:name w:val="Style 11 importé"/>
    <w:pPr>
      <w:numPr>
        <w:numId w:val="12"/>
      </w:numPr>
    </w:pPr>
  </w:style>
  <w:style w:type="numbering" w:customStyle="1" w:styleId="Style12import">
    <w:name w:val="Style 12 importé"/>
    <w:pPr>
      <w:numPr>
        <w:numId w:val="13"/>
      </w:numPr>
    </w:pPr>
  </w:style>
  <w:style w:type="numbering" w:customStyle="1" w:styleId="Style13import">
    <w:name w:val="Style 13 importé"/>
    <w:pPr>
      <w:numPr>
        <w:numId w:val="14"/>
      </w:numPr>
    </w:pPr>
  </w:style>
  <w:style w:type="numbering" w:customStyle="1" w:styleId="Style14import">
    <w:name w:val="Style 14 importé"/>
    <w:pPr>
      <w:numPr>
        <w:numId w:val="15"/>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lv-LV"/>
    </w:rPr>
  </w:style>
  <w:style w:type="numbering" w:customStyle="1" w:styleId="Style2import1">
    <w:name w:val="Style 2 importé1"/>
  </w:style>
  <w:style w:type="numbering" w:customStyle="1" w:styleId="Style2import2">
    <w:name w:val="Style 2 importé2"/>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lv-LV"/>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lv-LV"/>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480"/>
    </w:pPr>
  </w:style>
  <w:style w:type="character" w:customStyle="1" w:styleId="En-tteChar">
    <w:name w:val="En-tête Char"/>
    <w:basedOn w:val="DefaultParagraphFont"/>
    <w:link w:val="En-tte0"/>
    <w:rPr>
      <w:b/>
      <w:bCs/>
      <w:smallCaps/>
      <w:color w:val="000000"/>
      <w:sz w:val="24"/>
      <w:szCs w:val="24"/>
      <w:u w:color="000000"/>
      <w:shd w:val="clear" w:color="auto" w:fill="FFFFFF"/>
    </w:rPr>
  </w:style>
  <w:style w:type="character" w:customStyle="1" w:styleId="FooterCoverPageChar">
    <w:name w:val="Footer Cover Page Char"/>
    <w:basedOn w:val="En-tteChar"/>
    <w:link w:val="FooterCoverPage"/>
    <w:rPr>
      <w:b w:val="0"/>
      <w:bCs w:val="0"/>
      <w:smallCaps w:val="0"/>
      <w:color w:val="000000"/>
      <w:sz w:val="24"/>
      <w:szCs w:val="24"/>
      <w:u w:color="000000"/>
      <w:shd w:val="clear" w:color="auto" w:fill="FFFFFF"/>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480"/>
      <w:jc w:val="center"/>
    </w:pPr>
    <w:rPr>
      <w:b/>
      <w:sz w:val="32"/>
    </w:rPr>
  </w:style>
  <w:style w:type="character" w:customStyle="1" w:styleId="FooterSensitivityChar">
    <w:name w:val="Footer Sensitivity Char"/>
    <w:basedOn w:val="En-tteChar"/>
    <w:link w:val="FooterSensitivity"/>
    <w:rPr>
      <w:b/>
      <w:bCs w:val="0"/>
      <w:smallCaps w:val="0"/>
      <w:color w:val="000000"/>
      <w:sz w:val="32"/>
      <w:szCs w:val="24"/>
      <w:u w:color="000000"/>
      <w:shd w:val="clear" w:color="auto" w:fill="FFFFFF"/>
    </w:rPr>
  </w:style>
  <w:style w:type="paragraph" w:customStyle="1" w:styleId="HeaderCoverPage">
    <w:name w:val="Header Cover Page"/>
    <w:basedOn w:val="Normal"/>
    <w:link w:val="HeaderCoverPageChar"/>
    <w:pPr>
      <w:tabs>
        <w:tab w:val="center" w:pos="4535"/>
        <w:tab w:val="right" w:pos="9071"/>
      </w:tabs>
      <w:spacing w:after="120"/>
      <w:ind w:hanging="480"/>
      <w:jc w:val="both"/>
    </w:pPr>
  </w:style>
  <w:style w:type="character" w:customStyle="1" w:styleId="HeaderCoverPageChar">
    <w:name w:val="Header Cover Page Char"/>
    <w:basedOn w:val="En-tteChar"/>
    <w:link w:val="HeaderCoverPage"/>
    <w:rPr>
      <w:b w:val="0"/>
      <w:bCs w:val="0"/>
      <w:smallCaps w:val="0"/>
      <w:color w:val="000000"/>
      <w:sz w:val="24"/>
      <w:szCs w:val="24"/>
      <w:u w:color="000000"/>
      <w:shd w:val="clear" w:color="auto" w:fill="FFFFFF"/>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En-tteChar"/>
    <w:link w:val="HeaderSensitivity"/>
    <w:rPr>
      <w:b/>
      <w:bCs w:val="0"/>
      <w:smallCaps w:val="0"/>
      <w:color w:val="000000"/>
      <w:sz w:val="32"/>
      <w:szCs w:val="24"/>
      <w:u w:color="000000"/>
      <w:shd w:val="clear" w:color="auto" w:fill="FFFFFF"/>
    </w:rPr>
  </w:style>
  <w:style w:type="numbering" w:customStyle="1" w:styleId="Style4import1">
    <w:name w:val="Style 4 importé1"/>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Pr>
      <w:rFonts w:cs="Arial Unicode MS"/>
      <w:color w:val="000000"/>
      <w:sz w:val="24"/>
      <w:szCs w:val="24"/>
      <w:u w:color="000000"/>
      <w:lang w:val="lv-LV"/>
    </w:rPr>
  </w:style>
  <w:style w:type="character" w:customStyle="1" w:styleId="BriefingtextChar">
    <w:name w:val="Briefing text Char"/>
    <w:link w:val="Briefingtext"/>
    <w:rPr>
      <w:rFonts w:ascii="Arial" w:eastAsia="Arial" w:hAnsi="Arial" w:cs="Arial"/>
      <w:color w:val="000000"/>
      <w:sz w:val="22"/>
      <w:szCs w:val="22"/>
      <w:u w:color="00000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ext4"/>
    <w:qFormat/>
    <w:pPr>
      <w:keepNext/>
      <w:tabs>
        <w:tab w:val="left" w:pos="1920"/>
      </w:tabs>
      <w:spacing w:after="200" w:line="276" w:lineRule="auto"/>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before="360"/>
    </w:pPr>
    <w:rPr>
      <w:rFonts w:cs="Arial Unicode MS"/>
      <w:color w:val="000000"/>
      <w:sz w:val="24"/>
      <w:szCs w:val="24"/>
      <w:u w:color="000000"/>
    </w:rPr>
  </w:style>
  <w:style w:type="paragraph" w:customStyle="1" w:styleId="En-tte0">
    <w:name w:val="En-tête"/>
    <w:next w:val="Text1"/>
    <w:link w:val="En-tteChar"/>
    <w:pPr>
      <w:keepNext/>
      <w:shd w:val="clear" w:color="auto" w:fill="FFFFFF"/>
      <w:tabs>
        <w:tab w:val="left" w:pos="480"/>
      </w:tabs>
      <w:spacing w:before="200" w:after="200" w:line="276" w:lineRule="auto"/>
      <w:ind w:left="482" w:hanging="482"/>
      <w:jc w:val="both"/>
      <w:outlineLvl w:val="0"/>
    </w:pPr>
    <w:rPr>
      <w:b/>
      <w:bCs/>
      <w:smallCaps/>
      <w:color w:val="000000"/>
      <w:sz w:val="24"/>
      <w:szCs w:val="24"/>
      <w:u w:color="000000"/>
    </w:rPr>
  </w:style>
  <w:style w:type="paragraph" w:customStyle="1" w:styleId="Text1">
    <w:name w:val="Text 1"/>
    <w:pPr>
      <w:spacing w:after="200" w:line="276" w:lineRule="auto"/>
      <w:ind w:left="482"/>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Aucun">
    <w:name w:val="Aucun"/>
    <w:rPr>
      <w:lang w:val="lv-LV"/>
    </w:rPr>
  </w:style>
  <w:style w:type="paragraph" w:styleId="FootnoteText">
    <w:name w:val="footnote text"/>
    <w:link w:val="FootnoteTextChar"/>
    <w:uiPriority w:val="99"/>
    <w:pPr>
      <w:spacing w:after="200" w:line="276" w:lineRule="auto"/>
      <w:ind w:left="357" w:hanging="357"/>
    </w:pPr>
    <w:rPr>
      <w:rFonts w:ascii="Calibri" w:eastAsia="Calibri" w:hAnsi="Calibri" w:cs="Calibri"/>
      <w:color w:val="000000"/>
      <w:u w:color="000000"/>
    </w:rPr>
  </w:style>
  <w:style w:type="paragraph" w:customStyle="1" w:styleId="Sous-section2">
    <w:name w:val="Sous-section 2"/>
    <w:next w:val="Text2"/>
    <w:pPr>
      <w:keepNext/>
      <w:numPr>
        <w:ilvl w:val="1"/>
        <w:numId w:val="2"/>
      </w:numPr>
      <w:tabs>
        <w:tab w:val="left" w:pos="1429"/>
      </w:tabs>
      <w:spacing w:after="200" w:line="276" w:lineRule="auto"/>
      <w:jc w:val="both"/>
      <w:outlineLvl w:val="1"/>
    </w:pPr>
    <w:rPr>
      <w:b/>
      <w:bCs/>
      <w:color w:val="000000"/>
      <w:sz w:val="24"/>
      <w:szCs w:val="24"/>
      <w:u w:color="000000"/>
    </w:rPr>
  </w:style>
  <w:style w:type="paragraph" w:customStyle="1" w:styleId="Text2">
    <w:name w:val="Text 2"/>
    <w:pPr>
      <w:tabs>
        <w:tab w:val="left" w:pos="2302"/>
      </w:tabs>
      <w:spacing w:after="200" w:line="276" w:lineRule="auto"/>
      <w:ind w:left="1202"/>
    </w:pPr>
    <w:rPr>
      <w:rFonts w:ascii="Calibri" w:eastAsia="Calibri" w:hAnsi="Calibri" w:cs="Calibri"/>
      <w:color w:val="000000"/>
      <w:sz w:val="22"/>
      <w:szCs w:val="22"/>
      <w:u w:color="000000"/>
    </w:rPr>
  </w:style>
  <w:style w:type="paragraph" w:customStyle="1" w:styleId="Ss-section3">
    <w:name w:val="Ss-section 3"/>
    <w:next w:val="Corps"/>
    <w:pPr>
      <w:keepNext/>
      <w:tabs>
        <w:tab w:val="left" w:pos="720"/>
      </w:tabs>
      <w:spacing w:after="200" w:line="276" w:lineRule="auto"/>
      <w:outlineLvl w:val="2"/>
    </w:pPr>
    <w:rPr>
      <w:rFonts w:ascii="Calibri" w:eastAsia="Calibri" w:hAnsi="Calibri" w:cs="Calibri"/>
      <w:i/>
      <w:iCs/>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Text4">
    <w:name w:val="Text 4"/>
    <w:pPr>
      <w:tabs>
        <w:tab w:val="left" w:pos="2302"/>
      </w:tabs>
      <w:spacing w:after="200" w:line="276" w:lineRule="auto"/>
      <w:ind w:left="1202"/>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2import">
    <w:name w:val="Style 2 importé"/>
    <w:pPr>
      <w:numPr>
        <w:numId w:val="3"/>
      </w:numPr>
    </w:pPr>
  </w:style>
  <w:style w:type="numbering" w:customStyle="1" w:styleId="Style3import">
    <w:name w:val="Style 3 importé"/>
    <w:pPr>
      <w:numPr>
        <w:numId w:val="4"/>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numbering" w:customStyle="1" w:styleId="Style6import">
    <w:name w:val="Style 6 importé"/>
    <w:pPr>
      <w:numPr>
        <w:numId w:val="8"/>
      </w:numPr>
    </w:pPr>
  </w:style>
  <w:style w:type="numbering" w:customStyle="1" w:styleId="Style7import">
    <w:name w:val="Style 7 importé"/>
    <w:pPr>
      <w:numPr>
        <w:numId w:val="9"/>
      </w:numPr>
    </w:pPr>
  </w:style>
  <w:style w:type="paragraph" w:customStyle="1" w:styleId="Briefingtext">
    <w:name w:val="Briefing text"/>
    <w:link w:val="BriefingtextChar"/>
    <w:pPr>
      <w:spacing w:after="240"/>
      <w:jc w:val="both"/>
    </w:pPr>
    <w:rPr>
      <w:rFonts w:ascii="Arial" w:eastAsia="Arial" w:hAnsi="Arial" w:cs="Arial"/>
      <w:color w:val="000000"/>
      <w:sz w:val="22"/>
      <w:szCs w:val="22"/>
      <w:u w:color="000000"/>
    </w:rPr>
  </w:style>
  <w:style w:type="numbering" w:customStyle="1" w:styleId="Style11import">
    <w:name w:val="Style 11 importé"/>
    <w:pPr>
      <w:numPr>
        <w:numId w:val="12"/>
      </w:numPr>
    </w:pPr>
  </w:style>
  <w:style w:type="numbering" w:customStyle="1" w:styleId="Style12import">
    <w:name w:val="Style 12 importé"/>
    <w:pPr>
      <w:numPr>
        <w:numId w:val="13"/>
      </w:numPr>
    </w:pPr>
  </w:style>
  <w:style w:type="numbering" w:customStyle="1" w:styleId="Style13import">
    <w:name w:val="Style 13 importé"/>
    <w:pPr>
      <w:numPr>
        <w:numId w:val="14"/>
      </w:numPr>
    </w:pPr>
  </w:style>
  <w:style w:type="numbering" w:customStyle="1" w:styleId="Style14import">
    <w:name w:val="Style 14 importé"/>
    <w:pPr>
      <w:numPr>
        <w:numId w:val="15"/>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lv-LV"/>
    </w:rPr>
  </w:style>
  <w:style w:type="numbering" w:customStyle="1" w:styleId="Style2import1">
    <w:name w:val="Style 2 importé1"/>
  </w:style>
  <w:style w:type="numbering" w:customStyle="1" w:styleId="Style2import2">
    <w:name w:val="Style 2 importé2"/>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lv-LV"/>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lv-LV"/>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480"/>
    </w:pPr>
  </w:style>
  <w:style w:type="character" w:customStyle="1" w:styleId="En-tteChar">
    <w:name w:val="En-tête Char"/>
    <w:basedOn w:val="DefaultParagraphFont"/>
    <w:link w:val="En-tte0"/>
    <w:rPr>
      <w:b/>
      <w:bCs/>
      <w:smallCaps/>
      <w:color w:val="000000"/>
      <w:sz w:val="24"/>
      <w:szCs w:val="24"/>
      <w:u w:color="000000"/>
      <w:shd w:val="clear" w:color="auto" w:fill="FFFFFF"/>
    </w:rPr>
  </w:style>
  <w:style w:type="character" w:customStyle="1" w:styleId="FooterCoverPageChar">
    <w:name w:val="Footer Cover Page Char"/>
    <w:basedOn w:val="En-tteChar"/>
    <w:link w:val="FooterCoverPage"/>
    <w:rPr>
      <w:b w:val="0"/>
      <w:bCs w:val="0"/>
      <w:smallCaps w:val="0"/>
      <w:color w:val="000000"/>
      <w:sz w:val="24"/>
      <w:szCs w:val="24"/>
      <w:u w:color="000000"/>
      <w:shd w:val="clear" w:color="auto" w:fill="FFFFFF"/>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480"/>
      <w:jc w:val="center"/>
    </w:pPr>
    <w:rPr>
      <w:b/>
      <w:sz w:val="32"/>
    </w:rPr>
  </w:style>
  <w:style w:type="character" w:customStyle="1" w:styleId="FooterSensitivityChar">
    <w:name w:val="Footer Sensitivity Char"/>
    <w:basedOn w:val="En-tteChar"/>
    <w:link w:val="FooterSensitivity"/>
    <w:rPr>
      <w:b/>
      <w:bCs w:val="0"/>
      <w:smallCaps w:val="0"/>
      <w:color w:val="000000"/>
      <w:sz w:val="32"/>
      <w:szCs w:val="24"/>
      <w:u w:color="000000"/>
      <w:shd w:val="clear" w:color="auto" w:fill="FFFFFF"/>
    </w:rPr>
  </w:style>
  <w:style w:type="paragraph" w:customStyle="1" w:styleId="HeaderCoverPage">
    <w:name w:val="Header Cover Page"/>
    <w:basedOn w:val="Normal"/>
    <w:link w:val="HeaderCoverPageChar"/>
    <w:pPr>
      <w:tabs>
        <w:tab w:val="center" w:pos="4535"/>
        <w:tab w:val="right" w:pos="9071"/>
      </w:tabs>
      <w:spacing w:after="120"/>
      <w:ind w:hanging="480"/>
      <w:jc w:val="both"/>
    </w:pPr>
  </w:style>
  <w:style w:type="character" w:customStyle="1" w:styleId="HeaderCoverPageChar">
    <w:name w:val="Header Cover Page Char"/>
    <w:basedOn w:val="En-tteChar"/>
    <w:link w:val="HeaderCoverPage"/>
    <w:rPr>
      <w:b w:val="0"/>
      <w:bCs w:val="0"/>
      <w:smallCaps w:val="0"/>
      <w:color w:val="000000"/>
      <w:sz w:val="24"/>
      <w:szCs w:val="24"/>
      <w:u w:color="000000"/>
      <w:shd w:val="clear" w:color="auto" w:fill="FFFFFF"/>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En-tteChar"/>
    <w:link w:val="HeaderSensitivity"/>
    <w:rPr>
      <w:b/>
      <w:bCs w:val="0"/>
      <w:smallCaps w:val="0"/>
      <w:color w:val="000000"/>
      <w:sz w:val="32"/>
      <w:szCs w:val="24"/>
      <w:u w:color="000000"/>
      <w:shd w:val="clear" w:color="auto" w:fill="FFFFFF"/>
    </w:rPr>
  </w:style>
  <w:style w:type="numbering" w:customStyle="1" w:styleId="Style4import1">
    <w:name w:val="Style 4 importé1"/>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Pr>
      <w:rFonts w:cs="Arial Unicode MS"/>
      <w:color w:val="000000"/>
      <w:sz w:val="24"/>
      <w:szCs w:val="24"/>
      <w:u w:color="000000"/>
      <w:lang w:val="lv-LV"/>
    </w:rPr>
  </w:style>
  <w:style w:type="character" w:customStyle="1" w:styleId="BriefingtextChar">
    <w:name w:val="Briefing text Char"/>
    <w:link w:val="Briefingtext"/>
    <w:rPr>
      <w:rFonts w:ascii="Arial" w:eastAsia="Arial" w:hAnsi="Arial" w:cs="Arial"/>
      <w:color w:val="000000"/>
      <w:sz w:val="22"/>
      <w:szCs w:val="22"/>
      <w:u w:color="00000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5001">
      <w:bodyDiv w:val="1"/>
      <w:marLeft w:val="0"/>
      <w:marRight w:val="0"/>
      <w:marTop w:val="0"/>
      <w:marBottom w:val="0"/>
      <w:divBdr>
        <w:top w:val="none" w:sz="0" w:space="0" w:color="auto"/>
        <w:left w:val="none" w:sz="0" w:space="0" w:color="auto"/>
        <w:bottom w:val="none" w:sz="0" w:space="0" w:color="auto"/>
        <w:right w:val="none" w:sz="0" w:space="0" w:color="auto"/>
      </w:divBdr>
    </w:div>
    <w:div w:id="696540820">
      <w:bodyDiv w:val="1"/>
      <w:marLeft w:val="0"/>
      <w:marRight w:val="0"/>
      <w:marTop w:val="0"/>
      <w:marBottom w:val="0"/>
      <w:divBdr>
        <w:top w:val="none" w:sz="0" w:space="0" w:color="auto"/>
        <w:left w:val="none" w:sz="0" w:space="0" w:color="auto"/>
        <w:bottom w:val="none" w:sz="0" w:space="0" w:color="auto"/>
        <w:right w:val="none" w:sz="0" w:space="0" w:color="auto"/>
      </w:divBdr>
    </w:div>
    <w:div w:id="1666275363">
      <w:bodyDiv w:val="1"/>
      <w:marLeft w:val="0"/>
      <w:marRight w:val="0"/>
      <w:marTop w:val="0"/>
      <w:marBottom w:val="0"/>
      <w:divBdr>
        <w:top w:val="none" w:sz="0" w:space="0" w:color="auto"/>
        <w:left w:val="none" w:sz="0" w:space="0" w:color="auto"/>
        <w:bottom w:val="none" w:sz="0" w:space="0" w:color="auto"/>
        <w:right w:val="none" w:sz="0" w:space="0" w:color="auto"/>
      </w:divBdr>
    </w:div>
    <w:div w:id="1883441736">
      <w:bodyDiv w:val="1"/>
      <w:marLeft w:val="0"/>
      <w:marRight w:val="0"/>
      <w:marTop w:val="0"/>
      <w:marBottom w:val="0"/>
      <w:divBdr>
        <w:top w:val="none" w:sz="0" w:space="0" w:color="auto"/>
        <w:left w:val="none" w:sz="0" w:space="0" w:color="auto"/>
        <w:bottom w:val="none" w:sz="0" w:space="0" w:color="auto"/>
        <w:right w:val="none" w:sz="0" w:space="0" w:color="auto"/>
      </w:divBdr>
    </w:div>
    <w:div w:id="205901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media/21481/nato-eu-declaration-8-july-en-final.pdf" TargetMode="External"/><Relationship Id="rId7" Type="http://schemas.openxmlformats.org/officeDocument/2006/relationships/hyperlink" Target="http://eur-lex.europa.eu/legal-content/EN/TXT/?uri=CELEX:52016JC0018" TargetMode="External"/><Relationship Id="rId2" Type="http://schemas.openxmlformats.org/officeDocument/2006/relationships/hyperlink" Target="http://www.consilium.europa.eu/media/33064/council-recommendation.pdf" TargetMode="External"/><Relationship Id="rId1" Type="http://schemas.openxmlformats.org/officeDocument/2006/relationships/hyperlink" Target="http://europa.eu/rapid/press-release_SPEECH-17-3165_lv.htm" TargetMode="External"/><Relationship Id="rId6" Type="http://schemas.openxmlformats.org/officeDocument/2006/relationships/hyperlink" Target="https://www.eda.europa.eu/docs/default-source/documents/dic-ip.pdf" TargetMode="External"/><Relationship Id="rId5" Type="http://schemas.openxmlformats.org/officeDocument/2006/relationships/hyperlink" Target="https://www.eda.europa.eu/what-we-do/activities/activities-search/eu-multimodal-transport-hubs" TargetMode="External"/><Relationship Id="rId4" Type="http://schemas.openxmlformats.org/officeDocument/2006/relationships/hyperlink" Target="https://eeas.europa.eu/sites/eeas/files/joint_communication_to_the_european_parliament_and_the_"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1AE6-C1C6-47B8-8018-24A2019C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2018-03-27T08:48:00Z</dcterms:created>
  <dcterms:modified xsi:type="dcterms:W3CDTF">2018-04-05T09:11:00Z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