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0F3" w:rsidRDefault="00021BA8">
      <w:pPr>
        <w:pStyle w:val="Pagedecouverture"/>
        <w:rPr>
          <w:noProof/>
        </w:rPr>
      </w:pPr>
      <w:bookmarkStart w:id="0" w:name="LW_BM_COVERPAGE"/>
      <w:bookmarkStart w:id="1" w:name="_GoBack"/>
      <w:bookmarkEnd w:id="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6BAA3CA3-809F-45C8-BE12-E7A79ADBE8A3" style="width:450pt;height:294.75pt">
            <v:imagedata r:id="rId9" o:title=""/>
          </v:shape>
        </w:pict>
      </w:r>
    </w:p>
    <w:bookmarkEnd w:id="0"/>
    <w:p w:rsidR="00FF70F3" w:rsidRDefault="00FF70F3">
      <w:pPr>
        <w:jc w:val="both"/>
        <w:rPr>
          <w:noProof/>
        </w:rPr>
        <w:sectPr w:rsidR="00FF70F3">
          <w:headerReference w:type="even" r:id="rId10"/>
          <w:headerReference w:type="default" r:id="rId11"/>
          <w:footerReference w:type="even" r:id="rId12"/>
          <w:footerReference w:type="default" r:id="rId13"/>
          <w:headerReference w:type="first" r:id="rId14"/>
          <w:footerReference w:type="first" r:id="rId15"/>
          <w:pgSz w:w="11900" w:h="16840"/>
          <w:pgMar w:top="1134" w:right="1417" w:bottom="1134" w:left="1417" w:header="709" w:footer="709" w:gutter="0"/>
          <w:pgNumType w:start="2"/>
          <w:cols w:space="720"/>
          <w:docGrid w:linePitch="326"/>
        </w:sectPr>
      </w:pPr>
    </w:p>
    <w:p w:rsidR="00FF70F3" w:rsidRDefault="0082269C">
      <w:pPr>
        <w:pStyle w:val="En-tte0"/>
        <w:numPr>
          <w:ilvl w:val="0"/>
          <w:numId w:val="2"/>
        </w:numPr>
        <w:spacing w:before="0" w:after="240"/>
        <w:rPr>
          <w:noProof/>
          <w:sz w:val="26"/>
          <w:szCs w:val="26"/>
        </w:rPr>
      </w:pPr>
      <w:r>
        <w:rPr>
          <w:noProof/>
          <w:sz w:val="26"/>
        </w:rPr>
        <w:lastRenderedPageBreak/>
        <w:t>Uvod: izboljšanje vojaške mobilnosti v EU</w:t>
      </w:r>
    </w:p>
    <w:p w:rsidR="00FF70F3" w:rsidRDefault="0082269C">
      <w:pPr>
        <w:pStyle w:val="Briefingtext"/>
        <w:spacing w:after="200" w:line="276" w:lineRule="auto"/>
        <w:rPr>
          <w:rStyle w:val="Aucun"/>
          <w:rFonts w:ascii="Times New Roman" w:hAnsi="Times New Roman" w:cs="Times New Roman"/>
          <w:noProof/>
          <w:sz w:val="24"/>
          <w:szCs w:val="24"/>
        </w:rPr>
      </w:pPr>
      <w:r>
        <w:rPr>
          <w:rStyle w:val="Aucun"/>
          <w:rFonts w:ascii="Times New Roman" w:hAnsi="Times New Roman"/>
          <w:noProof/>
          <w:sz w:val="24"/>
        </w:rPr>
        <w:t>Predsednik Juncker je v govoru o stanju v Uniji leta 2017</w:t>
      </w:r>
      <w:r>
        <w:rPr>
          <w:rStyle w:val="FootnoteReference"/>
          <w:rFonts w:ascii="Times New Roman" w:hAnsi="Times New Roman"/>
          <w:noProof/>
          <w:sz w:val="24"/>
        </w:rPr>
        <w:footnoteReference w:id="2"/>
      </w:r>
      <w:r>
        <w:rPr>
          <w:rStyle w:val="Aucun"/>
          <w:rFonts w:ascii="Times New Roman" w:hAnsi="Times New Roman"/>
          <w:noProof/>
          <w:sz w:val="24"/>
        </w:rPr>
        <w:t xml:space="preserve"> poudaril, da je treba do leta 2025 povsem razviti evropsko obrambno unijo. EU že sprejema potrebne ukrepe za vzpostavitev bolj učinkovite, odzivne in povezane Unije, ki si je sposobna prizadevati za skupne interese in prednostne naloge EU glede zavzemanja za mir in zagotavljanja varnosti svojih državljanov in ozemlja, k čemur poziva tudi globalna strategija za zunanjo in varnostno politiko EU</w:t>
      </w:r>
      <w:r>
        <w:rPr>
          <w:rStyle w:val="FootnoteReference"/>
          <w:rFonts w:ascii="Times New Roman" w:hAnsi="Times New Roman"/>
          <w:noProof/>
          <w:sz w:val="24"/>
        </w:rPr>
        <w:footnoteReference w:id="3"/>
      </w:r>
      <w:r>
        <w:rPr>
          <w:rStyle w:val="Aucun"/>
          <w:rFonts w:ascii="Times New Roman" w:hAnsi="Times New Roman"/>
          <w:noProof/>
          <w:sz w:val="24"/>
        </w:rPr>
        <w:t>. Z evropskim obrambnim akcijskim načrtom in zlasti evropskim obrambnim skladom se kaže zaveza Evrope, da z ambicioznimi ukrepi podpre države članice. Izboljšanje vojaške mobilnosti v Evropski uniji je eden od praktičnih ukrepov v ta namen in torej prispeva k oblikovanju Unije, ki varuje ter v kateri se evropska solidarnost in medsebojna pomoč</w:t>
      </w:r>
      <w:r>
        <w:rPr>
          <w:rStyle w:val="FootnoteReference"/>
          <w:rFonts w:ascii="Times New Roman" w:hAnsi="Times New Roman"/>
          <w:noProof/>
          <w:sz w:val="24"/>
        </w:rPr>
        <w:footnoteReference w:id="4"/>
      </w:r>
      <w:r>
        <w:rPr>
          <w:rStyle w:val="Aucun"/>
          <w:rFonts w:ascii="Times New Roman" w:hAnsi="Times New Roman"/>
          <w:noProof/>
          <w:sz w:val="24"/>
        </w:rPr>
        <w:t xml:space="preserve"> učinkovito izvajata. </w:t>
      </w:r>
    </w:p>
    <w:p w:rsidR="00FF70F3" w:rsidRDefault="0082269C">
      <w:pPr>
        <w:spacing w:after="200" w:line="276" w:lineRule="auto"/>
        <w:jc w:val="both"/>
        <w:rPr>
          <w:rStyle w:val="Aucun"/>
          <w:noProof/>
        </w:rPr>
      </w:pPr>
      <w:r>
        <w:rPr>
          <w:noProof/>
          <w:color w:val="000000"/>
          <w:u w:color="000000"/>
        </w:rPr>
        <w:t>Petindvajset držav članic EU se je odločilo, da vključijo vojaško mobilnost med najbolj zavezujoče zaveze, ki so jih sprejeli na podlagi stalnega strukturnega sodelovanja, ki se je začelo 11. decembra 2017</w:t>
      </w:r>
      <w:r>
        <w:rPr>
          <w:rStyle w:val="FootnoteReference"/>
          <w:noProof/>
          <w:color w:val="000000"/>
          <w:u w:color="000000"/>
        </w:rPr>
        <w:footnoteReference w:id="5"/>
      </w:r>
      <w:r>
        <w:rPr>
          <w:noProof/>
          <w:color w:val="000000"/>
          <w:u w:color="000000"/>
        </w:rPr>
        <w:t>. Svet je 6. marca 2018 prav tako sprejel priporočilo o kažipotu za izvajanje stalnega strukturnega sodelovanja in sklep o pripravi seznama projektov, ki se bodo oblikovali v okviru PESCO</w:t>
      </w:r>
      <w:r>
        <w:rPr>
          <w:rStyle w:val="FootnoteReference"/>
          <w:noProof/>
          <w:color w:val="000000"/>
          <w:u w:color="000000"/>
        </w:rPr>
        <w:footnoteReference w:id="6"/>
      </w:r>
      <w:r>
        <w:rPr>
          <w:noProof/>
          <w:color w:val="000000"/>
          <w:u w:color="000000"/>
        </w:rPr>
        <w:t>. Decembra 2017 je bila vojaška mobilnost dodana skupnemu sklopu novih predlogov</w:t>
      </w:r>
      <w:r>
        <w:rPr>
          <w:noProof/>
          <w:color w:val="000000"/>
          <w:u w:color="000000"/>
          <w:vertAlign w:val="superscript"/>
        </w:rPr>
        <w:footnoteReference w:id="7"/>
      </w:r>
      <w:r>
        <w:rPr>
          <w:noProof/>
          <w:color w:val="000000"/>
          <w:u w:color="000000"/>
        </w:rPr>
        <w:t xml:space="preserve"> za izvajanje skupne izjave EU in zveze NATO iz julija 2016</w:t>
      </w:r>
      <w:r>
        <w:rPr>
          <w:noProof/>
          <w:color w:val="000000"/>
          <w:u w:color="000000"/>
          <w:vertAlign w:val="superscript"/>
        </w:rPr>
        <w:footnoteReference w:id="8"/>
      </w:r>
      <w:r>
        <w:rPr>
          <w:noProof/>
          <w:color w:val="000000"/>
          <w:u w:color="000000"/>
        </w:rPr>
        <w:t>. Evropski svet je decembra 2017</w:t>
      </w:r>
      <w:r>
        <w:rPr>
          <w:rStyle w:val="FootnoteReference"/>
          <w:noProof/>
          <w:color w:val="000000"/>
          <w:u w:color="000000"/>
        </w:rPr>
        <w:footnoteReference w:id="9"/>
      </w:r>
      <w:r>
        <w:rPr>
          <w:noProof/>
          <w:color w:val="000000"/>
          <w:u w:color="000000"/>
        </w:rPr>
        <w:t xml:space="preserve"> pozval visoko predstavnico, Komisijo in države članice EU, da nadaljujejo delo v zvezi z vojaško mobilnostjo, tako na ravni stalnega strukturnega sodelovanja kot v okviru sodelovanja med EU in zvezo NATO.</w:t>
      </w:r>
    </w:p>
    <w:p w:rsidR="00FF70F3" w:rsidRDefault="0082269C">
      <w:pPr>
        <w:pStyle w:val="Briefingtext"/>
        <w:keepNext/>
        <w:spacing w:before="240" w:line="276" w:lineRule="auto"/>
        <w:rPr>
          <w:rStyle w:val="Aucun"/>
          <w:rFonts w:ascii="Times New Roman" w:hAnsi="Times New Roman" w:cs="Times New Roman"/>
          <w:b/>
          <w:noProof/>
          <w:sz w:val="24"/>
          <w:szCs w:val="24"/>
        </w:rPr>
      </w:pPr>
      <w:r>
        <w:rPr>
          <w:rStyle w:val="Aucun"/>
          <w:rFonts w:ascii="Times New Roman" w:hAnsi="Times New Roman"/>
          <w:b/>
          <w:noProof/>
          <w:sz w:val="24"/>
        </w:rPr>
        <w:t xml:space="preserve">Vodilna načela pristopa EU </w:t>
      </w:r>
    </w:p>
    <w:p w:rsidR="00FF70F3" w:rsidRDefault="0082269C">
      <w:pPr>
        <w:pStyle w:val="Briefingtext"/>
        <w:spacing w:after="200" w:line="276" w:lineRule="auto"/>
        <w:rPr>
          <w:rStyle w:val="Aucun"/>
          <w:rFonts w:ascii="Times New Roman" w:hAnsi="Times New Roman" w:cs="Times New Roman"/>
          <w:noProof/>
          <w:sz w:val="24"/>
          <w:szCs w:val="24"/>
        </w:rPr>
      </w:pPr>
      <w:r>
        <w:rPr>
          <w:rStyle w:val="Aucun"/>
          <w:rFonts w:ascii="Times New Roman" w:hAnsi="Times New Roman"/>
          <w:noProof/>
          <w:sz w:val="24"/>
        </w:rPr>
        <w:t>Na podlagi skupnega sporočila o izboljšanju vojaške mobilnosti v EU iz novembra 2017</w:t>
      </w:r>
      <w:r>
        <w:rPr>
          <w:rStyle w:val="FootnoteReference"/>
          <w:rFonts w:ascii="Times New Roman" w:hAnsi="Times New Roman"/>
          <w:noProof/>
          <w:sz w:val="24"/>
        </w:rPr>
        <w:footnoteReference w:id="10"/>
      </w:r>
      <w:r>
        <w:rPr>
          <w:rFonts w:ascii="Times New Roman" w:hAnsi="Times New Roman"/>
          <w:noProof/>
        </w:rPr>
        <w:t xml:space="preserve"> </w:t>
      </w:r>
      <w:r>
        <w:rPr>
          <w:rStyle w:val="Aucun"/>
          <w:rFonts w:ascii="Times New Roman" w:hAnsi="Times New Roman"/>
          <w:noProof/>
          <w:sz w:val="24"/>
        </w:rPr>
        <w:t xml:space="preserve">in akcijskega načrta priložnostne delovne skupine za čezmejni vojaški prevoz znotraj Evrope v okviru Evropske obrambne agencije je namen tega akcijskega načrta zagotoviti usklajen okvir za tekoče in prihodnje programe, projekte, pobude in dejavnosti. Omogočil bo bolj usklajen pristop EU, okrepil solidarnost med državami članicami in povečal dodano vrednost EU. </w:t>
      </w:r>
    </w:p>
    <w:p w:rsidR="00FF70F3" w:rsidRDefault="0082269C">
      <w:pPr>
        <w:pStyle w:val="Briefingtext"/>
        <w:spacing w:after="200" w:line="276" w:lineRule="auto"/>
        <w:rPr>
          <w:rStyle w:val="Aucun"/>
          <w:rFonts w:ascii="Times New Roman" w:hAnsi="Times New Roman" w:cs="Times New Roman"/>
          <w:noProof/>
          <w:sz w:val="24"/>
          <w:szCs w:val="24"/>
        </w:rPr>
      </w:pPr>
      <w:r>
        <w:rPr>
          <w:rStyle w:val="Aucun"/>
          <w:rFonts w:ascii="Times New Roman" w:hAnsi="Times New Roman"/>
          <w:noProof/>
          <w:sz w:val="24"/>
        </w:rPr>
        <w:lastRenderedPageBreak/>
        <w:t xml:space="preserve">Boljša mobilnost sil znotraj in zunaj EU bo izboljšala evropsko varnost tako, da bo državam članicam EU omogočila hitrejše ukrepanje v skladu z njihovimi obrambnimi potrebami in odgovornostmi, in sicer tako v okviru misij in operacij skupne varnostne in obrambne politike kot nacionalnih in večnacionalnih dejavnosti (npr. v okviru zveze NATO). </w:t>
      </w:r>
    </w:p>
    <w:p w:rsidR="00FF70F3" w:rsidRDefault="0082269C">
      <w:pPr>
        <w:pStyle w:val="Briefingtext"/>
        <w:spacing w:after="200" w:line="276" w:lineRule="auto"/>
        <w:rPr>
          <w:rStyle w:val="Aucun"/>
          <w:rFonts w:ascii="Times New Roman" w:hAnsi="Times New Roman" w:cs="Times New Roman"/>
          <w:noProof/>
          <w:sz w:val="24"/>
          <w:szCs w:val="24"/>
        </w:rPr>
      </w:pPr>
      <w:r>
        <w:rPr>
          <w:rStyle w:val="Aucun"/>
          <w:rFonts w:ascii="Times New Roman" w:hAnsi="Times New Roman"/>
          <w:noProof/>
          <w:sz w:val="24"/>
        </w:rPr>
        <w:t>Tesno sodelovanje z državami članicami EU, vključno z vsemi njihovimi ustreznimi akterji, je ključno za izvajanje tega akcijskega načrta. Pri tem se bodo v celoti spoštovali suverenost držav članic EU nad njihovim ozemljem in nacionalni postopki odločanja glede vojaških premikov. Poleg tega bodo ukrepi za izboljšanje sodelovanja med institucijami, agencijami in organi Unije ter pristojnimi nacionalnimi organi v državah članicah EU sprejeti ob polnem spoštovanju različnih pristojnosti vključenih akterjev. Zagotoviti je treba tesno usklajevanje med tem akcijskim načrtom in projektom stalnega strukturnega sodelovanja, da se doseže dopolnjevanje rezultatov.</w:t>
      </w:r>
    </w:p>
    <w:p w:rsidR="00FF70F3" w:rsidRDefault="0082269C">
      <w:pPr>
        <w:pStyle w:val="Briefingtext"/>
        <w:spacing w:after="200" w:line="276" w:lineRule="auto"/>
        <w:rPr>
          <w:rStyle w:val="Aucun"/>
          <w:rFonts w:ascii="Times New Roman" w:hAnsi="Times New Roman" w:cs="Times New Roman"/>
          <w:noProof/>
          <w:sz w:val="24"/>
          <w:szCs w:val="24"/>
        </w:rPr>
      </w:pPr>
      <w:r>
        <w:rPr>
          <w:rStyle w:val="Aucun"/>
          <w:rFonts w:ascii="Times New Roman" w:hAnsi="Times New Roman"/>
          <w:noProof/>
          <w:sz w:val="24"/>
        </w:rPr>
        <w:t xml:space="preserve">Prav tako je pomembno nadaljnje sodelovanje z zvezo NATO na področju vojaške mobilnosti v okviru izvajanja skupne izjave. V skladu s sklepi Sveta iz decembra 2017 sodelovanje in posvetovanje z zvezo NATO potekata na ravni osebja z rednimi srečanji o vprašanjih vojaške mobilnosti na vseh področjih (kopenskem, pomorskem in zračnem). Namen je zagotoviti usklajen pristop in sinergije med EU in zvezo NATO, da se učinkovito odpravijo obstoječe ovire, vključno s pravnimi, infrastrukturnimi in postopkovnimi, za olajšanje in pospešitev premikov in prečkanja meje vojaškega osebja in materiala, pri čemer se v celoti spoštujejo suverene nacionalne odločitve. To sodelovanje bo potekalo popolnoma odprto in pregledno ob polnem spoštovanju avtonomije odločanja in postopkov obeh organizacij, vključevanja ter vzajemnosti, brez poseganja v posebno naravo varnostne in obrambne politike katere koli države članice EU. Namen sodelovanja z vsemi ustreznimi zainteresiranimi stranmi bo optimizirati usklajevanje in učinkovitost, da se izkoristijo vse sinergije. </w:t>
      </w:r>
    </w:p>
    <w:p w:rsidR="00FF70F3" w:rsidRDefault="0082269C">
      <w:pPr>
        <w:pStyle w:val="Briefingtext"/>
        <w:keepNext/>
        <w:spacing w:before="240" w:line="276" w:lineRule="auto"/>
        <w:rPr>
          <w:rStyle w:val="Aucun"/>
          <w:rFonts w:ascii="Times New Roman" w:hAnsi="Times New Roman" w:cs="Times New Roman"/>
          <w:b/>
          <w:noProof/>
          <w:sz w:val="24"/>
          <w:szCs w:val="24"/>
        </w:rPr>
      </w:pPr>
      <w:r>
        <w:rPr>
          <w:rStyle w:val="Aucun"/>
          <w:rFonts w:ascii="Times New Roman" w:hAnsi="Times New Roman"/>
          <w:b/>
          <w:noProof/>
          <w:sz w:val="24"/>
        </w:rPr>
        <w:t>Rezultati priložnostne delovne skupine o čezmejnem vojaškem prevozu</w:t>
      </w:r>
    </w:p>
    <w:p w:rsidR="00FF70F3" w:rsidRDefault="0082269C">
      <w:pPr>
        <w:spacing w:before="120" w:after="120" w:line="276" w:lineRule="auto"/>
        <w:jc w:val="both"/>
        <w:rPr>
          <w:rStyle w:val="Hyperlink"/>
          <w:rFonts w:eastAsia="Arial"/>
          <w:noProof/>
        </w:rPr>
      </w:pPr>
      <w:r>
        <w:rPr>
          <w:rStyle w:val="Aucun"/>
          <w:noProof/>
        </w:rPr>
        <w:t>Ta akcijski načrt temelji na načrtu o vojaški mobilnosti, ki ga je razvila priložnostna delovna skupina, ustanovljena v okviru Evropske obrambne agencije s sklepom njenega usmerjevalnega odbora septembra 2017. Priložnostna delovna skupina je v kažipotu opredelila naloge, odgovornosti in ambiciozne časovnice za izboljšanje vojaške mobilnosti v zvezi z naslednjimi štirimi vidiki: pravni vidiki; carine; vojaške zahteve, vključno z vojaškimi standardi, povezanimi z infrastrukturo in dovoljenja za čezmejne premike, vključno z diplomatskimi dovoljenji. Usmerjevalni odbor Evropske obrambne agencije je 9. februarja 2018 pozdravil kažipot in Evropski obrambni agenciji naložil, naj nadaljuje delo v zvezi z izboljšanjem vojaške mobilnosti, tudi v okviru izvajanja tega akcijskega načrta, ter mu letno poroča o napredku.</w:t>
      </w:r>
      <w:r>
        <w:rPr>
          <w:rStyle w:val="Hyperlink"/>
          <w:noProof/>
        </w:rPr>
        <w:t xml:space="preserve"> </w:t>
      </w:r>
    </w:p>
    <w:p w:rsidR="00FF70F3" w:rsidRDefault="0082269C">
      <w:pPr>
        <w:spacing w:before="120" w:after="120" w:line="276" w:lineRule="auto"/>
        <w:jc w:val="both"/>
        <w:rPr>
          <w:noProof/>
        </w:rPr>
      </w:pPr>
      <w:r>
        <w:rPr>
          <w:rStyle w:val="Aucun"/>
          <w:noProof/>
        </w:rPr>
        <w:lastRenderedPageBreak/>
        <w:t>Poleg tega so države članice EU dejavne v številnih projektih in pobudah sodelovanja, ki jih olajšuje Evropska obrambna agencija:</w:t>
      </w:r>
      <w:r>
        <w:rPr>
          <w:noProof/>
        </w:rPr>
        <w:t xml:space="preserve"> projektna skupina za premike in prevoz</w:t>
      </w:r>
      <w:r>
        <w:rPr>
          <w:rStyle w:val="FootnoteReference"/>
          <w:noProof/>
        </w:rPr>
        <w:footnoteReference w:id="11"/>
      </w:r>
      <w:r>
        <w:rPr>
          <w:noProof/>
        </w:rPr>
        <w:t>, večmodalno prometno vozlišče EU</w:t>
      </w:r>
      <w:r>
        <w:rPr>
          <w:rStyle w:val="FootnoteReference"/>
          <w:noProof/>
        </w:rPr>
        <w:footnoteReference w:id="12"/>
      </w:r>
      <w:r>
        <w:rPr>
          <w:noProof/>
        </w:rPr>
        <w:t xml:space="preserve"> in tehnični dogovor o diplomatskih dovoljenjih</w:t>
      </w:r>
      <w:r>
        <w:rPr>
          <w:rStyle w:val="FootnoteReference"/>
          <w:noProof/>
        </w:rPr>
        <w:footnoteReference w:id="13"/>
      </w:r>
      <w:r>
        <w:rPr>
          <w:noProof/>
        </w:rPr>
        <w:t xml:space="preserve">. </w:t>
      </w:r>
    </w:p>
    <w:p w:rsidR="00FF70F3" w:rsidRDefault="00FF70F3">
      <w:pPr>
        <w:pStyle w:val="Briefingtext"/>
        <w:spacing w:after="200" w:line="276" w:lineRule="auto"/>
        <w:rPr>
          <w:rStyle w:val="Aucun"/>
          <w:rFonts w:ascii="Times New Roman" w:hAnsi="Times New Roman" w:cs="Times New Roman"/>
          <w:noProof/>
          <w:sz w:val="2"/>
          <w:szCs w:val="2"/>
        </w:rPr>
      </w:pPr>
    </w:p>
    <w:p w:rsidR="00FF70F3" w:rsidRDefault="0082269C">
      <w:pPr>
        <w:pStyle w:val="En-tte0"/>
        <w:spacing w:before="240" w:after="240"/>
        <w:ind w:left="0" w:firstLine="0"/>
        <w:rPr>
          <w:noProof/>
          <w:sz w:val="26"/>
          <w:szCs w:val="26"/>
        </w:rPr>
      </w:pPr>
      <w:r>
        <w:rPr>
          <w:noProof/>
          <w:sz w:val="26"/>
        </w:rPr>
        <w:t>2.</w:t>
      </w:r>
      <w:r>
        <w:rPr>
          <w:noProof/>
        </w:rPr>
        <w:tab/>
      </w:r>
      <w:r>
        <w:rPr>
          <w:noProof/>
          <w:sz w:val="26"/>
        </w:rPr>
        <w:t xml:space="preserve">Opredeljeni ukrepi </w:t>
      </w:r>
    </w:p>
    <w:p w:rsidR="00FF70F3" w:rsidRDefault="0082269C">
      <w:pPr>
        <w:pStyle w:val="Sous-section2"/>
        <w:numPr>
          <w:ilvl w:val="0"/>
          <w:numId w:val="0"/>
        </w:numPr>
        <w:spacing w:before="240" w:after="240"/>
        <w:ind w:left="709"/>
        <w:rPr>
          <w:noProof/>
        </w:rPr>
      </w:pPr>
      <w:r>
        <w:rPr>
          <w:noProof/>
        </w:rPr>
        <w:t>2.1</w:t>
      </w:r>
      <w:r>
        <w:rPr>
          <w:noProof/>
        </w:rPr>
        <w:tab/>
        <w:t xml:space="preserve">Vojaške zahteve </w:t>
      </w:r>
    </w:p>
    <w:p w:rsidR="00FF70F3" w:rsidRDefault="0082269C">
      <w:pPr>
        <w:pStyle w:val="Text2"/>
        <w:ind w:left="0"/>
        <w:jc w:val="both"/>
        <w:rPr>
          <w:rFonts w:ascii="Times New Roman" w:hAnsi="Times New Roman" w:cs="Times New Roman"/>
          <w:noProof/>
          <w:sz w:val="24"/>
          <w:szCs w:val="24"/>
        </w:rPr>
      </w:pPr>
      <w:r>
        <w:rPr>
          <w:rFonts w:ascii="Times New Roman" w:hAnsi="Times New Roman"/>
          <w:noProof/>
          <w:sz w:val="24"/>
        </w:rPr>
        <w:t>Opredelitev vojaških zahtev in dogovor o njih glede na potrebe EU in njenih držav članic bosta izhodišče za učinkovit pristop po vsej EU, ki zajema vse druge ukrepe, opredeljene v naslednjih razdelkih. Te zahteve bi morale vključevati tudi opredelitev infrastrukture, ki je potrebna za vojaško mobilnost. Od držav članic EU zahteva, da upoštevajo pristop v celotni upravi in poleg ministrstva za obrambo vključijo tudi druge organe.</w:t>
      </w:r>
    </w:p>
    <w:p w:rsidR="00FF70F3" w:rsidRDefault="0082269C">
      <w:pPr>
        <w:keepNext/>
        <w:pBdr>
          <w:top w:val="single" w:sz="4" w:space="0" w:color="000000"/>
          <w:left w:val="single" w:sz="4" w:space="0" w:color="000000"/>
          <w:bottom w:val="single" w:sz="4" w:space="0" w:color="000000"/>
          <w:right w:val="single" w:sz="4" w:space="0" w:color="000000"/>
        </w:pBdr>
        <w:shd w:val="clear" w:color="auto" w:fill="D9D9D9"/>
        <w:spacing w:before="60" w:after="60" w:line="276" w:lineRule="auto"/>
        <w:jc w:val="both"/>
        <w:rPr>
          <w:rFonts w:eastAsia="Calibri"/>
          <w:b/>
          <w:bCs/>
          <w:noProof/>
          <w:color w:val="000000"/>
          <w:u w:color="000000"/>
        </w:rPr>
      </w:pPr>
      <w:r>
        <w:rPr>
          <w:b/>
          <w:noProof/>
          <w:color w:val="000000"/>
          <w:u w:color="000000"/>
        </w:rPr>
        <w:t xml:space="preserve">Ključni ukrepi na ravni EU </w:t>
      </w:r>
    </w:p>
    <w:p w:rsidR="00FF70F3" w:rsidRDefault="0082269C">
      <w:pPr>
        <w:pStyle w:val="Text1"/>
        <w:numPr>
          <w:ilvl w:val="0"/>
          <w:numId w:val="6"/>
        </w:numPr>
        <w:pBdr>
          <w:top w:val="single" w:sz="4" w:space="0" w:color="000000"/>
          <w:left w:val="single" w:sz="4" w:space="0" w:color="000000"/>
          <w:bottom w:val="single" w:sz="4" w:space="0" w:color="000000"/>
          <w:right w:val="single" w:sz="4" w:space="0" w:color="000000"/>
        </w:pBdr>
        <w:shd w:val="clear" w:color="auto" w:fill="D9D9D9"/>
        <w:spacing w:before="60" w:after="60"/>
        <w:jc w:val="both"/>
        <w:rPr>
          <w:rFonts w:ascii="Times New Roman" w:hAnsi="Times New Roman" w:cs="Times New Roman"/>
          <w:noProof/>
          <w:sz w:val="24"/>
          <w:szCs w:val="24"/>
        </w:rPr>
      </w:pPr>
      <w:r>
        <w:rPr>
          <w:rFonts w:ascii="Times New Roman" w:hAnsi="Times New Roman"/>
          <w:noProof/>
          <w:sz w:val="24"/>
        </w:rPr>
        <w:t>Evropska služba za zunanje delovanje/Vojaški štab EU bo pripravil/-a vojaške zahteve v tesnem sodelovanju z državami članicami EU, Komisijo in ustreznimi agencijami in organi Unije (vključno z Evropsko obrambno agencijo) ter v posvetovanju z zvezo NATO, kakor je ustrezno.</w:t>
      </w:r>
    </w:p>
    <w:p w:rsidR="00FF70F3" w:rsidRDefault="0082269C">
      <w:pPr>
        <w:pStyle w:val="Text1"/>
        <w:keepLines/>
        <w:numPr>
          <w:ilvl w:val="0"/>
          <w:numId w:val="6"/>
        </w:numPr>
        <w:pBdr>
          <w:top w:val="single" w:sz="4" w:space="0" w:color="000000"/>
          <w:left w:val="single" w:sz="4" w:space="0" w:color="000000"/>
          <w:bottom w:val="single" w:sz="4" w:space="0" w:color="000000"/>
          <w:right w:val="single" w:sz="4" w:space="0" w:color="000000"/>
        </w:pBdr>
        <w:shd w:val="clear" w:color="auto" w:fill="D9D9D9"/>
        <w:spacing w:before="60" w:after="60"/>
        <w:jc w:val="both"/>
        <w:rPr>
          <w:rFonts w:ascii="Times New Roman" w:hAnsi="Times New Roman" w:cs="Times New Roman"/>
          <w:noProof/>
          <w:sz w:val="24"/>
          <w:szCs w:val="24"/>
        </w:rPr>
      </w:pPr>
      <w:r>
        <w:rPr>
          <w:rFonts w:ascii="Times New Roman" w:hAnsi="Times New Roman"/>
          <w:noProof/>
          <w:sz w:val="24"/>
        </w:rPr>
        <w:t xml:space="preserve">Svet je pozvan, da do sredine leta 2018 preuči in potrdi vojaške zahteve, vključno z ustreznimi pripravljalnimi organi, tudi Vojaškim odborom EU. </w:t>
      </w:r>
    </w:p>
    <w:p w:rsidR="00FF70F3" w:rsidRDefault="0082269C">
      <w:pPr>
        <w:pStyle w:val="Sous-section2"/>
        <w:numPr>
          <w:ilvl w:val="0"/>
          <w:numId w:val="0"/>
        </w:numPr>
        <w:spacing w:before="240" w:after="240"/>
        <w:ind w:left="709"/>
        <w:rPr>
          <w:noProof/>
        </w:rPr>
      </w:pPr>
      <w:r>
        <w:rPr>
          <w:noProof/>
        </w:rPr>
        <w:t xml:space="preserve">2.2 </w:t>
      </w:r>
      <w:r>
        <w:rPr>
          <w:noProof/>
        </w:rPr>
        <w:tab/>
        <w:t>Prometna infrastruktura</w:t>
      </w:r>
    </w:p>
    <w:p w:rsidR="00FF70F3" w:rsidRDefault="0082269C">
      <w:pPr>
        <w:spacing w:after="200" w:line="276" w:lineRule="auto"/>
        <w:jc w:val="both"/>
        <w:rPr>
          <w:rStyle w:val="Aucun"/>
          <w:noProof/>
        </w:rPr>
      </w:pPr>
      <w:r>
        <w:rPr>
          <w:rStyle w:val="Aucun"/>
          <w:noProof/>
        </w:rPr>
        <w:t>Politika prometne infrastrukture nudi odlično priložnost za povečanje sinergij med obrambnimi potrebami in obstoječimi politikami Unije ter zlasti vseevropskim prometnim omrežjem (TEN-T)</w:t>
      </w:r>
      <w:r>
        <w:rPr>
          <w:rStyle w:val="FootnoteReference"/>
          <w:noProof/>
        </w:rPr>
        <w:footnoteReference w:id="14"/>
      </w:r>
      <w:r>
        <w:rPr>
          <w:rStyle w:val="Aucun"/>
          <w:noProof/>
        </w:rPr>
        <w:t>. V tem okviru se lahko pokaže dodana vrednost EU</w:t>
      </w:r>
      <w:r>
        <w:rPr>
          <w:noProof/>
        </w:rPr>
        <w:t xml:space="preserve"> </w:t>
      </w:r>
      <w:r>
        <w:rPr>
          <w:rStyle w:val="Aucun"/>
          <w:noProof/>
        </w:rPr>
        <w:t>in zagotovi učinkovitejša poraba javnega denarja.</w:t>
      </w:r>
    </w:p>
    <w:p w:rsidR="00FF70F3" w:rsidRDefault="0082269C">
      <w:pPr>
        <w:pStyle w:val="Briefingtext"/>
        <w:keepNext/>
        <w:spacing w:before="240"/>
        <w:rPr>
          <w:rStyle w:val="Aucun"/>
          <w:rFonts w:ascii="Times New Roman" w:eastAsia="Times New Roman" w:hAnsi="Times New Roman" w:cs="Times New Roman"/>
          <w:b/>
          <w:noProof/>
          <w:sz w:val="24"/>
          <w:szCs w:val="24"/>
        </w:rPr>
      </w:pPr>
      <w:r>
        <w:rPr>
          <w:rStyle w:val="Aucun"/>
          <w:rFonts w:ascii="Times New Roman" w:hAnsi="Times New Roman"/>
          <w:b/>
          <w:noProof/>
          <w:sz w:val="24"/>
        </w:rPr>
        <w:t>Pilotski projekt</w:t>
      </w:r>
    </w:p>
    <w:p w:rsidR="00FF70F3" w:rsidRDefault="0082269C">
      <w:pPr>
        <w:spacing w:after="200" w:line="276" w:lineRule="auto"/>
        <w:jc w:val="both"/>
        <w:rPr>
          <w:rStyle w:val="Aucun"/>
          <w:noProof/>
        </w:rPr>
      </w:pPr>
      <w:r>
        <w:rPr>
          <w:rStyle w:val="Aucun"/>
          <w:noProof/>
        </w:rPr>
        <w:t xml:space="preserve">Da bi preverilo izvedljivost pristopa na ravni EU je estonsko predsedstvo leta 2017 na ravni EU dalo pobudo za pilotsko analizo vseevropskega prometnega omrežja za države </w:t>
      </w:r>
      <w:r>
        <w:rPr>
          <w:rStyle w:val="Aucun"/>
          <w:noProof/>
        </w:rPr>
        <w:lastRenderedPageBreak/>
        <w:t>koridorja Severno morje–Baltik</w:t>
      </w:r>
      <w:r>
        <w:rPr>
          <w:rStyle w:val="FootnoteReference"/>
          <w:noProof/>
        </w:rPr>
        <w:footnoteReference w:id="15"/>
      </w:r>
      <w:r>
        <w:rPr>
          <w:rStyle w:val="Aucun"/>
          <w:noProof/>
        </w:rPr>
        <w:t>, ki je vključevala njihove predstavnike za področji obrambe in prometa. Namen analize je bil uvesti spodaj opisane ukrepe, da se vnaprej opredelijo elementi, ki bi bili lahko koristni za popolno analizo.</w:t>
      </w:r>
    </w:p>
    <w:p w:rsidR="00FF70F3" w:rsidRDefault="0082269C">
      <w:pPr>
        <w:spacing w:after="200" w:line="276" w:lineRule="auto"/>
        <w:jc w:val="both"/>
        <w:rPr>
          <w:rStyle w:val="Aucun"/>
          <w:noProof/>
        </w:rPr>
      </w:pPr>
      <w:r>
        <w:rPr>
          <w:rStyle w:val="Aucun"/>
          <w:noProof/>
        </w:rPr>
        <w:t>Ta pilotski projekt se je izkazal za koristnega. Države članice, ki sodelujejo v pilotskem projektu, so že odkrile pomanjkljivosti v svojih prometnih omrežjih za vojaške namene, ki jih je treba nadgraditi, in so oblikovale seznam prednostnih nalog za njihovo posodobitev.</w:t>
      </w:r>
    </w:p>
    <w:p w:rsidR="00FF70F3" w:rsidRDefault="0082269C">
      <w:pPr>
        <w:spacing w:after="200" w:line="276" w:lineRule="auto"/>
        <w:jc w:val="both"/>
        <w:rPr>
          <w:rStyle w:val="Aucun"/>
          <w:noProof/>
        </w:rPr>
      </w:pPr>
      <w:r>
        <w:rPr>
          <w:rStyle w:val="Aucun"/>
          <w:noProof/>
        </w:rPr>
        <w:t xml:space="preserve">Če vzamemo dva konkretna primera, je analiza pokazala, da v več državah članicah EU cestna omrežja, največja višina cestnih mostov ter toleranca mase nekaterih mostov ne zadoščajo za vojaška vozila prekomerne velikosti ali mase. Enako, kar zadeva železniški prevoz, v nekaterih primerih nakladalna zmogljivost ni zadostna za premike vojaške opreme prekomerne velikosti. </w:t>
      </w:r>
    </w:p>
    <w:p w:rsidR="00FF70F3" w:rsidRDefault="0082269C">
      <w:pPr>
        <w:spacing w:after="200" w:line="276" w:lineRule="auto"/>
        <w:jc w:val="both"/>
        <w:rPr>
          <w:rStyle w:val="Aucun"/>
          <w:noProof/>
        </w:rPr>
      </w:pPr>
      <w:r>
        <w:rPr>
          <w:rStyle w:val="Aucun"/>
          <w:noProof/>
        </w:rPr>
        <w:t>S pilotskim projektom je bilo ugotovljeno, da obstajajo velike priložnosti za civilno-vojaško infrastrukturo z dvojno rabo, med drugim glede večmodalnih platform, ki omogočajo hitre premike sredstev iz pristanišč in z letališč na železnice in ceste, glede izboljšanja zmogljivosti terminalov v notranjosti ter glede ustreznih nakladalnih profilov v železniškem tovornem prometu. Vse to je treba dodatno izpopolniti z ukrepi iz tega akcijskega načrta, vendar je pilotski projekt potrdil, da uporabljena metodologija, ki je predstavljena v spodnjem okviru, deluje.</w:t>
      </w:r>
    </w:p>
    <w:p w:rsidR="00FF70F3" w:rsidRDefault="0082269C">
      <w:pPr>
        <w:keepNext/>
        <w:spacing w:before="240" w:after="240" w:line="276" w:lineRule="auto"/>
        <w:jc w:val="both"/>
        <w:rPr>
          <w:rFonts w:eastAsia="Times New Roman"/>
          <w:b/>
          <w:noProof/>
        </w:rPr>
      </w:pPr>
      <w:r>
        <w:rPr>
          <w:b/>
          <w:noProof/>
        </w:rPr>
        <w:t>Uporaba prometne infrastrukture EU za dvojne civilno-vojaške namene</w:t>
      </w:r>
    </w:p>
    <w:p w:rsidR="00FF70F3" w:rsidRDefault="0082269C">
      <w:pPr>
        <w:spacing w:after="200" w:line="276" w:lineRule="auto"/>
        <w:jc w:val="both"/>
        <w:rPr>
          <w:rStyle w:val="Aucun"/>
          <w:noProof/>
        </w:rPr>
      </w:pPr>
      <w:r>
        <w:rPr>
          <w:rStyle w:val="Aucun"/>
          <w:noProof/>
        </w:rPr>
        <w:t xml:space="preserve">Kot je opredeljeno v kažipotu priložnostne delovne skupine, je namen razširiti in poglobiti pilotski projekt, da se ovrednoti, v kolikšni meri je obstoječa prometna infrastruktura, ki je prednostna z vidika uredbe o vseevropskem prometnem omrežju, po načinih prevoza in tehničnih zahtevah ustrezna in zadostna za vojaški prevoz osebja in sredstev, ter da se </w:t>
      </w:r>
      <w:r>
        <w:rPr>
          <w:noProof/>
        </w:rPr>
        <w:t>v primeru neustreznosti in nezadostnosti raziščejo in razvijejo dodatni infrastrukturni odseki in elementi ter nadgradijo zahteve.</w:t>
      </w:r>
    </w:p>
    <w:p w:rsidR="00FF70F3" w:rsidRDefault="0082269C">
      <w:pPr>
        <w:pStyle w:val="Text1"/>
        <w:keepNext/>
        <w:pBdr>
          <w:top w:val="single" w:sz="4" w:space="0" w:color="000000"/>
          <w:left w:val="single" w:sz="4" w:space="0" w:color="000000"/>
          <w:bottom w:val="single" w:sz="4" w:space="0" w:color="000000"/>
          <w:right w:val="single" w:sz="4" w:space="0" w:color="000000"/>
        </w:pBdr>
        <w:shd w:val="clear" w:color="auto" w:fill="D9D9D9"/>
        <w:spacing w:before="60" w:after="60"/>
        <w:ind w:left="0"/>
        <w:jc w:val="both"/>
        <w:rPr>
          <w:rStyle w:val="Aucun"/>
          <w:rFonts w:ascii="Times New Roman" w:eastAsia="Times New Roman" w:hAnsi="Times New Roman" w:cs="Times New Roman"/>
          <w:b/>
          <w:bCs/>
          <w:noProof/>
          <w:sz w:val="24"/>
          <w:szCs w:val="24"/>
        </w:rPr>
      </w:pPr>
      <w:r>
        <w:rPr>
          <w:rStyle w:val="Aucun"/>
          <w:rFonts w:ascii="Times New Roman" w:hAnsi="Times New Roman"/>
          <w:b/>
          <w:noProof/>
          <w:sz w:val="24"/>
        </w:rPr>
        <w:t>Ključni ukrepi na ravni EU</w:t>
      </w:r>
    </w:p>
    <w:p w:rsidR="00FF70F3" w:rsidRDefault="0082269C">
      <w:pPr>
        <w:pStyle w:val="Text1"/>
        <w:keepLines/>
        <w:numPr>
          <w:ilvl w:val="0"/>
          <w:numId w:val="6"/>
        </w:numPr>
        <w:pBdr>
          <w:top w:val="single" w:sz="4" w:space="0" w:color="000000"/>
          <w:left w:val="single" w:sz="4" w:space="0" w:color="000000"/>
          <w:bottom w:val="single" w:sz="4" w:space="0" w:color="000000"/>
          <w:right w:val="single" w:sz="4" w:space="0" w:color="000000"/>
        </w:pBdr>
        <w:shd w:val="clear" w:color="auto" w:fill="D9D9D9"/>
        <w:spacing w:before="60" w:after="60"/>
        <w:jc w:val="both"/>
        <w:rPr>
          <w:rFonts w:ascii="Times New Roman" w:eastAsia="Times New Roman" w:hAnsi="Times New Roman" w:cs="Times New Roman"/>
          <w:noProof/>
          <w:sz w:val="24"/>
          <w:szCs w:val="24"/>
        </w:rPr>
      </w:pPr>
      <w:r>
        <w:rPr>
          <w:rFonts w:ascii="Times New Roman" w:hAnsi="Times New Roman"/>
          <w:noProof/>
          <w:sz w:val="24"/>
        </w:rPr>
        <w:t>Do konca leta 2018 bo Komisija v sodelovanju z državami članicami EU, Evropsko službo za zunanje delovanje/Vojaškim štabom EU in Evropsko obrambno agencijo opredelila vrzeli med trenutnimi tehničnimi zahtevami, ki se uporabljajo za vseevropsko prometno omrežje, na eni strani in tem, kar bi bilo ustrezno za vojaški prevoz, na drugi strani. Poleg tega bodo opredeljene tudi vrzeli, povezane z geografskim območjem.</w:t>
      </w:r>
    </w:p>
    <w:p w:rsidR="00FF70F3" w:rsidRDefault="0082269C">
      <w:pPr>
        <w:pStyle w:val="Text1"/>
        <w:keepLines/>
        <w:numPr>
          <w:ilvl w:val="0"/>
          <w:numId w:val="6"/>
        </w:numPr>
        <w:pBdr>
          <w:top w:val="single" w:sz="4" w:space="0" w:color="000000"/>
          <w:left w:val="single" w:sz="4" w:space="0" w:color="000000"/>
          <w:bottom w:val="single" w:sz="4" w:space="0" w:color="000000"/>
          <w:right w:val="single" w:sz="4" w:space="0" w:color="000000"/>
        </w:pBdr>
        <w:shd w:val="clear" w:color="auto" w:fill="D9D9D9"/>
        <w:spacing w:before="60" w:after="60"/>
        <w:jc w:val="both"/>
        <w:rPr>
          <w:rFonts w:ascii="Times New Roman" w:eastAsia="Times New Roman" w:hAnsi="Times New Roman" w:cs="Times New Roman"/>
          <w:noProof/>
          <w:sz w:val="24"/>
          <w:szCs w:val="24"/>
        </w:rPr>
      </w:pPr>
      <w:r>
        <w:rPr>
          <w:rFonts w:ascii="Times New Roman" w:hAnsi="Times New Roman"/>
          <w:noProof/>
          <w:sz w:val="24"/>
        </w:rPr>
        <w:lastRenderedPageBreak/>
        <w:t>Do leta 2019 bodo službe Komisije opredelile dele vseevropskega prometnega omrežja, ki so primerni za vojaški prevoz, vključno s potrebnimi posodobitvami obstoječe infrastrukture. Projekti z dvojno rabo bodo posebej, tudi stroškovno, opredeljeni. Na podlagi ugotovitev bo oblikovan seznam prednostnih projektov. Poleg tega bo opravljena ocena celotnega obsega naložb za vojaške potrebe na vseevropskem prometnem omrežju.</w:t>
      </w:r>
    </w:p>
    <w:p w:rsidR="00FF70F3" w:rsidRDefault="0082269C">
      <w:pPr>
        <w:pStyle w:val="Text1"/>
        <w:keepLines/>
        <w:numPr>
          <w:ilvl w:val="0"/>
          <w:numId w:val="6"/>
        </w:numPr>
        <w:pBdr>
          <w:top w:val="single" w:sz="4" w:space="0" w:color="000000"/>
          <w:left w:val="single" w:sz="4" w:space="0" w:color="000000"/>
          <w:bottom w:val="single" w:sz="4" w:space="0" w:color="000000"/>
          <w:right w:val="single" w:sz="4" w:space="0" w:color="000000"/>
        </w:pBdr>
        <w:shd w:val="clear" w:color="auto" w:fill="D9D9D9"/>
        <w:spacing w:before="60" w:after="60"/>
        <w:jc w:val="both"/>
        <w:rPr>
          <w:rFonts w:ascii="Times New Roman" w:eastAsia="Times New Roman" w:hAnsi="Times New Roman" w:cs="Times New Roman"/>
          <w:noProof/>
          <w:sz w:val="24"/>
          <w:szCs w:val="24"/>
        </w:rPr>
      </w:pPr>
      <w:r>
        <w:rPr>
          <w:rFonts w:ascii="Times New Roman" w:hAnsi="Times New Roman"/>
          <w:noProof/>
          <w:sz w:val="24"/>
        </w:rPr>
        <w:t>Komisija bo do leta 2020</w:t>
      </w:r>
      <w:r>
        <w:rPr>
          <w:rFonts w:ascii="Times New Roman" w:hAnsi="Times New Roman"/>
          <w:noProof/>
        </w:rPr>
        <w:t xml:space="preserve"> </w:t>
      </w:r>
      <w:r>
        <w:rPr>
          <w:rFonts w:ascii="Times New Roman" w:hAnsi="Times New Roman"/>
          <w:noProof/>
          <w:sz w:val="24"/>
        </w:rPr>
        <w:t>ocenila potrebo po prilagoditvi uredbe o vseevropskem prometnem omrežju, da se vključijo nove tehnične zahteve, ki bodo lahko vključevale  tudi vojaške zahteve.</w:t>
      </w:r>
    </w:p>
    <w:p w:rsidR="00FF70F3" w:rsidRDefault="0082269C">
      <w:pPr>
        <w:pStyle w:val="Text1"/>
        <w:keepLines/>
        <w:numPr>
          <w:ilvl w:val="0"/>
          <w:numId w:val="6"/>
        </w:numPr>
        <w:pBdr>
          <w:top w:val="single" w:sz="4" w:space="0" w:color="000000"/>
          <w:left w:val="single" w:sz="4" w:space="0" w:color="000000"/>
          <w:bottom w:val="single" w:sz="4" w:space="0" w:color="000000"/>
          <w:right w:val="single" w:sz="4" w:space="0" w:color="000000"/>
        </w:pBdr>
        <w:shd w:val="clear" w:color="auto" w:fill="D9D9D9"/>
        <w:spacing w:before="60" w:after="60"/>
        <w:jc w:val="both"/>
        <w:rPr>
          <w:rFonts w:ascii="Times New Roman" w:eastAsia="Times New Roman" w:hAnsi="Times New Roman" w:cs="Times New Roman"/>
          <w:noProof/>
          <w:sz w:val="24"/>
          <w:szCs w:val="24"/>
        </w:rPr>
      </w:pPr>
      <w:r>
        <w:rPr>
          <w:rFonts w:ascii="Times New Roman" w:hAnsi="Times New Roman"/>
          <w:noProof/>
          <w:sz w:val="24"/>
        </w:rPr>
        <w:t>Do konca leta 2019 bo Komisija v sodelovanju z ustreznimi stranmi določila izvedljivost povezovanja vojaških in civilnih (TENtec) podatkovnih zbirk in možno področje uporabe kakršnega koli takega ukrepa. Na tej podlagi bo Komisija opredelila vse nadaljnje prilagoditve funkcij TENtec, ki bi bile potrebne za te namene, in določila postopek za zagotavljanje posodobljenosti podatkovnih zbirk.</w:t>
      </w:r>
    </w:p>
    <w:p w:rsidR="00FF70F3" w:rsidRDefault="0082269C">
      <w:pPr>
        <w:pStyle w:val="Text1"/>
        <w:keepLines/>
        <w:numPr>
          <w:ilvl w:val="0"/>
          <w:numId w:val="6"/>
        </w:numPr>
        <w:pBdr>
          <w:top w:val="single" w:sz="4" w:space="0" w:color="000000"/>
          <w:left w:val="single" w:sz="4" w:space="0" w:color="000000"/>
          <w:bottom w:val="single" w:sz="4" w:space="0" w:color="000000"/>
          <w:right w:val="single" w:sz="4" w:space="0" w:color="000000"/>
        </w:pBdr>
        <w:shd w:val="clear" w:color="auto" w:fill="D9D9D9"/>
        <w:spacing w:before="60" w:after="60"/>
        <w:jc w:val="both"/>
        <w:rPr>
          <w:rStyle w:val="Aucun"/>
          <w:rFonts w:ascii="Times New Roman" w:eastAsia="Times New Roman" w:hAnsi="Times New Roman" w:cs="Times New Roman"/>
          <w:noProof/>
          <w:sz w:val="2"/>
          <w:szCs w:val="2"/>
        </w:rPr>
      </w:pPr>
      <w:r>
        <w:rPr>
          <w:rFonts w:ascii="Times New Roman" w:hAnsi="Times New Roman"/>
          <w:noProof/>
          <w:sz w:val="24"/>
        </w:rPr>
        <w:t>V teku: službe Komisije si bodo še naprej prizadevale za iskanje in spodbujanje sinergij med vseevropskim prometnim omrežjem in njegovimi ustreznimi vesoljskimi programi (npr. EGNOS/Galileo).</w:t>
      </w:r>
    </w:p>
    <w:p w:rsidR="00FF70F3" w:rsidRDefault="0082269C">
      <w:pPr>
        <w:keepNext/>
        <w:pBdr>
          <w:top w:val="single" w:sz="4" w:space="1" w:color="auto"/>
          <w:left w:val="single" w:sz="4" w:space="1" w:color="auto"/>
          <w:bottom w:val="single" w:sz="4" w:space="1" w:color="auto"/>
          <w:right w:val="single" w:sz="4" w:space="1" w:color="auto"/>
        </w:pBdr>
        <w:shd w:val="clear" w:color="auto" w:fill="D9D9D9" w:themeFill="background1" w:themeFillShade="D9"/>
        <w:spacing w:before="60" w:after="60" w:line="276" w:lineRule="auto"/>
        <w:jc w:val="both"/>
        <w:rPr>
          <w:rStyle w:val="Aucun"/>
          <w:rFonts w:eastAsia="Times New Roman"/>
          <w:b/>
          <w:bCs/>
          <w:noProof/>
        </w:rPr>
      </w:pPr>
      <w:r>
        <w:rPr>
          <w:rStyle w:val="Aucun"/>
          <w:b/>
          <w:noProof/>
        </w:rPr>
        <w:t>Države članice EU so pozvane, da:</w:t>
      </w:r>
    </w:p>
    <w:p w:rsidR="00FF70F3" w:rsidRDefault="0082269C">
      <w:pPr>
        <w:pStyle w:val="ListParagraph"/>
        <w:keepLines/>
        <w:numPr>
          <w:ilvl w:val="0"/>
          <w:numId w:val="16"/>
        </w:numPr>
        <w:pBdr>
          <w:top w:val="single" w:sz="4" w:space="1" w:color="auto"/>
          <w:left w:val="single" w:sz="4" w:space="1" w:color="auto"/>
          <w:bottom w:val="single" w:sz="4" w:space="1" w:color="auto"/>
          <w:right w:val="single" w:sz="4" w:space="1" w:color="auto"/>
        </w:pBdr>
        <w:shd w:val="clear" w:color="auto" w:fill="D9D9D9" w:themeFill="background1" w:themeFillShade="D9"/>
        <w:spacing w:before="60" w:after="60"/>
        <w:ind w:left="360"/>
        <w:jc w:val="both"/>
        <w:rPr>
          <w:rFonts w:ascii="Times New Roman" w:eastAsia="Times New Roman" w:hAnsi="Times New Roman" w:cs="Times New Roman"/>
          <w:noProof/>
          <w:sz w:val="24"/>
          <w:szCs w:val="24"/>
        </w:rPr>
      </w:pPr>
      <w:r>
        <w:rPr>
          <w:rFonts w:ascii="Times New Roman" w:hAnsi="Times New Roman"/>
          <w:noProof/>
          <w:sz w:val="24"/>
        </w:rPr>
        <w:t>čim prej vzpostavijo enotno kontaktno točko za informacije o dostopu do prometne infrastrukture za vojaške namene;</w:t>
      </w:r>
    </w:p>
    <w:p w:rsidR="00FF70F3" w:rsidRDefault="0082269C">
      <w:pPr>
        <w:pStyle w:val="ListParagraph"/>
        <w:keepLines/>
        <w:numPr>
          <w:ilvl w:val="0"/>
          <w:numId w:val="16"/>
        </w:numPr>
        <w:pBdr>
          <w:top w:val="single" w:sz="4" w:space="1" w:color="auto"/>
          <w:left w:val="single" w:sz="4" w:space="1" w:color="auto"/>
          <w:bottom w:val="single" w:sz="4" w:space="1" w:color="auto"/>
          <w:right w:val="single" w:sz="4" w:space="1" w:color="auto"/>
        </w:pBdr>
        <w:shd w:val="clear" w:color="auto" w:fill="D9D9D9" w:themeFill="background1" w:themeFillShade="D9"/>
        <w:spacing w:before="60" w:after="60"/>
        <w:ind w:left="360"/>
        <w:jc w:val="both"/>
        <w:rPr>
          <w:rFonts w:ascii="Times New Roman" w:eastAsia="Times New Roman" w:hAnsi="Times New Roman" w:cs="Times New Roman"/>
          <w:noProof/>
          <w:sz w:val="24"/>
          <w:szCs w:val="24"/>
        </w:rPr>
      </w:pPr>
      <w:r>
        <w:rPr>
          <w:rFonts w:ascii="Times New Roman" w:hAnsi="Times New Roman"/>
          <w:noProof/>
          <w:sz w:val="24"/>
        </w:rPr>
        <w:t>pri gradnji prometne infrastrukture dosledno upoštevajo vojaške zahteve.</w:t>
      </w:r>
    </w:p>
    <w:p w:rsidR="00FF70F3" w:rsidRDefault="0082269C">
      <w:pPr>
        <w:pStyle w:val="Sous-section2"/>
        <w:numPr>
          <w:ilvl w:val="0"/>
          <w:numId w:val="0"/>
        </w:numPr>
        <w:spacing w:before="240" w:after="240"/>
        <w:ind w:left="709"/>
        <w:rPr>
          <w:noProof/>
        </w:rPr>
      </w:pPr>
      <w:r>
        <w:rPr>
          <w:noProof/>
        </w:rPr>
        <w:t>2.3</w:t>
      </w:r>
      <w:r>
        <w:rPr>
          <w:noProof/>
        </w:rPr>
        <w:tab/>
        <w:t>Regulativna in postopkovna vprašanja</w:t>
      </w:r>
    </w:p>
    <w:p w:rsidR="00FF70F3" w:rsidRDefault="0082269C">
      <w:pPr>
        <w:pStyle w:val="Briefingtext"/>
        <w:keepNext/>
        <w:spacing w:before="240"/>
        <w:rPr>
          <w:rFonts w:ascii="Times New Roman" w:eastAsia="Times New Roman" w:hAnsi="Times New Roman" w:cs="Times New Roman"/>
          <w:b/>
          <w:noProof/>
          <w:sz w:val="24"/>
          <w:szCs w:val="24"/>
        </w:rPr>
      </w:pPr>
      <w:r>
        <w:rPr>
          <w:rFonts w:ascii="Times New Roman" w:hAnsi="Times New Roman"/>
          <w:b/>
          <w:noProof/>
          <w:sz w:val="24"/>
        </w:rPr>
        <w:t>2.3.1</w:t>
      </w:r>
      <w:r>
        <w:rPr>
          <w:noProof/>
        </w:rPr>
        <w:tab/>
      </w:r>
      <w:r>
        <w:rPr>
          <w:rFonts w:ascii="Times New Roman" w:hAnsi="Times New Roman"/>
          <w:b/>
          <w:noProof/>
          <w:sz w:val="24"/>
        </w:rPr>
        <w:t>Nevarno blago</w:t>
      </w:r>
    </w:p>
    <w:p w:rsidR="00FF70F3" w:rsidRDefault="0082269C">
      <w:pPr>
        <w:spacing w:after="200" w:line="276" w:lineRule="auto"/>
        <w:jc w:val="both"/>
        <w:rPr>
          <w:rFonts w:eastAsia="Times New Roman"/>
          <w:noProof/>
          <w:u w:color="000000"/>
        </w:rPr>
      </w:pPr>
      <w:r>
        <w:rPr>
          <w:noProof/>
        </w:rPr>
        <w:t xml:space="preserve">Kopenski prevoz nevarnega blaga je področje, na katerem so države članice EU in Komisija dejavno vključene v pogajanja o obsežnemu sklopu mednarodnih konvencij in priporočil Združenih narodov. Vendar se nanašajo samo na civilno uporabo, medtem ko države članice EU uporabljajo nacionalne predpise, kadar so naprošene odobriti prosto gibanje vojaškemu prevozu, ki vključuje nevarno blago. Ta odklon od civilnih predpisov zahteva priložnostne odobritve in povzroča zamude.  </w:t>
      </w:r>
    </w:p>
    <w:p w:rsidR="00FF70F3" w:rsidRDefault="0082269C">
      <w:pPr>
        <w:spacing w:after="200" w:line="276" w:lineRule="auto"/>
        <w:jc w:val="both"/>
        <w:rPr>
          <w:rFonts w:eastAsia="Times New Roman"/>
          <w:noProof/>
          <w:u w:color="000000"/>
        </w:rPr>
      </w:pPr>
      <w:r>
        <w:rPr>
          <w:noProof/>
        </w:rPr>
        <w:t xml:space="preserve">Uskladitev predpisov, ki se uporabljajo za vojaške sile, z obstoječo zakonodajo EU bi lahko povečala varnost in zagotovila sinergije ter doslednost za prevoz nevarnega blaga na vojaškem področju, ne da bi oslabila civilne standarde.  </w:t>
      </w:r>
    </w:p>
    <w:p w:rsidR="00FF70F3" w:rsidRDefault="00FF70F3">
      <w:pPr>
        <w:spacing w:before="120" w:after="120" w:line="276" w:lineRule="auto"/>
        <w:jc w:val="both"/>
        <w:rPr>
          <w:rFonts w:eastAsia="Times New Roman"/>
          <w:noProof/>
          <w:sz w:val="2"/>
          <w:szCs w:val="2"/>
          <w:u w:color="000000"/>
        </w:rPr>
      </w:pPr>
    </w:p>
    <w:p w:rsidR="00FF70F3" w:rsidRDefault="0082269C">
      <w:pPr>
        <w:pStyle w:val="Text1"/>
        <w:keepNext/>
        <w:pBdr>
          <w:top w:val="single" w:sz="4" w:space="1" w:color="auto"/>
          <w:left w:val="single" w:sz="4" w:space="1" w:color="auto"/>
          <w:bottom w:val="single" w:sz="4" w:space="1" w:color="auto"/>
          <w:right w:val="single" w:sz="4" w:space="1" w:color="auto"/>
        </w:pBdr>
        <w:shd w:val="clear" w:color="auto" w:fill="D9D9D9" w:themeFill="background1" w:themeFillShade="D9"/>
        <w:spacing w:before="60" w:after="60"/>
        <w:ind w:left="0"/>
        <w:jc w:val="both"/>
        <w:rPr>
          <w:rFonts w:ascii="Times New Roman" w:hAnsi="Times New Roman" w:cs="Times New Roman"/>
          <w:b/>
          <w:noProof/>
          <w:color w:val="auto"/>
          <w:sz w:val="24"/>
          <w:szCs w:val="24"/>
        </w:rPr>
      </w:pPr>
      <w:r>
        <w:rPr>
          <w:rFonts w:ascii="Times New Roman" w:hAnsi="Times New Roman"/>
          <w:b/>
          <w:noProof/>
          <w:color w:val="auto"/>
          <w:sz w:val="24"/>
        </w:rPr>
        <w:lastRenderedPageBreak/>
        <w:t>Ključni ukrepi na ravni EU</w:t>
      </w:r>
    </w:p>
    <w:p w:rsidR="00FF70F3" w:rsidRDefault="0082269C">
      <w:pPr>
        <w:pStyle w:val="Text1"/>
        <w:keepLines/>
        <w:numPr>
          <w:ilvl w:val="0"/>
          <w:numId w:val="10"/>
        </w:numPr>
        <w:pBdr>
          <w:top w:val="single" w:sz="4" w:space="1" w:color="auto"/>
          <w:left w:val="single" w:sz="4" w:space="1" w:color="auto"/>
          <w:bottom w:val="single" w:sz="4" w:space="1" w:color="auto"/>
          <w:right w:val="single" w:sz="4" w:space="1" w:color="auto"/>
        </w:pBdr>
        <w:shd w:val="clear" w:color="auto" w:fill="D9D9D9" w:themeFill="background1" w:themeFillShade="D9"/>
        <w:spacing w:before="60" w:after="60"/>
        <w:jc w:val="both"/>
        <w:rPr>
          <w:rFonts w:ascii="Times New Roman" w:hAnsi="Times New Roman" w:cs="Times New Roman"/>
          <w:noProof/>
          <w:color w:val="auto"/>
          <w:sz w:val="24"/>
          <w:szCs w:val="24"/>
        </w:rPr>
      </w:pPr>
      <w:r>
        <w:rPr>
          <w:rFonts w:ascii="Times New Roman" w:hAnsi="Times New Roman"/>
          <w:noProof/>
          <w:color w:val="auto"/>
          <w:sz w:val="24"/>
        </w:rPr>
        <w:t xml:space="preserve">Do pomladi 2019 bo Evropska obrambna agencija v tesnem sodelovanju z Evropsko službo za zunanje delovanje/Vojaškim štabom EU in vsemi drugimi vključenimi organi opravila raziskavo o več elementih: nacionalne določbe, opredelitev potreb, primernost obstoječih civilnih harmonizacijskih pravil in morebitna potreba po dodatnih določbah ali prilagoditvah. Države članice EU so pozvane, da v tem postopku nudijo dejavno podporo. </w:t>
      </w:r>
    </w:p>
    <w:p w:rsidR="00FF70F3" w:rsidRDefault="0082269C">
      <w:pPr>
        <w:pStyle w:val="Text1"/>
        <w:keepLines/>
        <w:numPr>
          <w:ilvl w:val="0"/>
          <w:numId w:val="10"/>
        </w:numPr>
        <w:pBdr>
          <w:top w:val="single" w:sz="4" w:space="1" w:color="auto"/>
          <w:left w:val="single" w:sz="4" w:space="1" w:color="auto"/>
          <w:bottom w:val="single" w:sz="4" w:space="1" w:color="auto"/>
          <w:right w:val="single" w:sz="4" w:space="1" w:color="auto"/>
        </w:pBdr>
        <w:shd w:val="clear" w:color="auto" w:fill="D9D9D9" w:themeFill="background1" w:themeFillShade="D9"/>
        <w:spacing w:before="60" w:after="60"/>
        <w:jc w:val="both"/>
        <w:rPr>
          <w:rFonts w:ascii="Times New Roman" w:hAnsi="Times New Roman" w:cs="Times New Roman"/>
          <w:noProof/>
          <w:color w:val="auto"/>
          <w:sz w:val="24"/>
          <w:szCs w:val="24"/>
        </w:rPr>
      </w:pPr>
      <w:r>
        <w:rPr>
          <w:rFonts w:ascii="Times New Roman" w:hAnsi="Times New Roman"/>
          <w:noProof/>
          <w:color w:val="auto"/>
          <w:sz w:val="24"/>
        </w:rPr>
        <w:t xml:space="preserve">V teku: službe Komisije bodo v tesnem sodelovanju z Evropsko službo za zunanje delovanje/Vojaškim štabom EU in ob podpori Evropske obrambne agencije še naprej olajševale izmenjavo znanja med civilnimi in vojaškimi strokovnjaki s področja prevoza nevarnega blaga. </w:t>
      </w:r>
    </w:p>
    <w:p w:rsidR="00FF70F3" w:rsidRDefault="0082269C">
      <w:pPr>
        <w:pStyle w:val="Text1"/>
        <w:keepLines/>
        <w:numPr>
          <w:ilvl w:val="0"/>
          <w:numId w:val="10"/>
        </w:numPr>
        <w:pBdr>
          <w:top w:val="single" w:sz="4" w:space="1" w:color="auto"/>
          <w:left w:val="single" w:sz="4" w:space="1" w:color="auto"/>
          <w:bottom w:val="single" w:sz="4" w:space="1" w:color="auto"/>
          <w:right w:val="single" w:sz="4" w:space="1" w:color="auto"/>
        </w:pBdr>
        <w:shd w:val="clear" w:color="auto" w:fill="D9D9D9" w:themeFill="background1" w:themeFillShade="D9"/>
        <w:spacing w:before="60" w:after="60"/>
        <w:jc w:val="both"/>
        <w:rPr>
          <w:rFonts w:ascii="Times New Roman" w:hAnsi="Times New Roman" w:cs="Times New Roman"/>
          <w:noProof/>
          <w:color w:val="auto"/>
          <w:sz w:val="24"/>
          <w:szCs w:val="24"/>
        </w:rPr>
      </w:pPr>
      <w:r>
        <w:rPr>
          <w:rFonts w:ascii="Times New Roman" w:hAnsi="Times New Roman"/>
          <w:noProof/>
          <w:color w:val="auto"/>
          <w:sz w:val="24"/>
        </w:rPr>
        <w:t>Do leta 2020 bodo službe Komisije ocenile izvedljivost in potrebo po nadaljnjem ukrepanju na ravni EU v tesnem sodelovanju z Evropsko službo za zunanje delovanje/Vojaškim štabom EU in Evropsko obrambno agencijo.</w:t>
      </w:r>
    </w:p>
    <w:p w:rsidR="00FF70F3" w:rsidRDefault="0082269C">
      <w:pPr>
        <w:pStyle w:val="Text1"/>
        <w:keepLines/>
        <w:numPr>
          <w:ilvl w:val="0"/>
          <w:numId w:val="10"/>
        </w:numPr>
        <w:pBdr>
          <w:top w:val="single" w:sz="4" w:space="1" w:color="auto"/>
          <w:left w:val="single" w:sz="4" w:space="1" w:color="auto"/>
          <w:bottom w:val="single" w:sz="4" w:space="1" w:color="auto"/>
          <w:right w:val="single" w:sz="4" w:space="1" w:color="auto"/>
        </w:pBdr>
        <w:shd w:val="clear" w:color="auto" w:fill="D9D9D9" w:themeFill="background1" w:themeFillShade="D9"/>
        <w:spacing w:before="60" w:after="60"/>
        <w:jc w:val="both"/>
        <w:rPr>
          <w:rFonts w:ascii="Times New Roman" w:hAnsi="Times New Roman" w:cs="Times New Roman"/>
          <w:noProof/>
          <w:color w:val="auto"/>
          <w:sz w:val="24"/>
          <w:szCs w:val="24"/>
        </w:rPr>
      </w:pPr>
      <w:r>
        <w:rPr>
          <w:rFonts w:ascii="Times New Roman" w:hAnsi="Times New Roman"/>
          <w:noProof/>
          <w:color w:val="auto"/>
          <w:sz w:val="24"/>
        </w:rPr>
        <w:t xml:space="preserve">Evropska obrambna agencija bo do poletja leta 2019 v tesnem sodelovanju z državami članicami in Evropsko službo za zunanje delovanje/Vojaškim štabom EU prav tako raziskala izvedljivost boljše usklajenosti pravil in postopkov v zvezi z vojaškim prevozom za področje zraka (prevoz in ravnanje) na ozemljih držav članic. </w:t>
      </w:r>
    </w:p>
    <w:p w:rsidR="00FF70F3" w:rsidRDefault="0082269C">
      <w:pPr>
        <w:keepNext/>
        <w:tabs>
          <w:tab w:val="left" w:pos="1429"/>
        </w:tabs>
        <w:spacing w:before="240" w:after="240" w:line="276" w:lineRule="auto"/>
        <w:jc w:val="both"/>
        <w:outlineLvl w:val="1"/>
        <w:rPr>
          <w:b/>
          <w:bCs/>
          <w:noProof/>
          <w:color w:val="000000"/>
          <w:u w:color="000000"/>
        </w:rPr>
      </w:pPr>
      <w:r>
        <w:rPr>
          <w:b/>
          <w:noProof/>
          <w:color w:val="000000"/>
          <w:u w:color="000000"/>
        </w:rPr>
        <w:t xml:space="preserve">2.3.2 Carine in davek na dodano vrednost  </w:t>
      </w:r>
    </w:p>
    <w:p w:rsidR="00FF70F3" w:rsidRDefault="0082269C">
      <w:pPr>
        <w:pStyle w:val="Briefingtext"/>
        <w:spacing w:after="200" w:line="276" w:lineRule="auto"/>
        <w:rPr>
          <w:rStyle w:val="Aucun"/>
          <w:rFonts w:ascii="Times New Roman" w:hAnsi="Times New Roman" w:cs="Times New Roman"/>
          <w:noProof/>
          <w:color w:val="auto"/>
          <w:sz w:val="24"/>
          <w:szCs w:val="24"/>
          <w:u w:color="1F497D"/>
        </w:rPr>
      </w:pPr>
      <w:r>
        <w:rPr>
          <w:rStyle w:val="Aucun"/>
          <w:rFonts w:ascii="Times New Roman" w:hAnsi="Times New Roman"/>
          <w:noProof/>
          <w:color w:val="auto"/>
          <w:sz w:val="24"/>
          <w:u w:color="1F497D"/>
        </w:rPr>
        <w:t>Med delom priložnostne delovne skupine so nekatere države članice EU poročale o operativnih težavah zaradi pomanjkanja jasnosti glede uporabe obrazca 302 za začasni izvoz in ponovni uvoz vojaškega blaga s strani ali v imenu oboroženih sil držav članic EU.</w:t>
      </w:r>
    </w:p>
    <w:p w:rsidR="00FF70F3" w:rsidRDefault="0082269C">
      <w:pPr>
        <w:pStyle w:val="Briefingtext"/>
        <w:keepNext/>
        <w:pBdr>
          <w:top w:val="single" w:sz="4" w:space="1" w:color="auto"/>
          <w:left w:val="single" w:sz="4" w:space="1" w:color="auto"/>
          <w:bottom w:val="single" w:sz="4" w:space="1" w:color="auto"/>
          <w:right w:val="single" w:sz="4" w:space="1" w:color="auto"/>
        </w:pBdr>
        <w:shd w:val="clear" w:color="auto" w:fill="D9D9D9" w:themeFill="background1" w:themeFillShade="D9"/>
        <w:spacing w:before="60" w:after="60" w:line="276" w:lineRule="auto"/>
        <w:rPr>
          <w:rFonts w:ascii="Times New Roman" w:hAnsi="Times New Roman" w:cs="Times New Roman"/>
          <w:noProof/>
          <w:sz w:val="24"/>
          <w:szCs w:val="24"/>
        </w:rPr>
      </w:pPr>
      <w:r>
        <w:rPr>
          <w:rStyle w:val="Aucun"/>
          <w:rFonts w:ascii="Times New Roman" w:hAnsi="Times New Roman"/>
          <w:b/>
          <w:noProof/>
          <w:color w:val="auto"/>
          <w:sz w:val="24"/>
        </w:rPr>
        <w:t>Ključni carinski ukrepi na ravni EU</w:t>
      </w:r>
    </w:p>
    <w:p w:rsidR="00FF70F3" w:rsidRDefault="0082269C">
      <w:pPr>
        <w:pStyle w:val="Text1"/>
        <w:keepLines/>
        <w:numPr>
          <w:ilvl w:val="0"/>
          <w:numId w:val="10"/>
        </w:numPr>
        <w:pBdr>
          <w:top w:val="single" w:sz="4" w:space="1" w:color="auto"/>
          <w:left w:val="single" w:sz="4" w:space="1" w:color="auto"/>
          <w:bottom w:val="single" w:sz="4" w:space="1" w:color="auto"/>
          <w:right w:val="single" w:sz="4" w:space="1" w:color="auto"/>
        </w:pBdr>
        <w:shd w:val="clear" w:color="auto" w:fill="D9D9D9" w:themeFill="background1" w:themeFillShade="D9"/>
        <w:spacing w:before="60" w:after="60"/>
        <w:jc w:val="both"/>
        <w:rPr>
          <w:rStyle w:val="Aucun"/>
          <w:rFonts w:ascii="Times New Roman" w:hAnsi="Times New Roman" w:cs="Times New Roman"/>
          <w:noProof/>
          <w:color w:val="auto"/>
          <w:sz w:val="24"/>
          <w:szCs w:val="24"/>
        </w:rPr>
      </w:pPr>
      <w:r>
        <w:rPr>
          <w:rFonts w:ascii="Times New Roman" w:hAnsi="Times New Roman"/>
          <w:noProof/>
          <w:color w:val="auto"/>
          <w:sz w:val="24"/>
        </w:rPr>
        <w:t>Do konca leta 2018 bodo službe Komisije skupaj z državami članicami EU, Evropsko službo za zunanje delovanje/Vojaškim štabom EU in Evropsko obrambno agencijo opravile evidentiranje dejavnosti, povezanih s carinami, ki naj bi se zajele z obrazcem 302. Poleg tega bodo službe Komisije v tesnem sodelovanju z Evropsko obrambno agencijo ocenile potrebo po razvoju predloge EU za obrazec 302, kadar obstoječega obrazca 302 ni mogoče uporabiti. Ocena bo vključevala morebitni vpliv na obstoječo carinsko zakonodajo.</w:t>
      </w:r>
    </w:p>
    <w:p w:rsidR="00FF70F3" w:rsidRDefault="0082269C">
      <w:pPr>
        <w:pStyle w:val="Text1"/>
        <w:keepLines/>
        <w:numPr>
          <w:ilvl w:val="0"/>
          <w:numId w:val="10"/>
        </w:numPr>
        <w:pBdr>
          <w:top w:val="single" w:sz="4" w:space="1" w:color="auto"/>
          <w:left w:val="single" w:sz="4" w:space="1" w:color="auto"/>
          <w:bottom w:val="single" w:sz="4" w:space="1" w:color="auto"/>
          <w:right w:val="single" w:sz="4" w:space="1" w:color="auto"/>
        </w:pBdr>
        <w:shd w:val="clear" w:color="auto" w:fill="D9D9D9" w:themeFill="background1" w:themeFillShade="D9"/>
        <w:spacing w:before="60" w:after="60"/>
        <w:jc w:val="both"/>
        <w:rPr>
          <w:rFonts w:ascii="Times New Roman" w:hAnsi="Times New Roman" w:cs="Times New Roman"/>
          <w:noProof/>
          <w:color w:val="auto"/>
          <w:sz w:val="24"/>
          <w:szCs w:val="24"/>
        </w:rPr>
      </w:pPr>
      <w:r>
        <w:rPr>
          <w:rFonts w:ascii="Times New Roman" w:hAnsi="Times New Roman"/>
          <w:noProof/>
          <w:color w:val="auto"/>
          <w:sz w:val="24"/>
        </w:rPr>
        <w:t>Do konca leta 2018 bo Komisija raziskala možnosti za racionalizacijo in poenostavitev carinskih formalnosti v zvezi z dejavnostmi, povezanimi s carinami, za vojaške operacije.</w:t>
      </w:r>
      <w:r>
        <w:rPr>
          <w:rFonts w:ascii="Times New Roman" w:hAnsi="Times New Roman"/>
          <w:noProof/>
        </w:rPr>
        <w:t xml:space="preserve"> </w:t>
      </w:r>
      <w:r>
        <w:rPr>
          <w:rFonts w:ascii="Times New Roman" w:hAnsi="Times New Roman"/>
          <w:noProof/>
          <w:color w:val="auto"/>
          <w:sz w:val="24"/>
        </w:rPr>
        <w:t>Prav tako bo zagotovila enotno uporabo in izvajanje povezanih carinskih predpisov.</w:t>
      </w:r>
    </w:p>
    <w:p w:rsidR="00FF70F3" w:rsidRDefault="0082269C">
      <w:pPr>
        <w:pStyle w:val="Text1"/>
        <w:keepLines/>
        <w:numPr>
          <w:ilvl w:val="0"/>
          <w:numId w:val="10"/>
        </w:numPr>
        <w:pBdr>
          <w:top w:val="single" w:sz="4" w:space="1" w:color="auto"/>
          <w:left w:val="single" w:sz="4" w:space="1" w:color="auto"/>
          <w:bottom w:val="single" w:sz="4" w:space="1" w:color="auto"/>
          <w:right w:val="single" w:sz="4" w:space="1" w:color="auto"/>
        </w:pBdr>
        <w:shd w:val="clear" w:color="auto" w:fill="D9D9D9" w:themeFill="background1" w:themeFillShade="D9"/>
        <w:spacing w:before="60" w:after="60"/>
        <w:jc w:val="both"/>
        <w:rPr>
          <w:rFonts w:ascii="Times New Roman" w:hAnsi="Times New Roman" w:cs="Times New Roman"/>
          <w:noProof/>
          <w:color w:val="auto"/>
          <w:sz w:val="24"/>
          <w:szCs w:val="24"/>
        </w:rPr>
      </w:pPr>
      <w:r>
        <w:rPr>
          <w:rFonts w:ascii="Times New Roman" w:hAnsi="Times New Roman"/>
          <w:noProof/>
          <w:color w:val="auto"/>
          <w:sz w:val="24"/>
        </w:rPr>
        <w:lastRenderedPageBreak/>
        <w:t>Do konca leta 2018 bo Komisija opredelila akte, ki bi jih bilo treba po potrebi spremeniti. Komisija bo na tej podlagi po potrebi pripravila spremembe carinskega regulativnega okvira in zlasti aktov Komisije, povezanih s carinskim zakonikom Unije</w:t>
      </w:r>
      <w:r>
        <w:rPr>
          <w:rFonts w:ascii="Times New Roman" w:hAnsi="Times New Roman"/>
          <w:noProof/>
          <w:color w:val="auto"/>
          <w:sz w:val="24"/>
          <w:vertAlign w:val="superscript"/>
        </w:rPr>
        <w:footnoteReference w:id="16"/>
      </w:r>
      <w:r>
        <w:rPr>
          <w:rFonts w:ascii="Times New Roman" w:hAnsi="Times New Roman"/>
          <w:noProof/>
          <w:color w:val="auto"/>
          <w:sz w:val="24"/>
        </w:rPr>
        <w:t xml:space="preserve">, da se pojasni uporaba obrazca 302 za opredeljene dejavnosti, povezane s carinami. </w:t>
      </w:r>
    </w:p>
    <w:p w:rsidR="00FF70F3" w:rsidRDefault="0082269C">
      <w:pPr>
        <w:pStyle w:val="Text1"/>
        <w:keepLines/>
        <w:numPr>
          <w:ilvl w:val="0"/>
          <w:numId w:val="10"/>
        </w:numPr>
        <w:pBdr>
          <w:top w:val="single" w:sz="4" w:space="1" w:color="auto"/>
          <w:left w:val="single" w:sz="4" w:space="1" w:color="auto"/>
          <w:bottom w:val="single" w:sz="4" w:space="1" w:color="auto"/>
          <w:right w:val="single" w:sz="4" w:space="1" w:color="auto"/>
        </w:pBdr>
        <w:shd w:val="clear" w:color="auto" w:fill="D9D9D9" w:themeFill="background1" w:themeFillShade="D9"/>
        <w:spacing w:before="60" w:after="60"/>
        <w:jc w:val="both"/>
        <w:rPr>
          <w:rFonts w:ascii="Times New Roman" w:hAnsi="Times New Roman" w:cs="Times New Roman"/>
          <w:noProof/>
          <w:color w:val="auto"/>
          <w:sz w:val="24"/>
          <w:szCs w:val="24"/>
        </w:rPr>
      </w:pPr>
      <w:r>
        <w:rPr>
          <w:rFonts w:ascii="Times New Roman" w:hAnsi="Times New Roman"/>
          <w:noProof/>
          <w:color w:val="auto"/>
          <w:sz w:val="24"/>
        </w:rPr>
        <w:t>Komisija bo z Evropsko službo za zunanje delovanje/Vojaškim štabom EU in Evropsko obrambno agencijo razvila smernice, da se zagotovi pravilno in enotno izvajanje carinske zakonodaje v zadevah, povezanih z vojaškimi dejavnostmi. Časovnica za to bo odvisna od sprejetja zgoraj navedenih sprememb.</w:t>
      </w:r>
    </w:p>
    <w:p w:rsidR="00FF70F3" w:rsidRDefault="0082269C">
      <w:pPr>
        <w:pStyle w:val="Text1"/>
        <w:keepLines/>
        <w:numPr>
          <w:ilvl w:val="0"/>
          <w:numId w:val="10"/>
        </w:numPr>
        <w:pBdr>
          <w:top w:val="single" w:sz="4" w:space="1" w:color="auto"/>
          <w:left w:val="single" w:sz="4" w:space="1" w:color="auto"/>
          <w:bottom w:val="single" w:sz="4" w:space="1" w:color="auto"/>
          <w:right w:val="single" w:sz="4" w:space="1" w:color="auto"/>
        </w:pBdr>
        <w:shd w:val="clear" w:color="auto" w:fill="D9D9D9" w:themeFill="background1" w:themeFillShade="D9"/>
        <w:spacing w:before="60" w:after="60"/>
        <w:jc w:val="both"/>
        <w:rPr>
          <w:rFonts w:ascii="Times New Roman" w:hAnsi="Times New Roman" w:cs="Times New Roman"/>
          <w:noProof/>
          <w:color w:val="auto"/>
          <w:sz w:val="24"/>
          <w:szCs w:val="24"/>
        </w:rPr>
      </w:pPr>
      <w:r>
        <w:rPr>
          <w:rFonts w:ascii="Times New Roman" w:hAnsi="Times New Roman"/>
          <w:noProof/>
          <w:color w:val="auto"/>
          <w:sz w:val="24"/>
        </w:rPr>
        <w:t>Do poletja 2018 bo Evropska obrambna agencija pripravila projekt kategorije A o carinah, ki bo predmet odločitve usmerjevalnega odbora, s stalnim usklajevanjem z Evropsko službo za zunanje delovanje/Vojaškim štabom EU in službami Komisije ter vojaškim in carinskim strokovnim znanjem držav članic, in sicer brez poseganja v pobudo Komisije glede carinske zakonodaje Unije.</w:t>
      </w:r>
    </w:p>
    <w:p w:rsidR="00FF70F3" w:rsidRDefault="00FF70F3">
      <w:pPr>
        <w:pStyle w:val="Briefingtext"/>
        <w:spacing w:after="200" w:line="276" w:lineRule="auto"/>
        <w:rPr>
          <w:rStyle w:val="Aucun"/>
          <w:rFonts w:ascii="Times New Roman" w:hAnsi="Times New Roman" w:cs="Times New Roman"/>
          <w:noProof/>
          <w:color w:val="auto"/>
          <w:sz w:val="2"/>
          <w:szCs w:val="2"/>
          <w:u w:color="1F497D"/>
        </w:rPr>
      </w:pPr>
    </w:p>
    <w:p w:rsidR="00FF70F3" w:rsidRDefault="0082269C">
      <w:pPr>
        <w:pStyle w:val="Briefingtext"/>
        <w:numPr>
          <w:ilvl w:val="0"/>
          <w:numId w:val="10"/>
        </w:numPr>
        <w:pBdr>
          <w:top w:val="single" w:sz="4" w:space="1" w:color="auto"/>
          <w:left w:val="single" w:sz="4" w:space="1" w:color="auto"/>
          <w:bottom w:val="single" w:sz="4" w:space="1" w:color="auto"/>
          <w:right w:val="single" w:sz="4" w:space="1" w:color="auto"/>
        </w:pBdr>
        <w:shd w:val="clear" w:color="auto" w:fill="D9D9D9" w:themeFill="background1" w:themeFillShade="D9"/>
        <w:spacing w:before="60" w:after="60" w:line="276" w:lineRule="auto"/>
        <w:rPr>
          <w:rFonts w:ascii="Times New Roman" w:hAnsi="Times New Roman" w:cs="Times New Roman"/>
          <w:b/>
          <w:noProof/>
          <w:color w:val="auto"/>
          <w:sz w:val="24"/>
          <w:szCs w:val="24"/>
        </w:rPr>
      </w:pPr>
      <w:r>
        <w:rPr>
          <w:rFonts w:ascii="Times New Roman" w:hAnsi="Times New Roman"/>
          <w:b/>
          <w:noProof/>
          <w:color w:val="auto"/>
          <w:sz w:val="24"/>
        </w:rPr>
        <w:t>Države članice so pozvane,</w:t>
      </w:r>
      <w:r>
        <w:rPr>
          <w:rFonts w:ascii="Times New Roman" w:hAnsi="Times New Roman"/>
          <w:noProof/>
          <w:color w:val="auto"/>
          <w:sz w:val="24"/>
        </w:rPr>
        <w:t xml:space="preserve"> da do konca leta 2020 ocenijo potrebo po razvoju elektronskih sistemov, ki uporabljajo tudi vesoljske tehnologije EU, za upravljanje dejavnosti, povezanih s carinami, s strani vojaških sil in carinskih organov.</w:t>
      </w:r>
    </w:p>
    <w:p w:rsidR="00FF70F3" w:rsidRDefault="00FF70F3">
      <w:pPr>
        <w:pStyle w:val="Briefingtext"/>
        <w:spacing w:after="200" w:line="276" w:lineRule="auto"/>
        <w:rPr>
          <w:rStyle w:val="Aucun"/>
          <w:rFonts w:ascii="Times New Roman" w:hAnsi="Times New Roman" w:cs="Times New Roman"/>
          <w:noProof/>
          <w:color w:val="auto"/>
          <w:sz w:val="10"/>
          <w:szCs w:val="10"/>
          <w:u w:color="1F497D"/>
        </w:rPr>
      </w:pPr>
    </w:p>
    <w:p w:rsidR="00FF70F3" w:rsidRDefault="0082269C">
      <w:pPr>
        <w:pStyle w:val="Briefingtext"/>
        <w:spacing w:after="200" w:line="276" w:lineRule="auto"/>
        <w:rPr>
          <w:rFonts w:ascii="Times New Roman" w:hAnsi="Times New Roman" w:cs="Times New Roman"/>
          <w:noProof/>
          <w:sz w:val="24"/>
          <w:szCs w:val="24"/>
        </w:rPr>
      </w:pPr>
      <w:r>
        <w:rPr>
          <w:rFonts w:ascii="Times New Roman" w:hAnsi="Times New Roman"/>
          <w:noProof/>
          <w:sz w:val="24"/>
        </w:rPr>
        <w:t xml:space="preserve">Olajševanje vojaške mobilnosti zadeva tudi obstoječa pravila glede davka na dodano vrednost. Obrambna prizadevanja in zlasti vojaška mobilnost zahtevata znatno število dobav, kot so usposabljanje, vadbeni pripomočki, nastanitev, preskrba s hrano/gostinskimi storitvami, gorivo itd. Te dobave so načeloma predmet davka na dodano vrednost. V okviru priložnostne delovne skupine za vojaško mobilnost so države članice ugotovile potrebo po zagotovitvi enake obravnave obrambnih prizadevanj, da se zmanjša upravno breme, s čimer bi se izognili zamudam in stroškom vojaške mobilnosti ter države članice spodbudili k sodelovanju. </w:t>
      </w:r>
    </w:p>
    <w:p w:rsidR="00FF70F3" w:rsidRDefault="0082269C">
      <w:pPr>
        <w:pStyle w:val="Text1"/>
        <w:keepNext/>
        <w:pBdr>
          <w:top w:val="single" w:sz="4" w:space="1" w:color="auto"/>
          <w:left w:val="single" w:sz="4" w:space="1" w:color="auto"/>
          <w:bottom w:val="single" w:sz="4" w:space="1" w:color="auto"/>
          <w:right w:val="single" w:sz="4" w:space="1" w:color="auto"/>
        </w:pBdr>
        <w:shd w:val="clear" w:color="auto" w:fill="D9D9D9" w:themeFill="background1" w:themeFillShade="D9"/>
        <w:spacing w:before="60" w:after="60"/>
        <w:ind w:left="0"/>
        <w:jc w:val="both"/>
        <w:rPr>
          <w:rFonts w:ascii="Times New Roman" w:hAnsi="Times New Roman" w:cs="Times New Roman"/>
          <w:b/>
          <w:noProof/>
          <w:color w:val="auto"/>
          <w:sz w:val="24"/>
          <w:szCs w:val="24"/>
        </w:rPr>
      </w:pPr>
      <w:r>
        <w:rPr>
          <w:rFonts w:ascii="Times New Roman" w:hAnsi="Times New Roman"/>
          <w:b/>
          <w:noProof/>
          <w:color w:val="auto"/>
          <w:sz w:val="24"/>
        </w:rPr>
        <w:t>Ključni ukrepi glede davka na dodano vrednost na ravni EU</w:t>
      </w:r>
    </w:p>
    <w:p w:rsidR="00FF70F3" w:rsidRDefault="0082269C">
      <w:pPr>
        <w:pStyle w:val="Text1"/>
        <w:keepLines/>
        <w:numPr>
          <w:ilvl w:val="0"/>
          <w:numId w:val="10"/>
        </w:numPr>
        <w:pBdr>
          <w:top w:val="single" w:sz="4" w:space="1" w:color="auto"/>
          <w:left w:val="single" w:sz="4" w:space="1" w:color="auto"/>
          <w:bottom w:val="single" w:sz="4" w:space="1" w:color="auto"/>
          <w:right w:val="single" w:sz="4" w:space="1" w:color="auto"/>
        </w:pBdr>
        <w:shd w:val="clear" w:color="auto" w:fill="D9D9D9" w:themeFill="background1" w:themeFillShade="D9"/>
        <w:spacing w:before="60" w:after="60"/>
        <w:jc w:val="both"/>
        <w:rPr>
          <w:rFonts w:ascii="Times New Roman" w:hAnsi="Times New Roman" w:cs="Times New Roman"/>
          <w:noProof/>
          <w:color w:val="auto"/>
          <w:sz w:val="24"/>
          <w:szCs w:val="24"/>
        </w:rPr>
      </w:pPr>
      <w:r>
        <w:rPr>
          <w:rFonts w:ascii="Times New Roman" w:hAnsi="Times New Roman"/>
          <w:noProof/>
          <w:color w:val="auto"/>
          <w:sz w:val="24"/>
        </w:rPr>
        <w:t xml:space="preserve">Do konca leta 2018 bo Komisija v posvetovanju z državami članicami EU in tesnem sodelovanju z ustreznimi akterji Unije ocenila možnosti, da bi zmanjšala upravno breme ter ocenila izvedljivost uskladitve obravnave davka na dodano vrednost za obrambna prizadevanja v okviru EU in pod okriljem zveze NATO.  </w:t>
      </w:r>
    </w:p>
    <w:p w:rsidR="00FF70F3" w:rsidRDefault="0082269C">
      <w:pPr>
        <w:pStyle w:val="Sous-section2"/>
        <w:numPr>
          <w:ilvl w:val="0"/>
          <w:numId w:val="0"/>
        </w:numPr>
        <w:spacing w:before="240" w:after="240"/>
        <w:rPr>
          <w:noProof/>
        </w:rPr>
      </w:pPr>
      <w:r>
        <w:rPr>
          <w:noProof/>
        </w:rPr>
        <w:lastRenderedPageBreak/>
        <w:t>2.3.3 Dovoljenje za čezmejne premike</w:t>
      </w:r>
    </w:p>
    <w:p w:rsidR="00FF70F3" w:rsidRDefault="0082269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Calibri"/>
          <w:noProof/>
          <w:bdr w:val="none" w:sz="0" w:space="0" w:color="auto"/>
        </w:rPr>
      </w:pPr>
      <w:r>
        <w:rPr>
          <w:noProof/>
        </w:rPr>
        <w:t xml:space="preserve">Kot je predlagano v kažipotu priložnostne delovne skupine, je dovoljenje za čezmejne premike (vključno z diplomatskim dovoljenjem) področje, na katerem lahko države članice EU sodelujejo za večjo doslednost in/ali učinkovitost svojih postopkov. Dovoljenje za čezmejne premike zadeva postopke za pridobitev dovoljenja za prečkanje meje. Veljavno diplomatsko dovoljenje zmanjšuje upravno breme in skrajša čas za dovoljenje za vojaško mobilnost. Obstoječi tehnični dogovor o diplomatskih dovoljenjih se je izkazal na posebnem delu zračnega prometa, vendar ima tudi jasne omejitve, kot so izključitev zračnih prostorov, aerodromov ali zavrnitev določenih misij, kot jih individualno nalagajo podpisnice. Število diplomatskih dovoljenj, vsako leto izdanih s strani sodelujočih držav članic EU, in pridržki ter urniki stikov v delovnem času in zunaj njega so vodeni in prikazani na namenskem spletnem portalu. </w:t>
      </w:r>
    </w:p>
    <w:p w:rsidR="00FF70F3" w:rsidRDefault="0082269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Calibri"/>
          <w:noProof/>
          <w:bdr w:val="none" w:sz="0" w:space="0" w:color="auto"/>
        </w:rPr>
      </w:pPr>
      <w:r>
        <w:rPr>
          <w:noProof/>
        </w:rPr>
        <w:t xml:space="preserve">Ureditev o dovoljenju za čezmejne premike, ki se osredotoča na premike po površju, bi bila priložnost za izboljšanje vojaške mobilnosti po cestnih, železniških in celinskih plovnih poteh. Upravni postopki bi bili lahko deloma določeni v dogovoru, da se zagotovijo skupna pravila in postopki, zlasti za misije in operacije skupne varnostne in obrambne politike ter dejavnosti v drugih okvirih, vaje in dnevne premike. </w:t>
      </w:r>
    </w:p>
    <w:p w:rsidR="00FF70F3" w:rsidRDefault="0082269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Calibri"/>
          <w:noProof/>
          <w:bdr w:val="none" w:sz="0" w:space="0" w:color="auto"/>
        </w:rPr>
      </w:pPr>
      <w:r>
        <w:rPr>
          <w:noProof/>
        </w:rPr>
        <w:t>Kar zadeva zračne premike, morajo biti v skladu z regulativnim okvirom, vzpostavljenim na podlagi enotnega evropskega neba, če se opravljajo na podlagi pravil za splošni zračni promet. Za lete, ki se opravljajo na podlagi nacionalnih pravil o operativnem zračnem prometu, morajo države članice za čezmejne operacije uporabiti dvostranske dogovore ali tehnični dogovor o diplomatskih dovoljenjih. Pravočasno in natančno poročanje o varnostnih informacijah na evropski ravni bi bilo v pomoč pri preverjanju, da so vse varnostne zahteve izpolnjene. Poleg tega bi razpoložljivost določenih objektov in služb prispevala k zagotavljanju varnosti, regularnosti in učinkovitosti svetovnega sistema letalstva ter skladnosti z zahtevami vojaških zračnih operacij. To bi lahko dosegli s spodbujanjem skupnega razumevanja ključnih načel, izmenjavo najboljših praks in spremljanjem njihovega izvajanja v praksi.</w:t>
      </w:r>
    </w:p>
    <w:p w:rsidR="00FF70F3" w:rsidRDefault="0082269C">
      <w:pPr>
        <w:keepNext/>
        <w:pBdr>
          <w:top w:val="single" w:sz="4" w:space="1" w:color="auto"/>
          <w:left w:val="single" w:sz="4" w:space="1" w:color="auto"/>
          <w:bottom w:val="single" w:sz="4" w:space="1" w:color="auto"/>
          <w:right w:val="single" w:sz="4" w:space="1" w:color="auto"/>
        </w:pBdr>
        <w:shd w:val="clear" w:color="auto" w:fill="D9D9D9" w:themeFill="background1" w:themeFillShade="D9"/>
        <w:spacing w:before="60" w:after="60" w:line="276" w:lineRule="auto"/>
        <w:jc w:val="both"/>
        <w:rPr>
          <w:rFonts w:eastAsia="Times New Roman"/>
          <w:b/>
          <w:noProof/>
          <w:u w:color="000000"/>
        </w:rPr>
      </w:pPr>
      <w:r>
        <w:rPr>
          <w:b/>
          <w:noProof/>
          <w:u w:color="000000"/>
        </w:rPr>
        <w:t>Ključni ukrepi na ravni EU</w:t>
      </w:r>
    </w:p>
    <w:p w:rsidR="00FF70F3" w:rsidRDefault="0082269C">
      <w:pPr>
        <w:keepLines/>
        <w:numPr>
          <w:ilvl w:val="0"/>
          <w:numId w:val="17"/>
        </w:numPr>
        <w:pBdr>
          <w:top w:val="single" w:sz="4" w:space="1" w:color="auto"/>
          <w:left w:val="single" w:sz="4" w:space="1" w:color="auto"/>
          <w:bottom w:val="single" w:sz="4" w:space="1" w:color="auto"/>
          <w:right w:val="single" w:sz="4" w:space="1" w:color="auto"/>
        </w:pBdr>
        <w:shd w:val="clear" w:color="auto" w:fill="D9D9D9" w:themeFill="background1" w:themeFillShade="D9"/>
        <w:spacing w:before="60" w:after="60" w:line="276" w:lineRule="auto"/>
        <w:ind w:left="360"/>
        <w:jc w:val="both"/>
        <w:rPr>
          <w:rFonts w:eastAsia="Times New Roman"/>
          <w:noProof/>
          <w:u w:color="000000"/>
        </w:rPr>
      </w:pPr>
      <w:r>
        <w:rPr>
          <w:noProof/>
        </w:rPr>
        <w:t xml:space="preserve">Do poletja 2018 bo Evropska obrambna agencija pripravila projekt kategorije A o dovoljenju za čezmejne premike, ki bo predmet odločitve usmerjevalnega odbora Evropske obrambne agencije, da se podpre države članice EU pri pripravi dogovorov o čezmejnih dovoljenjih. </w:t>
      </w:r>
    </w:p>
    <w:p w:rsidR="00FF70F3" w:rsidRDefault="0082269C">
      <w:pPr>
        <w:keepLines/>
        <w:numPr>
          <w:ilvl w:val="0"/>
          <w:numId w:val="17"/>
        </w:numPr>
        <w:pBdr>
          <w:top w:val="single" w:sz="4" w:space="1" w:color="auto"/>
          <w:left w:val="single" w:sz="4" w:space="1" w:color="auto"/>
          <w:bottom w:val="single" w:sz="4" w:space="1" w:color="auto"/>
          <w:right w:val="single" w:sz="4" w:space="1" w:color="auto"/>
        </w:pBdr>
        <w:shd w:val="clear" w:color="auto" w:fill="D9D9D9" w:themeFill="background1" w:themeFillShade="D9"/>
        <w:spacing w:before="60" w:after="60" w:line="276" w:lineRule="auto"/>
        <w:ind w:left="360"/>
        <w:jc w:val="both"/>
        <w:rPr>
          <w:rFonts w:eastAsia="Times New Roman"/>
          <w:noProof/>
          <w:u w:color="000000"/>
        </w:rPr>
      </w:pPr>
      <w:r>
        <w:rPr>
          <w:noProof/>
        </w:rPr>
        <w:t xml:space="preserve">Evropska obrambna agencija bo s pomočjo projektne skupine za premike in promet zagotovila platformo za izmenjavo mnenj med državami članicami EU in Evropsko službo za zunanje delovanje/Vojaškim štabom EU in zvezo NATO glede rokov za premike po površju. </w:t>
      </w:r>
    </w:p>
    <w:p w:rsidR="00FF70F3" w:rsidRDefault="00FF70F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Calibri"/>
          <w:noProof/>
          <w:sz w:val="2"/>
          <w:szCs w:val="2"/>
          <w:bdr w:val="none" w:sz="0" w:space="0" w:color="auto"/>
        </w:rPr>
      </w:pPr>
    </w:p>
    <w:p w:rsidR="00FF70F3" w:rsidRDefault="0082269C">
      <w:pPr>
        <w:keepNext/>
        <w:pBdr>
          <w:top w:val="single" w:sz="4" w:space="1" w:color="auto"/>
          <w:left w:val="single" w:sz="4" w:space="1" w:color="auto"/>
          <w:bottom w:val="single" w:sz="4" w:space="1" w:color="auto"/>
          <w:right w:val="single" w:sz="4" w:space="1" w:color="auto"/>
        </w:pBdr>
        <w:shd w:val="clear" w:color="auto" w:fill="D9D9D9" w:themeFill="background1" w:themeFillShade="D9"/>
        <w:spacing w:before="60" w:after="60" w:line="276" w:lineRule="auto"/>
        <w:jc w:val="both"/>
        <w:rPr>
          <w:rFonts w:eastAsia="Times New Roman"/>
          <w:b/>
          <w:noProof/>
          <w:u w:color="000000"/>
        </w:rPr>
      </w:pPr>
      <w:r>
        <w:rPr>
          <w:b/>
          <w:noProof/>
          <w:u w:color="000000"/>
        </w:rPr>
        <w:lastRenderedPageBreak/>
        <w:t>Države članice EU so pozvane, da:</w:t>
      </w:r>
    </w:p>
    <w:p w:rsidR="00FF70F3" w:rsidRDefault="0082269C">
      <w:pPr>
        <w:keepLines/>
        <w:numPr>
          <w:ilvl w:val="0"/>
          <w:numId w:val="17"/>
        </w:numPr>
        <w:pBdr>
          <w:top w:val="single" w:sz="4" w:space="1" w:color="auto"/>
          <w:left w:val="single" w:sz="4" w:space="1" w:color="auto"/>
          <w:bottom w:val="single" w:sz="4" w:space="1" w:color="auto"/>
          <w:right w:val="single" w:sz="4" w:space="1" w:color="auto"/>
        </w:pBdr>
        <w:shd w:val="clear" w:color="auto" w:fill="D9D9D9" w:themeFill="background1" w:themeFillShade="D9"/>
        <w:spacing w:before="60" w:after="60" w:line="276" w:lineRule="auto"/>
        <w:ind w:left="360"/>
        <w:jc w:val="both"/>
        <w:rPr>
          <w:rFonts w:eastAsia="Times New Roman"/>
          <w:noProof/>
          <w:u w:color="000000"/>
        </w:rPr>
      </w:pPr>
      <w:r>
        <w:rPr>
          <w:noProof/>
        </w:rPr>
        <w:t>evidentirajo trenutno stanje nacionalnih predpisov, ki vplivajo na dovoljenje za operacije v državah članicah EU s pomočjo sredstev, ki niso njihova lastna, zlasti glede omejitev;</w:t>
      </w:r>
    </w:p>
    <w:p w:rsidR="00FF70F3" w:rsidRDefault="0082269C">
      <w:pPr>
        <w:keepLines/>
        <w:numPr>
          <w:ilvl w:val="0"/>
          <w:numId w:val="17"/>
        </w:numPr>
        <w:pBdr>
          <w:top w:val="single" w:sz="4" w:space="1" w:color="auto"/>
          <w:left w:val="single" w:sz="4" w:space="1" w:color="auto"/>
          <w:bottom w:val="single" w:sz="4" w:space="1" w:color="auto"/>
          <w:right w:val="single" w:sz="4" w:space="1" w:color="auto"/>
        </w:pBdr>
        <w:shd w:val="clear" w:color="auto" w:fill="D9D9D9" w:themeFill="background1" w:themeFillShade="D9"/>
        <w:spacing w:before="60" w:after="60" w:line="276" w:lineRule="auto"/>
        <w:ind w:left="360"/>
        <w:jc w:val="both"/>
        <w:rPr>
          <w:rFonts w:eastAsia="Times New Roman"/>
          <w:noProof/>
          <w:u w:color="000000"/>
        </w:rPr>
      </w:pPr>
      <w:r>
        <w:rPr>
          <w:noProof/>
        </w:rPr>
        <w:t>v okviru vojaških zahtev prispevajo k opredelitvi operativnih zahtev za premike sredstev po področjih;</w:t>
      </w:r>
    </w:p>
    <w:p w:rsidR="00FF70F3" w:rsidRDefault="0082269C">
      <w:pPr>
        <w:keepLines/>
        <w:numPr>
          <w:ilvl w:val="0"/>
          <w:numId w:val="17"/>
        </w:numPr>
        <w:pBdr>
          <w:top w:val="single" w:sz="4" w:space="1" w:color="auto"/>
          <w:left w:val="single" w:sz="4" w:space="1" w:color="auto"/>
          <w:bottom w:val="single" w:sz="4" w:space="1" w:color="auto"/>
          <w:right w:val="single" w:sz="4" w:space="1" w:color="auto"/>
        </w:pBdr>
        <w:shd w:val="clear" w:color="auto" w:fill="D9D9D9" w:themeFill="background1" w:themeFillShade="D9"/>
        <w:spacing w:before="60" w:after="60" w:line="276" w:lineRule="auto"/>
        <w:ind w:left="360"/>
        <w:jc w:val="both"/>
        <w:rPr>
          <w:rFonts w:eastAsia="Times New Roman"/>
          <w:noProof/>
          <w:u w:color="000000"/>
        </w:rPr>
      </w:pPr>
      <w:r>
        <w:rPr>
          <w:noProof/>
        </w:rPr>
        <w:t>opredelijo nacionalne regulativne omejitve in politične razloge zanje;</w:t>
      </w:r>
    </w:p>
    <w:p w:rsidR="00FF70F3" w:rsidRDefault="0082269C">
      <w:pPr>
        <w:keepLines/>
        <w:numPr>
          <w:ilvl w:val="0"/>
          <w:numId w:val="17"/>
        </w:numPr>
        <w:pBdr>
          <w:top w:val="single" w:sz="4" w:space="1" w:color="auto"/>
          <w:left w:val="single" w:sz="4" w:space="1" w:color="auto"/>
          <w:bottom w:val="single" w:sz="4" w:space="1" w:color="auto"/>
          <w:right w:val="single" w:sz="4" w:space="1" w:color="auto"/>
        </w:pBdr>
        <w:shd w:val="clear" w:color="auto" w:fill="D9D9D9" w:themeFill="background1" w:themeFillShade="D9"/>
        <w:spacing w:before="60" w:after="60" w:line="276" w:lineRule="auto"/>
        <w:ind w:left="360"/>
        <w:jc w:val="both"/>
        <w:rPr>
          <w:rFonts w:eastAsia="Times New Roman"/>
          <w:noProof/>
          <w:u w:color="000000"/>
        </w:rPr>
      </w:pPr>
      <w:r>
        <w:rPr>
          <w:noProof/>
        </w:rPr>
        <w:t>razvijejo rešitve z uporabo obstoječih delovnih področij in izdelkov ter uravnoteževanjem operativnih zahtev z razumnimi političnimi omejitvami, s čimer se doseže izdaja (diplomatskih) dovoljenj ob minimalnem število potrebnih nacionalnih pridržkov;</w:t>
      </w:r>
    </w:p>
    <w:p w:rsidR="00FF70F3" w:rsidRDefault="0082269C">
      <w:pPr>
        <w:keepLines/>
        <w:numPr>
          <w:ilvl w:val="0"/>
          <w:numId w:val="17"/>
        </w:numPr>
        <w:pBdr>
          <w:top w:val="single" w:sz="4" w:space="1" w:color="auto"/>
          <w:left w:val="single" w:sz="4" w:space="1" w:color="auto"/>
          <w:bottom w:val="single" w:sz="4" w:space="1" w:color="auto"/>
          <w:right w:val="single" w:sz="4" w:space="1" w:color="auto"/>
        </w:pBdr>
        <w:shd w:val="clear" w:color="auto" w:fill="D9D9D9" w:themeFill="background1" w:themeFillShade="D9"/>
        <w:spacing w:before="60" w:after="60" w:line="276" w:lineRule="auto"/>
        <w:ind w:left="360"/>
        <w:jc w:val="both"/>
        <w:rPr>
          <w:rFonts w:eastAsia="Times New Roman"/>
          <w:noProof/>
          <w:u w:color="000000"/>
        </w:rPr>
      </w:pPr>
      <w:r>
        <w:rPr>
          <w:noProof/>
        </w:rPr>
        <w:t>ugotovijo potrebo po prilagoditvi nacionalnih predpisov, kadar se izboljšanje vojaške mobilnosti lahko doseže na podlagi teh spremenjenih predpisov, pri čemer se ohranja bistvene omejitve iz nevojaških razlogov le, kadar je to potrebno;</w:t>
      </w:r>
    </w:p>
    <w:p w:rsidR="00FF70F3" w:rsidRDefault="0082269C">
      <w:pPr>
        <w:keepLines/>
        <w:numPr>
          <w:ilvl w:val="0"/>
          <w:numId w:val="17"/>
        </w:numPr>
        <w:pBdr>
          <w:top w:val="single" w:sz="4" w:space="1" w:color="auto"/>
          <w:left w:val="single" w:sz="4" w:space="1" w:color="auto"/>
          <w:bottom w:val="single" w:sz="4" w:space="1" w:color="auto"/>
          <w:right w:val="single" w:sz="4" w:space="1" w:color="auto"/>
        </w:pBdr>
        <w:shd w:val="clear" w:color="auto" w:fill="D9D9D9" w:themeFill="background1" w:themeFillShade="D9"/>
        <w:spacing w:before="60" w:after="60" w:line="276" w:lineRule="auto"/>
        <w:ind w:left="360"/>
        <w:jc w:val="both"/>
        <w:rPr>
          <w:rFonts w:eastAsia="Times New Roman"/>
          <w:noProof/>
          <w:u w:color="000000"/>
        </w:rPr>
      </w:pPr>
      <w:r>
        <w:rPr>
          <w:noProof/>
        </w:rPr>
        <w:t>podpišejo ureditve za posamezna področja, s katerimi se harmonizirajo postopki in omogoča predhodna odobritev dovoljenja za čezmejne vojaške premike in potrebe po prevozu, ki jih je treba predhodno odobriti.</w:t>
      </w:r>
    </w:p>
    <w:p w:rsidR="00FF70F3" w:rsidRDefault="00FF70F3">
      <w:p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eastAsia="Calibri"/>
          <w:noProof/>
          <w:sz w:val="2"/>
          <w:szCs w:val="2"/>
          <w:bdr w:val="none" w:sz="0" w:space="0" w:color="auto"/>
        </w:rPr>
      </w:pPr>
    </w:p>
    <w:p w:rsidR="00FF70F3" w:rsidRDefault="0082269C">
      <w:pPr>
        <w:keepNext/>
        <w:spacing w:before="240" w:after="240"/>
        <w:rPr>
          <w:b/>
          <w:noProof/>
        </w:rPr>
      </w:pPr>
      <w:r>
        <w:rPr>
          <w:b/>
          <w:noProof/>
        </w:rPr>
        <w:t>2.3.4</w:t>
      </w:r>
      <w:r>
        <w:rPr>
          <w:noProof/>
        </w:rPr>
        <w:tab/>
      </w:r>
      <w:r>
        <w:rPr>
          <w:b/>
          <w:noProof/>
        </w:rPr>
        <w:t xml:space="preserve">Druga vprašanja </w:t>
      </w:r>
    </w:p>
    <w:p w:rsidR="00FF70F3" w:rsidRDefault="0082269C">
      <w:pPr>
        <w:tabs>
          <w:tab w:val="left" w:pos="1429"/>
        </w:tabs>
        <w:spacing w:after="200" w:line="276" w:lineRule="auto"/>
        <w:jc w:val="both"/>
        <w:outlineLvl w:val="1"/>
        <w:rPr>
          <w:noProof/>
        </w:rPr>
      </w:pPr>
      <w:r>
        <w:rPr>
          <w:noProof/>
        </w:rPr>
        <w:t xml:space="preserve">Dodatne neizčrpne vrste ukrepov, povezane z regulativnimi in postopkovnimi vprašanji, vključno s pravnimi vidiki, so prav tako določene v kažipotu priložnostne delovne skupine. To vključuje dodatno pojasnitev možnega vpliva sporazuma o statusu sil EU na vojaško mobilnost, ko bo začel veljati. </w:t>
      </w:r>
    </w:p>
    <w:p w:rsidR="00FF70F3" w:rsidRDefault="0082269C">
      <w:pPr>
        <w:tabs>
          <w:tab w:val="left" w:pos="1429"/>
        </w:tabs>
        <w:spacing w:after="200" w:line="276" w:lineRule="auto"/>
        <w:jc w:val="both"/>
        <w:outlineLvl w:val="1"/>
        <w:rPr>
          <w:noProof/>
        </w:rPr>
      </w:pPr>
      <w:r>
        <w:rPr>
          <w:noProof/>
        </w:rPr>
        <w:t>Poleg tega mora izboljšanje vojaške mobilnosti v EU upoštevati grožnje, ki so hibridne narave. Zato bi bilo treba o razsežnosti vojaške mobilnosti razmisliti pri izvajanju zadevnih predlogov iz skupnega okvira za preprečevanje hibridnih groženj</w:t>
      </w:r>
      <w:r>
        <w:rPr>
          <w:rStyle w:val="FootnoteReference"/>
          <w:noProof/>
        </w:rPr>
        <w:footnoteReference w:id="17"/>
      </w:r>
      <w:r>
        <w:rPr>
          <w:noProof/>
        </w:rPr>
        <w:t>.</w:t>
      </w:r>
    </w:p>
    <w:p w:rsidR="00FF70F3" w:rsidRDefault="0082269C">
      <w:pPr>
        <w:pStyle w:val="Text1"/>
        <w:keepNext/>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D9D9D9" w:themeFill="background1" w:themeFillShade="D9"/>
        <w:spacing w:before="60" w:after="60"/>
        <w:ind w:left="0"/>
        <w:jc w:val="both"/>
        <w:rPr>
          <w:rFonts w:ascii="Times New Roman" w:hAnsi="Times New Roman" w:cs="Times New Roman"/>
          <w:b/>
          <w:noProof/>
          <w:color w:val="auto"/>
          <w:sz w:val="24"/>
          <w:szCs w:val="24"/>
        </w:rPr>
      </w:pPr>
      <w:r>
        <w:rPr>
          <w:rFonts w:ascii="Times New Roman" w:hAnsi="Times New Roman"/>
          <w:b/>
          <w:noProof/>
          <w:color w:val="auto"/>
          <w:sz w:val="24"/>
        </w:rPr>
        <w:t>Ključni ukrepi na ravni EU</w:t>
      </w:r>
    </w:p>
    <w:p w:rsidR="00FF70F3" w:rsidRDefault="0082269C">
      <w:pPr>
        <w:pStyle w:val="Text1"/>
        <w:keepLines/>
        <w:numPr>
          <w:ilvl w:val="0"/>
          <w:numId w:val="10"/>
        </w:numPr>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D9D9D9" w:themeFill="background1" w:themeFillShade="D9"/>
        <w:spacing w:before="60" w:after="60"/>
        <w:jc w:val="both"/>
        <w:rPr>
          <w:rFonts w:ascii="Times New Roman" w:hAnsi="Times New Roman" w:cs="Times New Roman"/>
          <w:noProof/>
          <w:color w:val="auto"/>
          <w:sz w:val="24"/>
          <w:szCs w:val="24"/>
        </w:rPr>
      </w:pPr>
      <w:r>
        <w:rPr>
          <w:rFonts w:ascii="Times New Roman" w:hAnsi="Times New Roman"/>
          <w:noProof/>
          <w:color w:val="auto"/>
          <w:sz w:val="24"/>
        </w:rPr>
        <w:t>Da bi ugotovila možne dodatne vrste ukrepov, bo Evropska obrambna agencija do pomladi 2019 opravila raziskavo o vseh teh vprašanjih, pri čemer bo vključila pristojne organe držav članic in službe Komisije ter Evropsko službo za zunanje delovanje/Vojaški štab EU.</w:t>
      </w:r>
    </w:p>
    <w:p w:rsidR="00FF70F3" w:rsidRDefault="0082269C">
      <w:pPr>
        <w:pStyle w:val="Text1"/>
        <w:keepLines/>
        <w:numPr>
          <w:ilvl w:val="0"/>
          <w:numId w:val="10"/>
        </w:numPr>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D9D9D9" w:themeFill="background1" w:themeFillShade="D9"/>
        <w:spacing w:before="60" w:after="60"/>
        <w:jc w:val="both"/>
        <w:rPr>
          <w:rFonts w:ascii="Times New Roman" w:hAnsi="Times New Roman" w:cs="Times New Roman"/>
          <w:noProof/>
          <w:color w:val="auto"/>
          <w:sz w:val="24"/>
          <w:szCs w:val="24"/>
        </w:rPr>
      </w:pPr>
      <w:r>
        <w:rPr>
          <w:rFonts w:ascii="Times New Roman" w:hAnsi="Times New Roman"/>
          <w:noProof/>
          <w:color w:val="auto"/>
          <w:sz w:val="24"/>
        </w:rPr>
        <w:t>V teku: pri izvajanju skupnega okvira za preprečevanje hibridnih groženj bo posebna pozornost namenjena razsežnosti vojaške mobilnosti, zlasti glede obveščevalne analizne zmogljivosti (hibridna fuzijska celica), odločanja v primeru groženj in odpornosti kritične infrastrukture.</w:t>
      </w:r>
    </w:p>
    <w:p w:rsidR="00FF70F3" w:rsidRDefault="00FF70F3">
      <w:pPr>
        <w:pStyle w:val="Briefingtext"/>
        <w:spacing w:after="200" w:line="276" w:lineRule="auto"/>
        <w:ind w:left="357"/>
        <w:rPr>
          <w:rStyle w:val="Aucun"/>
          <w:rFonts w:ascii="Times New Roman" w:hAnsi="Times New Roman" w:cs="Times New Roman"/>
          <w:noProof/>
          <w:color w:val="auto"/>
          <w:sz w:val="2"/>
          <w:szCs w:val="2"/>
          <w:u w:color="1F497D"/>
        </w:rPr>
      </w:pPr>
    </w:p>
    <w:p w:rsidR="00FF70F3" w:rsidRDefault="0082269C">
      <w:pPr>
        <w:pStyle w:val="Briefingtext"/>
        <w:numPr>
          <w:ilvl w:val="0"/>
          <w:numId w:val="10"/>
        </w:numPr>
        <w:pBdr>
          <w:top w:val="single" w:sz="4" w:space="1" w:color="auto"/>
          <w:left w:val="single" w:sz="4" w:space="1" w:color="auto"/>
          <w:bottom w:val="single" w:sz="4" w:space="1" w:color="auto"/>
          <w:right w:val="single" w:sz="4" w:space="1" w:color="auto"/>
        </w:pBdr>
        <w:shd w:val="clear" w:color="auto" w:fill="D9D9D9" w:themeFill="background1" w:themeFillShade="D9"/>
        <w:spacing w:before="60" w:after="60" w:line="276" w:lineRule="auto"/>
        <w:rPr>
          <w:rFonts w:ascii="Times New Roman" w:hAnsi="Times New Roman" w:cs="Times New Roman"/>
          <w:noProof/>
          <w:color w:val="auto"/>
          <w:sz w:val="24"/>
          <w:szCs w:val="24"/>
        </w:rPr>
      </w:pPr>
      <w:r>
        <w:rPr>
          <w:rFonts w:ascii="Times New Roman" w:hAnsi="Times New Roman"/>
          <w:b/>
          <w:noProof/>
          <w:color w:val="auto"/>
          <w:sz w:val="24"/>
        </w:rPr>
        <w:lastRenderedPageBreak/>
        <w:t>Države članice EU so pozvane,</w:t>
      </w:r>
      <w:r>
        <w:rPr>
          <w:rFonts w:ascii="Times New Roman" w:hAnsi="Times New Roman"/>
          <w:noProof/>
          <w:color w:val="auto"/>
          <w:sz w:val="24"/>
        </w:rPr>
        <w:t xml:space="preserve"> da preučijo sporazum o statusu sil EU in njegovo izvajanje v povezavi z vojaško mobilnostjo, ko bo začel veljati.</w:t>
      </w:r>
    </w:p>
    <w:p w:rsidR="00FF70F3" w:rsidRDefault="0082269C">
      <w:pPr>
        <w:pStyle w:val="En-tte0"/>
        <w:spacing w:before="240" w:after="240"/>
        <w:ind w:left="0" w:firstLine="0"/>
        <w:rPr>
          <w:noProof/>
        </w:rPr>
      </w:pPr>
      <w:r>
        <w:rPr>
          <w:noProof/>
        </w:rPr>
        <w:t>3.</w:t>
      </w:r>
      <w:r>
        <w:rPr>
          <w:noProof/>
        </w:rPr>
        <w:tab/>
        <w:t>Proračunske posledice</w:t>
      </w:r>
    </w:p>
    <w:p w:rsidR="00FF70F3" w:rsidRDefault="0082269C">
      <w:pPr>
        <w:pStyle w:val="Text1"/>
        <w:ind w:left="0"/>
        <w:jc w:val="both"/>
        <w:rPr>
          <w:rFonts w:ascii="Times New Roman" w:hAnsi="Times New Roman" w:cs="Times New Roman"/>
          <w:noProof/>
          <w:sz w:val="24"/>
          <w:szCs w:val="24"/>
        </w:rPr>
      </w:pPr>
      <w:r>
        <w:rPr>
          <w:rFonts w:ascii="Times New Roman" w:hAnsi="Times New Roman"/>
          <w:noProof/>
          <w:sz w:val="24"/>
        </w:rPr>
        <w:t>Ta akcijski načrt razen morebitnega financiranja prihodnje infrastrukture z dvojno rabo, kot je opisano v poglavju 2.2 zgoraj, ne vpliva na proračun EU. V zvezi s tem se bo možna dodatna finančna podpora EU za izvajanje projektov z dvojno rabo upoštevala v prihodnjem predlogu Komisije za večletni finančni okvir.</w:t>
      </w:r>
    </w:p>
    <w:p w:rsidR="00FF70F3" w:rsidRDefault="0082269C">
      <w:pPr>
        <w:pStyle w:val="En-tte0"/>
        <w:spacing w:before="240" w:after="240"/>
        <w:ind w:left="0" w:firstLine="0"/>
        <w:rPr>
          <w:noProof/>
        </w:rPr>
      </w:pPr>
      <w:r>
        <w:rPr>
          <w:noProof/>
        </w:rPr>
        <w:t>4.</w:t>
      </w:r>
      <w:r>
        <w:rPr>
          <w:noProof/>
        </w:rPr>
        <w:tab/>
        <w:t>Nadaljnji koraki</w:t>
      </w:r>
    </w:p>
    <w:p w:rsidR="00FF70F3" w:rsidRDefault="0082269C">
      <w:pPr>
        <w:pStyle w:val="Text1"/>
        <w:spacing w:after="0"/>
        <w:ind w:left="0"/>
        <w:jc w:val="both"/>
        <w:rPr>
          <w:rFonts w:ascii="Times New Roman" w:hAnsi="Times New Roman" w:cs="Times New Roman"/>
          <w:noProof/>
          <w:sz w:val="24"/>
          <w:szCs w:val="24"/>
        </w:rPr>
      </w:pPr>
      <w:r>
        <w:rPr>
          <w:rFonts w:ascii="Times New Roman" w:hAnsi="Times New Roman"/>
          <w:noProof/>
          <w:sz w:val="24"/>
        </w:rPr>
        <w:t>Visoka predstavnica in Komisija akcijski načrt o vojaški mobilnosti predlagata v obravnavo in potrditev državam članicam EU, kar bo omogočilo njegovo pravočasno in usklajeno izvajanje. Obravnavati bi ga bilo treba kot načrt, ki se razvija in se lahko naknadno po potrebi revidira.</w:t>
      </w:r>
    </w:p>
    <w:p w:rsidR="00FF70F3" w:rsidRDefault="0082269C">
      <w:pPr>
        <w:pStyle w:val="Text1"/>
        <w:spacing w:before="120" w:after="120"/>
        <w:ind w:left="0"/>
        <w:jc w:val="both"/>
        <w:rPr>
          <w:rFonts w:ascii="Times New Roman" w:hAnsi="Times New Roman" w:cs="Times New Roman"/>
          <w:noProof/>
          <w:sz w:val="24"/>
          <w:szCs w:val="24"/>
        </w:rPr>
      </w:pPr>
      <w:r>
        <w:rPr>
          <w:rFonts w:ascii="Times New Roman" w:hAnsi="Times New Roman"/>
          <w:noProof/>
          <w:sz w:val="24"/>
        </w:rPr>
        <w:t>Redna poročila o napredku pri izvajanju tega akcijskega načrta bosta visoka predstavnica in Komisija predstavila državam članicam, kakor bo ustrezno, pri čemer se prvo predloži poleti 2019, in sicer kot dodatek in dopolnilo letnemu poročanju Evropske obrambne agencije obrambnim ministrom držav članic EU.</w:t>
      </w:r>
    </w:p>
    <w:sectPr w:rsidR="00FF70F3">
      <w:headerReference w:type="even" r:id="rId16"/>
      <w:headerReference w:type="default" r:id="rId17"/>
      <w:footerReference w:type="even" r:id="rId18"/>
      <w:footerReference w:type="default" r:id="rId19"/>
      <w:headerReference w:type="first" r:id="rId20"/>
      <w:footerReference w:type="first" r:id="rId21"/>
      <w:pgSz w:w="11900" w:h="16840"/>
      <w:pgMar w:top="1620" w:right="1620" w:bottom="1620" w:left="1620" w:header="300" w:footer="300"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4D47D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4D47D4" w16cid:durableId="1E48657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0F3" w:rsidRDefault="0082269C">
      <w:r>
        <w:separator/>
      </w:r>
    </w:p>
  </w:endnote>
  <w:endnote w:type="continuationSeparator" w:id="0">
    <w:p w:rsidR="00FF70F3" w:rsidRDefault="00822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0F3" w:rsidRDefault="00FF70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0F3" w:rsidRDefault="00021BA8">
    <w:pPr>
      <w:pStyle w:val="FooterCoverPage"/>
      <w:rPr>
        <w:rFonts w:ascii="Arial" w:hAnsi="Arial" w:cs="Arial"/>
        <w:b/>
        <w:sz w:val="48"/>
      </w:rPr>
    </w:pPr>
    <w:r>
      <w:rPr>
        <w:rFonts w:ascii="Arial" w:hAnsi="Arial" w:cs="Arial"/>
        <w:b/>
        <w:sz w:val="48"/>
      </w:rPr>
      <w:tab/>
    </w:r>
    <w:r w:rsidR="0082269C">
      <w:rPr>
        <w:rFonts w:ascii="Arial" w:hAnsi="Arial" w:cs="Arial"/>
        <w:b/>
        <w:sz w:val="48"/>
      </w:rPr>
      <w:t>SL</w:t>
    </w:r>
    <w:r w:rsidR="0082269C">
      <w:rPr>
        <w:rFonts w:ascii="Arial" w:hAnsi="Arial" w:cs="Arial"/>
        <w:b/>
        <w:sz w:val="48"/>
      </w:rPr>
      <w:tab/>
    </w:r>
    <w:r w:rsidR="0082269C">
      <w:rPr>
        <w:rFonts w:ascii="Arial" w:hAnsi="Arial" w:cs="Arial"/>
        <w:b/>
        <w:sz w:val="48"/>
      </w:rPr>
      <w:tab/>
    </w:r>
    <w:r w:rsidR="0082269C">
      <w:tab/>
    </w:r>
    <w:proofErr w:type="spellStart"/>
    <w:r w:rsidR="0082269C">
      <w:rPr>
        <w:rFonts w:ascii="Arial" w:hAnsi="Arial" w:cs="Arial"/>
        <w:b/>
        <w:sz w:val="48"/>
      </w:rPr>
      <w:t>SL</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0F3" w:rsidRDefault="00FF70F3">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0F3" w:rsidRDefault="00FF70F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995311"/>
      <w:docPartObj>
        <w:docPartGallery w:val="Page Numbers (Bottom of Page)"/>
        <w:docPartUnique/>
      </w:docPartObj>
    </w:sdtPr>
    <w:sdtEndPr>
      <w:rPr>
        <w:noProof/>
      </w:rPr>
    </w:sdtEndPr>
    <w:sdtContent>
      <w:p w:rsidR="00FF70F3" w:rsidRDefault="0082269C">
        <w:pPr>
          <w:pStyle w:val="Footer"/>
          <w:jc w:val="center"/>
        </w:pPr>
        <w:r>
          <w:fldChar w:fldCharType="begin"/>
        </w:r>
        <w:r>
          <w:instrText xml:space="preserve"> PAGE   \* MERGEFORMAT </w:instrText>
        </w:r>
        <w:r>
          <w:fldChar w:fldCharType="separate"/>
        </w:r>
        <w:r w:rsidR="00021BA8">
          <w:rPr>
            <w:noProof/>
          </w:rPr>
          <w:t>5</w:t>
        </w:r>
        <w:r>
          <w:rPr>
            <w:noProof/>
          </w:rPr>
          <w:fldChar w:fldCharType="end"/>
        </w:r>
      </w:p>
    </w:sdtContent>
  </w:sdt>
  <w:p w:rsidR="00FF70F3" w:rsidRDefault="00FF70F3">
    <w:pPr>
      <w:pStyle w:val="Footer"/>
      <w:tabs>
        <w:tab w:val="clear" w:pos="9071"/>
        <w:tab w:val="clear" w:pos="9921"/>
        <w:tab w:val="right" w:pos="8593"/>
        <w:tab w:val="right" w:pos="8593"/>
      </w:tabs>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0F3" w:rsidRDefault="00FF70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0F3" w:rsidRDefault="0082269C">
      <w:r>
        <w:separator/>
      </w:r>
    </w:p>
  </w:footnote>
  <w:footnote w:type="continuationSeparator" w:id="0">
    <w:p w:rsidR="00FF70F3" w:rsidRDefault="0082269C">
      <w:r>
        <w:continuationSeparator/>
      </w:r>
    </w:p>
  </w:footnote>
  <w:footnote w:type="continuationNotice" w:id="1">
    <w:p w:rsidR="00FF70F3" w:rsidRDefault="00FF70F3"/>
  </w:footnote>
  <w:footnote w:id="2">
    <w:p w:rsidR="00FF70F3" w:rsidRDefault="0082269C">
      <w:pPr>
        <w:pStyle w:val="FootnoteText"/>
        <w:spacing w:after="0" w:line="240" w:lineRule="auto"/>
        <w:ind w:left="360" w:hanging="360"/>
        <w:jc w:val="both"/>
        <w:rPr>
          <w:rFonts w:ascii="Times New Roman" w:hAnsi="Times New Roman" w:cs="Times New Roman"/>
          <w:lang w:val="nb-NO"/>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Stanje v Uniji 2017, 13. septembra 2017: </w:t>
      </w:r>
      <w:hyperlink r:id="rId1">
        <w:r>
          <w:rPr>
            <w:rStyle w:val="Hyperlink"/>
            <w:rFonts w:ascii="Times New Roman" w:hAnsi="Times New Roman"/>
          </w:rPr>
          <w:t>http://europa.eu/rapid/press-release_SPEECH-17-3165_sl.htm.</w:t>
        </w:r>
      </w:hyperlink>
      <w:r>
        <w:rPr>
          <w:rFonts w:ascii="Times New Roman" w:hAnsi="Times New Roman"/>
        </w:rPr>
        <w:t xml:space="preserve"> </w:t>
      </w:r>
    </w:p>
  </w:footnote>
  <w:footnote w:id="3">
    <w:p w:rsidR="00FF70F3" w:rsidRDefault="0082269C">
      <w:pPr>
        <w:pStyle w:val="FootnoteText"/>
        <w:spacing w:after="0" w:line="240" w:lineRule="auto"/>
        <w:ind w:left="360" w:hanging="360"/>
        <w:jc w:val="both"/>
        <w:rPr>
          <w:rFonts w:ascii="Times New Roman" w:hAnsi="Times New Roman" w:cs="Times New Roman"/>
          <w:lang w:val="nb-NO"/>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Globalna strategiji za zunanjo in varnostno politiko Evropske unije, Sklepi sveta za zunanje zadeve z dne 14. novembra 2016.</w:t>
      </w:r>
    </w:p>
  </w:footnote>
  <w:footnote w:id="4">
    <w:p w:rsidR="00FF70F3" w:rsidRDefault="0082269C">
      <w:pPr>
        <w:pStyle w:val="FootnoteText"/>
        <w:spacing w:after="0" w:line="240" w:lineRule="auto"/>
        <w:ind w:left="360" w:hanging="360"/>
        <w:rPr>
          <w:rFonts w:ascii="Times New Roman" w:hAnsi="Times New Roman" w:cs="Times New Roman"/>
          <w:lang w:val="fr-BE"/>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Člen 42(7) PEU.</w:t>
      </w:r>
    </w:p>
  </w:footnote>
  <w:footnote w:id="5">
    <w:p w:rsidR="00FF70F3" w:rsidRDefault="0082269C">
      <w:pPr>
        <w:pStyle w:val="FootnoteText"/>
        <w:spacing w:after="0" w:line="240" w:lineRule="auto"/>
        <w:ind w:left="360" w:hanging="360"/>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http://www.consilium.europa.eu/media/32000/st14866en17.pdf</w:t>
      </w:r>
    </w:p>
  </w:footnote>
  <w:footnote w:id="6">
    <w:p w:rsidR="00FF70F3" w:rsidRDefault="0082269C">
      <w:pPr>
        <w:pStyle w:val="FootnoteText"/>
        <w:spacing w:after="0" w:line="240" w:lineRule="auto"/>
        <w:ind w:left="360" w:hanging="360"/>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2">
        <w:r>
          <w:rPr>
            <w:rStyle w:val="Hyperlink"/>
            <w:rFonts w:ascii="Times New Roman" w:hAnsi="Times New Roman"/>
          </w:rPr>
          <w:t>http://www.consilium.europa.eu/media/33064/council-recommendation.pdf</w:t>
        </w:r>
      </w:hyperlink>
    </w:p>
    <w:p w:rsidR="00FF70F3" w:rsidRDefault="0082269C">
      <w:pPr>
        <w:pStyle w:val="FootnoteText"/>
        <w:spacing w:after="0" w:line="240" w:lineRule="auto"/>
        <w:ind w:left="360" w:hanging="360"/>
        <w:rPr>
          <w:rFonts w:ascii="Times New Roman" w:hAnsi="Times New Roman" w:cs="Times New Roman"/>
        </w:rPr>
      </w:pPr>
      <w:r w:rsidRPr="0082269C">
        <w:rPr>
          <w:rStyle w:val="Hyperlink"/>
          <w:rFonts w:ascii="Times New Roman" w:hAnsi="Times New Roman"/>
          <w:u w:val="none"/>
        </w:rPr>
        <w:tab/>
      </w:r>
      <w:r>
        <w:rPr>
          <w:rStyle w:val="Hyperlink"/>
          <w:rFonts w:ascii="Times New Roman" w:hAnsi="Times New Roman"/>
        </w:rPr>
        <w:t>http://data.consilium.europa.eu/doc/document/ST-6393-2018-INIT/sl/pdf</w:t>
      </w:r>
    </w:p>
  </w:footnote>
  <w:footnote w:id="7">
    <w:p w:rsidR="00FF70F3" w:rsidRDefault="0082269C">
      <w:pPr>
        <w:pStyle w:val="FootnoteText"/>
        <w:spacing w:after="0" w:line="240" w:lineRule="auto"/>
        <w:ind w:left="360" w:hanging="360"/>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http://data.consilium.europa.eu/doc/document/ST-6588-2018-REV-1/sl/pdf</w:t>
      </w:r>
    </w:p>
  </w:footnote>
  <w:footnote w:id="8">
    <w:p w:rsidR="00FF70F3" w:rsidRDefault="0082269C">
      <w:pPr>
        <w:pStyle w:val="FootnoteText"/>
        <w:spacing w:after="0" w:line="240" w:lineRule="auto"/>
        <w:ind w:left="360" w:hanging="360"/>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3">
        <w:r>
          <w:rPr>
            <w:rStyle w:val="Hyperlink"/>
            <w:rFonts w:ascii="Times New Roman" w:hAnsi="Times New Roman"/>
            <w:u w:val="none"/>
          </w:rPr>
          <w:t>http://www.consilium.europa.eu/media/21481/nato-eu-declaration-8-july-en-final.pdf</w:t>
        </w:r>
      </w:hyperlink>
    </w:p>
    <w:p w:rsidR="00FF70F3" w:rsidRDefault="0082269C">
      <w:pPr>
        <w:pStyle w:val="FootnoteText"/>
        <w:spacing w:after="0" w:line="240" w:lineRule="auto"/>
        <w:ind w:left="360" w:firstLine="0"/>
        <w:rPr>
          <w:rFonts w:ascii="Times New Roman" w:hAnsi="Times New Roman" w:cs="Times New Roman"/>
        </w:rPr>
      </w:pPr>
      <w:r>
        <w:rPr>
          <w:rFonts w:ascii="Times New Roman" w:hAnsi="Times New Roman"/>
        </w:rPr>
        <w:t>http://www.consilium.europa.eu/media/31947/st14802en17.pdf</w:t>
      </w:r>
    </w:p>
  </w:footnote>
  <w:footnote w:id="9">
    <w:p w:rsidR="00FF70F3" w:rsidRDefault="0082269C">
      <w:pPr>
        <w:pStyle w:val="FootnoteText"/>
        <w:spacing w:after="0" w:line="240" w:lineRule="auto"/>
        <w:ind w:left="360" w:hanging="360"/>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http://www.consilium.europa.eu/media/32204/14-final-conclusions-rev1-en.pdf</w:t>
      </w:r>
    </w:p>
  </w:footnote>
  <w:footnote w:id="10">
    <w:p w:rsidR="00FF70F3" w:rsidRDefault="0082269C">
      <w:pPr>
        <w:pStyle w:val="FootnoteText"/>
        <w:spacing w:after="0" w:line="240" w:lineRule="auto"/>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4">
        <w:r>
          <w:rPr>
            <w:rStyle w:val="Hyperlink"/>
            <w:rFonts w:ascii="Times New Roman" w:hAnsi="Times New Roman"/>
            <w:u w:val="none"/>
          </w:rPr>
          <w:t>https://eeas.europa.eu/sites/eeas/files/joint_communication_to_the_european_parliament_and_the_</w:t>
        </w:r>
      </w:hyperlink>
      <w:r>
        <w:rPr>
          <w:rFonts w:ascii="Times New Roman" w:hAnsi="Times New Roman"/>
        </w:rPr>
        <w:t xml:space="preserve"> </w:t>
      </w:r>
      <w:proofErr w:type="spellStart"/>
      <w:r>
        <w:rPr>
          <w:rFonts w:ascii="Times New Roman" w:hAnsi="Times New Roman"/>
        </w:rPr>
        <w:t>council</w:t>
      </w:r>
      <w:proofErr w:type="spellEnd"/>
      <w:r>
        <w:rPr>
          <w:rFonts w:ascii="Times New Roman" w:hAnsi="Times New Roman"/>
        </w:rPr>
        <w:t>_-_</w:t>
      </w:r>
      <w:proofErr w:type="spellStart"/>
      <w:r>
        <w:rPr>
          <w:rFonts w:ascii="Times New Roman" w:hAnsi="Times New Roman"/>
        </w:rPr>
        <w:t>improving</w:t>
      </w:r>
      <w:proofErr w:type="spellEnd"/>
      <w:r>
        <w:rPr>
          <w:rFonts w:ascii="Times New Roman" w:hAnsi="Times New Roman"/>
        </w:rPr>
        <w:t>_</w:t>
      </w:r>
      <w:proofErr w:type="spellStart"/>
      <w:r>
        <w:rPr>
          <w:rFonts w:ascii="Times New Roman" w:hAnsi="Times New Roman"/>
        </w:rPr>
        <w:t>military</w:t>
      </w:r>
      <w:proofErr w:type="spellEnd"/>
      <w:r>
        <w:rPr>
          <w:rFonts w:ascii="Times New Roman" w:hAnsi="Times New Roman"/>
        </w:rPr>
        <w:t>_</w:t>
      </w:r>
      <w:proofErr w:type="spellStart"/>
      <w:r>
        <w:rPr>
          <w:rFonts w:ascii="Times New Roman" w:hAnsi="Times New Roman"/>
        </w:rPr>
        <w:t>mobility</w:t>
      </w:r>
      <w:proofErr w:type="spellEnd"/>
      <w:r>
        <w:rPr>
          <w:rFonts w:ascii="Times New Roman" w:hAnsi="Times New Roman"/>
        </w:rPr>
        <w:t>_in_</w:t>
      </w:r>
      <w:proofErr w:type="spellStart"/>
      <w:r>
        <w:rPr>
          <w:rFonts w:ascii="Times New Roman" w:hAnsi="Times New Roman"/>
        </w:rPr>
        <w:t>the</w:t>
      </w:r>
      <w:proofErr w:type="spellEnd"/>
      <w:r>
        <w:rPr>
          <w:rFonts w:ascii="Times New Roman" w:hAnsi="Times New Roman"/>
        </w:rPr>
        <w:t>_</w:t>
      </w:r>
      <w:proofErr w:type="spellStart"/>
      <w:r>
        <w:rPr>
          <w:rFonts w:ascii="Times New Roman" w:hAnsi="Times New Roman"/>
        </w:rPr>
        <w:t>european</w:t>
      </w:r>
      <w:proofErr w:type="spellEnd"/>
      <w:r>
        <w:rPr>
          <w:rFonts w:ascii="Times New Roman" w:hAnsi="Times New Roman"/>
        </w:rPr>
        <w:t>_</w:t>
      </w:r>
      <w:proofErr w:type="spellStart"/>
      <w:r>
        <w:rPr>
          <w:rFonts w:ascii="Times New Roman" w:hAnsi="Times New Roman"/>
        </w:rPr>
        <w:t>union.pdf</w:t>
      </w:r>
      <w:proofErr w:type="spellEnd"/>
    </w:p>
  </w:footnote>
  <w:footnote w:id="11">
    <w:p w:rsidR="00FF70F3" w:rsidRDefault="0082269C">
      <w:pPr>
        <w:pStyle w:val="FootnoteText"/>
        <w:spacing w:after="0"/>
        <w:ind w:left="360" w:hanging="36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Projektno skupino za premike in prevoz sestavljajo strokovnjaki iz držav članic EU, da bi opredelili morebitna področja sodelovanja, ocenili izvedljivost dejavnosti sodelovanja in povečali doslednost vojaških potreb. Projektna skupina za premike in prevoz je platforma, prek katere si države članice EU izmenjujejo informacije o vseh tekočih dejavnostih na področju premikov in prevoza, da bi izkoristile tekoče pobude, ne da bi si podvajale delo.</w:t>
      </w:r>
    </w:p>
  </w:footnote>
  <w:footnote w:id="12">
    <w:p w:rsidR="00FF70F3" w:rsidRDefault="0082269C">
      <w:pPr>
        <w:pStyle w:val="FootnoteText"/>
        <w:spacing w:after="0"/>
        <w:ind w:left="360" w:hanging="36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5">
        <w:r>
          <w:rPr>
            <w:rStyle w:val="Hyperlink"/>
            <w:rFonts w:ascii="Times New Roman" w:hAnsi="Times New Roman"/>
          </w:rPr>
          <w:t>https://www.eda.europa.eu/what-we-do/activities/activities-search/eu-multimodal-transport-hubs</w:t>
        </w:r>
      </w:hyperlink>
      <w:r>
        <w:rPr>
          <w:rFonts w:ascii="Times New Roman" w:hAnsi="Times New Roman"/>
        </w:rPr>
        <w:t xml:space="preserve"> </w:t>
      </w:r>
    </w:p>
  </w:footnote>
  <w:footnote w:id="13">
    <w:p w:rsidR="00FF70F3" w:rsidRDefault="0082269C">
      <w:pPr>
        <w:pStyle w:val="FootnoteText"/>
        <w:spacing w:after="0"/>
        <w:ind w:left="360" w:hanging="36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6">
        <w:r>
          <w:rPr>
            <w:rStyle w:val="Hyperlink"/>
            <w:rFonts w:ascii="Times New Roman" w:hAnsi="Times New Roman"/>
          </w:rPr>
          <w:t>https://www.eda.europa.eu/docs/default-source/documents/dic-ip.pdf</w:t>
        </w:r>
      </w:hyperlink>
      <w:r>
        <w:rPr>
          <w:rFonts w:ascii="Times New Roman" w:hAnsi="Times New Roman"/>
        </w:rPr>
        <w:t xml:space="preserve"> </w:t>
      </w:r>
    </w:p>
  </w:footnote>
  <w:footnote w:id="14">
    <w:p w:rsidR="00FF70F3" w:rsidRDefault="0082269C">
      <w:pPr>
        <w:pStyle w:val="FootnoteText"/>
        <w:spacing w:after="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Style w:val="Aucun"/>
          <w:rFonts w:ascii="Times New Roman" w:hAnsi="Times New Roman"/>
        </w:rPr>
        <w:t>Uredba (EU) št. 1315/2013 Evropskega parlamenta in Sveta z dne 11. decembra 2013 o smernicah Unije za razvoj vseevropskega prometnega omrežja in razveljavitvi Sklepa št. 661/2010/EU, UL L 348, 20.12.2013, str. 1.</w:t>
      </w:r>
    </w:p>
  </w:footnote>
  <w:footnote w:id="15">
    <w:p w:rsidR="00FF70F3" w:rsidRDefault="0082269C">
      <w:pPr>
        <w:pStyle w:val="FootnoteText"/>
        <w:spacing w:after="0" w:line="240" w:lineRule="auto"/>
        <w:rPr>
          <w:rFonts w:ascii="Times New Roman" w:hAnsi="Times New Roman" w:cs="Times New Roman"/>
          <w:lang w:val="sv-SE"/>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Nizozemska, Belgija, Nemčija, Poljska, Litva, Latvija, Estonija in Finska.</w:t>
      </w:r>
    </w:p>
  </w:footnote>
  <w:footnote w:id="16">
    <w:p w:rsidR="00FF70F3" w:rsidRDefault="0082269C">
      <w:pPr>
        <w:pStyle w:val="FootnoteText"/>
        <w:spacing w:after="0" w:line="240" w:lineRule="auto"/>
        <w:ind w:left="360" w:hanging="36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Delegirana uredba Komisije (EU) 2015/2446 z dne 28. julija 2015 o dopolnitvi Uredbe (EU) št. 952/2013 Evropskega parlamenta in Sveta o podrobnih pravilih v zvezi z nekaterimi določbami carinskega zakonika Unije (UL L 343, 29.12.2015, str. 1) in Izvedbena uredba Komisije (EU) 2015/2447 z dne 24. novembra 2015 o določitvi podrobnih pravil za izvajanje nekaterih določb Uredbe (EU) št. 952/2013 Evropskega parlamenta in Sveta o carinskem zakoniku Unije (UL L 343, 29.12.2015,  str. 558).</w:t>
      </w:r>
    </w:p>
  </w:footnote>
  <w:footnote w:id="17">
    <w:p w:rsidR="00FF70F3" w:rsidRDefault="0082269C">
      <w:pPr>
        <w:pStyle w:val="FootnoteText"/>
      </w:pPr>
      <w:r>
        <w:rPr>
          <w:rStyle w:val="FootnoteReference"/>
        </w:rPr>
        <w:footnoteRef/>
      </w:r>
      <w:r>
        <w:t xml:space="preserve"> </w:t>
      </w:r>
      <w:hyperlink r:id="rId7">
        <w:r>
          <w:rPr>
            <w:rStyle w:val="Hyperlink"/>
          </w:rPr>
          <w:t>http://eur-lex.europa.eu/legal-content/SL/TXT/?uri=CELEX:52016JC0018</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0F3" w:rsidRDefault="00FF70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0F3" w:rsidRDefault="00FF70F3">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0F3" w:rsidRDefault="00FF70F3">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0F3" w:rsidRDefault="00FF70F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0F3" w:rsidRDefault="00FF70F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0F3" w:rsidRDefault="00FF70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69CC"/>
    <w:multiLevelType w:val="hybridMultilevel"/>
    <w:tmpl w:val="11DC9056"/>
    <w:styleLink w:val="Style12import"/>
    <w:lvl w:ilvl="0" w:tplc="9800B0E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4A92425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AAA640A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1960FC5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BB48334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8368D36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F04904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D4660C2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4A5E71D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
    <w:nsid w:val="061A4B70"/>
    <w:multiLevelType w:val="hybridMultilevel"/>
    <w:tmpl w:val="7426652C"/>
    <w:styleLink w:val="Style2import"/>
    <w:lvl w:ilvl="0" w:tplc="AFB2EC6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A1E2F54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E60584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0D6F8C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9303F8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7AE805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6FCBF9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93E0B8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550674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0F6E2E1F"/>
    <w:multiLevelType w:val="hybridMultilevel"/>
    <w:tmpl w:val="1C80BB92"/>
    <w:styleLink w:val="Style6import"/>
    <w:lvl w:ilvl="0" w:tplc="529EEA5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94A9FB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E4A461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394F06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C826FF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E26F8E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06E1B3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354EC7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228281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0FA31AAD"/>
    <w:multiLevelType w:val="hybridMultilevel"/>
    <w:tmpl w:val="0AC6A03A"/>
    <w:styleLink w:val="Style7import"/>
    <w:lvl w:ilvl="0" w:tplc="7682C82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39B2B43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868379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BB870D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4AC1D2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276DBA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3DEE6A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3002B3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AFAAEB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22B64FFB"/>
    <w:multiLevelType w:val="hybridMultilevel"/>
    <w:tmpl w:val="1F682B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54B6130"/>
    <w:multiLevelType w:val="hybridMultilevel"/>
    <w:tmpl w:val="64101E0C"/>
    <w:lvl w:ilvl="0" w:tplc="3C70EEF2">
      <w:start w:val="1"/>
      <w:numFmt w:val="bullet"/>
      <w:lvlText w:val="•"/>
      <w:lvlJc w:val="left"/>
      <w:pPr>
        <w:tabs>
          <w:tab w:val="num" w:pos="720"/>
        </w:tabs>
        <w:ind w:left="720" w:hanging="360"/>
      </w:pPr>
      <w:rPr>
        <w:rFonts w:ascii="Arial" w:hAnsi="Arial" w:hint="default"/>
      </w:rPr>
    </w:lvl>
    <w:lvl w:ilvl="1" w:tplc="5F50EC14">
      <w:numFmt w:val="bullet"/>
      <w:lvlText w:val="-"/>
      <w:lvlJc w:val="left"/>
      <w:pPr>
        <w:tabs>
          <w:tab w:val="num" w:pos="1440"/>
        </w:tabs>
        <w:ind w:left="1440" w:hanging="360"/>
      </w:pPr>
      <w:rPr>
        <w:rFonts w:ascii="Arial Narrow" w:hAnsi="Arial Narrow" w:hint="default"/>
      </w:rPr>
    </w:lvl>
    <w:lvl w:ilvl="2" w:tplc="3DCC2E92" w:tentative="1">
      <w:start w:val="1"/>
      <w:numFmt w:val="bullet"/>
      <w:lvlText w:val="•"/>
      <w:lvlJc w:val="left"/>
      <w:pPr>
        <w:tabs>
          <w:tab w:val="num" w:pos="2160"/>
        </w:tabs>
        <w:ind w:left="2160" w:hanging="360"/>
      </w:pPr>
      <w:rPr>
        <w:rFonts w:ascii="Arial" w:hAnsi="Arial" w:hint="default"/>
      </w:rPr>
    </w:lvl>
    <w:lvl w:ilvl="3" w:tplc="EF58A2A4" w:tentative="1">
      <w:start w:val="1"/>
      <w:numFmt w:val="bullet"/>
      <w:lvlText w:val="•"/>
      <w:lvlJc w:val="left"/>
      <w:pPr>
        <w:tabs>
          <w:tab w:val="num" w:pos="2880"/>
        </w:tabs>
        <w:ind w:left="2880" w:hanging="360"/>
      </w:pPr>
      <w:rPr>
        <w:rFonts w:ascii="Arial" w:hAnsi="Arial" w:hint="default"/>
      </w:rPr>
    </w:lvl>
    <w:lvl w:ilvl="4" w:tplc="ECF8A952" w:tentative="1">
      <w:start w:val="1"/>
      <w:numFmt w:val="bullet"/>
      <w:lvlText w:val="•"/>
      <w:lvlJc w:val="left"/>
      <w:pPr>
        <w:tabs>
          <w:tab w:val="num" w:pos="3600"/>
        </w:tabs>
        <w:ind w:left="3600" w:hanging="360"/>
      </w:pPr>
      <w:rPr>
        <w:rFonts w:ascii="Arial" w:hAnsi="Arial" w:hint="default"/>
      </w:rPr>
    </w:lvl>
    <w:lvl w:ilvl="5" w:tplc="61A2F77E" w:tentative="1">
      <w:start w:val="1"/>
      <w:numFmt w:val="bullet"/>
      <w:lvlText w:val="•"/>
      <w:lvlJc w:val="left"/>
      <w:pPr>
        <w:tabs>
          <w:tab w:val="num" w:pos="4320"/>
        </w:tabs>
        <w:ind w:left="4320" w:hanging="360"/>
      </w:pPr>
      <w:rPr>
        <w:rFonts w:ascii="Arial" w:hAnsi="Arial" w:hint="default"/>
      </w:rPr>
    </w:lvl>
    <w:lvl w:ilvl="6" w:tplc="59FC9DEC" w:tentative="1">
      <w:start w:val="1"/>
      <w:numFmt w:val="bullet"/>
      <w:lvlText w:val="•"/>
      <w:lvlJc w:val="left"/>
      <w:pPr>
        <w:tabs>
          <w:tab w:val="num" w:pos="5040"/>
        </w:tabs>
        <w:ind w:left="5040" w:hanging="360"/>
      </w:pPr>
      <w:rPr>
        <w:rFonts w:ascii="Arial" w:hAnsi="Arial" w:hint="default"/>
      </w:rPr>
    </w:lvl>
    <w:lvl w:ilvl="7" w:tplc="D3D2C4BC" w:tentative="1">
      <w:start w:val="1"/>
      <w:numFmt w:val="bullet"/>
      <w:lvlText w:val="•"/>
      <w:lvlJc w:val="left"/>
      <w:pPr>
        <w:tabs>
          <w:tab w:val="num" w:pos="5760"/>
        </w:tabs>
        <w:ind w:left="5760" w:hanging="360"/>
      </w:pPr>
      <w:rPr>
        <w:rFonts w:ascii="Arial" w:hAnsi="Arial" w:hint="default"/>
      </w:rPr>
    </w:lvl>
    <w:lvl w:ilvl="8" w:tplc="DD967658" w:tentative="1">
      <w:start w:val="1"/>
      <w:numFmt w:val="bullet"/>
      <w:lvlText w:val="•"/>
      <w:lvlJc w:val="left"/>
      <w:pPr>
        <w:tabs>
          <w:tab w:val="num" w:pos="6480"/>
        </w:tabs>
        <w:ind w:left="6480" w:hanging="360"/>
      </w:pPr>
      <w:rPr>
        <w:rFonts w:ascii="Arial" w:hAnsi="Arial" w:hint="default"/>
      </w:rPr>
    </w:lvl>
  </w:abstractNum>
  <w:abstractNum w:abstractNumId="6">
    <w:nsid w:val="2E5956E2"/>
    <w:multiLevelType w:val="hybridMultilevel"/>
    <w:tmpl w:val="A3B6F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C42CB6"/>
    <w:multiLevelType w:val="hybridMultilevel"/>
    <w:tmpl w:val="E6B65C44"/>
    <w:styleLink w:val="Style5import"/>
    <w:lvl w:ilvl="0" w:tplc="F84AF43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4372DA4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C9466E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BF8D01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8DC57B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842CD1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DF66A9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1D62E4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976A91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3E54601D"/>
    <w:multiLevelType w:val="hybridMultilevel"/>
    <w:tmpl w:val="0128A55C"/>
    <w:lvl w:ilvl="0" w:tplc="52B8BA80">
      <w:start w:val="1"/>
      <w:numFmt w:val="bullet"/>
      <w:lvlText w:val="·"/>
      <w:lvlJc w:val="left"/>
      <w:pPr>
        <w:ind w:left="3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1EE3A38">
      <w:start w:val="1"/>
      <w:numFmt w:val="bullet"/>
      <w:lvlText w:val="o"/>
      <w:lvlJc w:val="left"/>
      <w:pPr>
        <w:ind w:left="107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57A6C24">
      <w:start w:val="1"/>
      <w:numFmt w:val="bullet"/>
      <w:lvlText w:val="▪"/>
      <w:lvlJc w:val="left"/>
      <w:pPr>
        <w:ind w:left="17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252E930">
      <w:start w:val="1"/>
      <w:numFmt w:val="bullet"/>
      <w:lvlText w:val="·"/>
      <w:lvlJc w:val="left"/>
      <w:pPr>
        <w:ind w:left="251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AB62CA8">
      <w:start w:val="1"/>
      <w:numFmt w:val="bullet"/>
      <w:lvlText w:val="o"/>
      <w:lvlJc w:val="left"/>
      <w:pPr>
        <w:ind w:left="323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29A983C">
      <w:start w:val="1"/>
      <w:numFmt w:val="bullet"/>
      <w:lvlText w:val="▪"/>
      <w:lvlJc w:val="left"/>
      <w:pPr>
        <w:ind w:left="395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9AC0C06">
      <w:start w:val="1"/>
      <w:numFmt w:val="bullet"/>
      <w:lvlText w:val="·"/>
      <w:lvlJc w:val="left"/>
      <w:pPr>
        <w:ind w:left="467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53241B8">
      <w:start w:val="1"/>
      <w:numFmt w:val="bullet"/>
      <w:lvlText w:val="o"/>
      <w:lvlJc w:val="left"/>
      <w:pPr>
        <w:ind w:left="53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D5AC5A0">
      <w:start w:val="1"/>
      <w:numFmt w:val="bullet"/>
      <w:lvlText w:val="▪"/>
      <w:lvlJc w:val="left"/>
      <w:pPr>
        <w:ind w:left="61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45DD7359"/>
    <w:multiLevelType w:val="hybridMultilevel"/>
    <w:tmpl w:val="E6EA4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D0A41F1"/>
    <w:multiLevelType w:val="hybridMultilevel"/>
    <w:tmpl w:val="01EAC4C2"/>
    <w:lvl w:ilvl="0" w:tplc="A454BE4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38A1330"/>
    <w:multiLevelType w:val="multilevel"/>
    <w:tmpl w:val="7862DCDA"/>
    <w:numStyleLink w:val="Style1import"/>
  </w:abstractNum>
  <w:abstractNum w:abstractNumId="12">
    <w:nsid w:val="58B436CE"/>
    <w:multiLevelType w:val="hybridMultilevel"/>
    <w:tmpl w:val="89CCB6E6"/>
    <w:styleLink w:val="Style3import"/>
    <w:lvl w:ilvl="0" w:tplc="411A137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2D2EA5D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93E7C5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4F2A18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A60116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1E6F4A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4FE69B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EC4178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78A51E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5A636426"/>
    <w:multiLevelType w:val="hybridMultilevel"/>
    <w:tmpl w:val="BBE032A8"/>
    <w:lvl w:ilvl="0" w:tplc="DE1A4F2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7EE99A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6205E3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1E003F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E0886C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7E477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7F08D2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942311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AB2154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69E4264B"/>
    <w:multiLevelType w:val="hybridMultilevel"/>
    <w:tmpl w:val="9E3A9144"/>
    <w:styleLink w:val="Style13import"/>
    <w:lvl w:ilvl="0" w:tplc="761209E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44A277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D842DA1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7B2CD43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2BA0152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D8BC33F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B3CE8D0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423AFEA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A1A0E6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5">
    <w:nsid w:val="6C5A7E85"/>
    <w:multiLevelType w:val="hybridMultilevel"/>
    <w:tmpl w:val="FAFACCB6"/>
    <w:styleLink w:val="Style4import"/>
    <w:lvl w:ilvl="0" w:tplc="FAE8386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3A8604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39285A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2D6F52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5E05D6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AF0302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48227B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852DEF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5CE953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nsid w:val="710F2000"/>
    <w:multiLevelType w:val="hybridMultilevel"/>
    <w:tmpl w:val="FAFACCB6"/>
    <w:numStyleLink w:val="Style4import"/>
  </w:abstractNum>
  <w:abstractNum w:abstractNumId="17">
    <w:nsid w:val="73BB11B6"/>
    <w:multiLevelType w:val="multilevel"/>
    <w:tmpl w:val="7862DCDA"/>
    <w:styleLink w:val="Style1import"/>
    <w:lvl w:ilvl="0">
      <w:start w:val="1"/>
      <w:numFmt w:val="decimal"/>
      <w:pStyle w:val="HeaderSensitivity"/>
      <w:lvlText w:val="%1."/>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pStyle w:val="Sous-section2"/>
      <w:lvlText w:val="%1.%2."/>
      <w:lvlJc w:val="left"/>
      <w:pPr>
        <w:ind w:left="1429"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8">
    <w:nsid w:val="75CF638A"/>
    <w:multiLevelType w:val="hybridMultilevel"/>
    <w:tmpl w:val="DEC27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7D16C50"/>
    <w:multiLevelType w:val="hybridMultilevel"/>
    <w:tmpl w:val="EA0080AE"/>
    <w:lvl w:ilvl="0" w:tplc="A454BE4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86F7E5D"/>
    <w:multiLevelType w:val="hybridMultilevel"/>
    <w:tmpl w:val="33B62D4E"/>
    <w:styleLink w:val="Style14import"/>
    <w:lvl w:ilvl="0" w:tplc="83665AF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F8D6C7F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0924272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0CDA5DC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0CFEE0B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B24ED9B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C572470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844A6EA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1C86C73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1">
    <w:nsid w:val="7E5427AE"/>
    <w:multiLevelType w:val="hybridMultilevel"/>
    <w:tmpl w:val="F15AA88A"/>
    <w:styleLink w:val="Style11import"/>
    <w:lvl w:ilvl="0" w:tplc="63506E6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F170F29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3434029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24D0B72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37FAD47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8D58135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F45CF8C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39E21EC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2B18AB1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7"/>
  </w:num>
  <w:num w:numId="2">
    <w:abstractNumId w:val="11"/>
  </w:num>
  <w:num w:numId="3">
    <w:abstractNumId w:val="1"/>
  </w:num>
  <w:num w:numId="4">
    <w:abstractNumId w:val="12"/>
  </w:num>
  <w:num w:numId="5">
    <w:abstractNumId w:val="15"/>
  </w:num>
  <w:num w:numId="6">
    <w:abstractNumId w:val="16"/>
  </w:num>
  <w:num w:numId="7">
    <w:abstractNumId w:val="7"/>
  </w:num>
  <w:num w:numId="8">
    <w:abstractNumId w:val="2"/>
  </w:num>
  <w:num w:numId="9">
    <w:abstractNumId w:val="3"/>
  </w:num>
  <w:num w:numId="10">
    <w:abstractNumId w:val="8"/>
  </w:num>
  <w:num w:numId="11">
    <w:abstractNumId w:val="13"/>
  </w:num>
  <w:num w:numId="12">
    <w:abstractNumId w:val="21"/>
  </w:num>
  <w:num w:numId="13">
    <w:abstractNumId w:val="0"/>
  </w:num>
  <w:num w:numId="14">
    <w:abstractNumId w:val="14"/>
  </w:num>
  <w:num w:numId="15">
    <w:abstractNumId w:val="20"/>
  </w:num>
  <w:num w:numId="16">
    <w:abstractNumId w:val="9"/>
  </w:num>
  <w:num w:numId="17">
    <w:abstractNumId w:val="18"/>
  </w:num>
  <w:num w:numId="18">
    <w:abstractNumId w:val="19"/>
  </w:num>
  <w:num w:numId="19">
    <w:abstractNumId w:val="5"/>
  </w:num>
  <w:num w:numId="20">
    <w:abstractNumId w:val="6"/>
  </w:num>
  <w:num w:numId="21">
    <w:abstractNumId w:val="10"/>
  </w:num>
  <w:num w:numId="22">
    <w:abstractNumId w:val="4"/>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assilis Tsiamis">
    <w15:presenceInfo w15:providerId="Windows Live" w15:userId="500e4b6cadaa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hideSpellingErrors/>
  <w:hideGrammaticalErrors/>
  <w:proofState w:spelling="clean" w:grammar="clean"/>
  <w:doNotTrackFormatting/>
  <w:defaultTabStop w:val="720"/>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4"/>
  </w:compat>
  <w:docVars>
    <w:docVar w:name="DocStatus" w:val="Red"/>
    <w:docVar w:name="LW_CORRIGENDUM" w:val="&lt;UNUSED&gt;"/>
    <w:docVar w:name="LW_COVERPAGE_EXISTS" w:val="True"/>
    <w:docVar w:name="LW_COVERPAGE_GUID" w:val="6BAA3CA3-809F-45C8-BE12-E7A79ADBE8A3"/>
    <w:docVar w:name="LW_COVERPAGE_TYPE" w:val="1"/>
    <w:docVar w:name="LW_CROSSREFERENCE" w:val="&lt;UNUSED&gt;"/>
    <w:docVar w:name="LW_DocType" w:val="NORMAL"/>
    <w:docVar w:name="LW_EMISSION" w:val="28.3.2018"/>
    <w:docVar w:name="LW_EMISSION_ISODATE" w:val="2018-03-28"/>
    <w:docVar w:name="LW_EMISSION_LOCATION" w:val="BRX"/>
    <w:docVar w:name="LW_EMISSION_PREFIX" w:val="Bruselj, "/>
    <w:docVar w:name="LW_EMISSION_SUFFIX" w:val="&lt;EMPTY&gt;"/>
    <w:docVar w:name="LW_ID_DOCTYPE_NONLW" w:val="CP-015"/>
    <w:docVar w:name="LW_LANGUE" w:val="SL"/>
    <w:docVar w:name="LW_LEVEL_OF_SENSITIVITY" w:val="Standard treatment"/>
    <w:docVar w:name="LW_NOM.INST" w:val="EVROPSKA KOMISIJA"/>
    <w:docVar w:name="LW_NOM.INST_JOINTDOC" w:val="VISOKI PREDSTAVNIK_x000b_UNIJE ZA ZUNANJE _x000b_ZADEVE IN_x000b_ VARNOSTNO POLITIKO"/>
    <w:docVar w:name="LW_PART_NBR" w:val="1"/>
    <w:docVar w:name="LW_PART_NBR_TOTAL" w:val="1"/>
    <w:docVar w:name="LW_REF.INST.NEW" w:val="JOIN"/>
    <w:docVar w:name="LW_REF.INST.NEW_ADOPTED" w:val="final"/>
    <w:docVar w:name="LW_REF.INST.NEW_TEXT" w:val="(2018) 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o akcijskem na\u269?rtu za voja\u353?ko mobilnost"/>
    <w:docVar w:name="LW_TYPE.DOC.CP" w:val="SKUPNO SPORO\u268?ILO EVROPSKEMU PARLAMENTU IN SVETU"/>
    <w:docVar w:name="LW_TYPE.DOC.CP.USERTEXT" w:val="&lt;EMPTY&gt;"/>
  </w:docVars>
  <w:rsids>
    <w:rsidRoot w:val="00FF70F3"/>
    <w:rsid w:val="00021BA8"/>
    <w:rsid w:val="0082269C"/>
    <w:rsid w:val="00FF70F3"/>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sl-SI" w:eastAsia="sl-SI" w:bidi="sl-SI"/>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next w:val="Text4"/>
    <w:qFormat/>
    <w:pPr>
      <w:keepNext/>
      <w:tabs>
        <w:tab w:val="left" w:pos="1920"/>
      </w:tabs>
      <w:spacing w:after="200" w:line="276" w:lineRule="auto"/>
      <w:outlineLvl w:val="3"/>
    </w:pPr>
    <w:rPr>
      <w:rFonts w:cs="Arial Unicode MS"/>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En-tte">
    <w:name w:val="En-tête"/>
    <w:pPr>
      <w:tabs>
        <w:tab w:val="right" w:pos="9020"/>
      </w:tabs>
    </w:pPr>
    <w:rPr>
      <w:rFonts w:ascii="Helvetica Neue" w:hAnsi="Helvetica Neue" w:cs="Arial Unicode MS"/>
      <w:color w:val="000000"/>
      <w:sz w:val="24"/>
      <w:szCs w:val="24"/>
    </w:rPr>
  </w:style>
  <w:style w:type="paragraph" w:styleId="Footer">
    <w:name w:val="footer"/>
    <w:link w:val="FooterChar"/>
    <w:uiPriority w:val="99"/>
    <w:pPr>
      <w:tabs>
        <w:tab w:val="center" w:pos="4535"/>
        <w:tab w:val="right" w:pos="9071"/>
        <w:tab w:val="right" w:pos="9921"/>
      </w:tabs>
      <w:spacing w:before="360"/>
    </w:pPr>
    <w:rPr>
      <w:rFonts w:cs="Arial Unicode MS"/>
      <w:color w:val="000000"/>
      <w:sz w:val="24"/>
      <w:szCs w:val="24"/>
      <w:u w:color="000000"/>
    </w:rPr>
  </w:style>
  <w:style w:type="paragraph" w:customStyle="1" w:styleId="En-tte0">
    <w:name w:val="En-tête"/>
    <w:next w:val="Text1"/>
    <w:link w:val="En-tteChar"/>
    <w:pPr>
      <w:keepNext/>
      <w:shd w:val="clear" w:color="auto" w:fill="FFFFFF"/>
      <w:tabs>
        <w:tab w:val="left" w:pos="480"/>
      </w:tabs>
      <w:spacing w:before="200" w:after="200" w:line="276" w:lineRule="auto"/>
      <w:ind w:left="482" w:hanging="482"/>
      <w:jc w:val="both"/>
      <w:outlineLvl w:val="0"/>
    </w:pPr>
    <w:rPr>
      <w:b/>
      <w:bCs/>
      <w:smallCaps/>
      <w:color w:val="000000"/>
      <w:sz w:val="24"/>
      <w:szCs w:val="24"/>
      <w:u w:color="000000"/>
    </w:rPr>
  </w:style>
  <w:style w:type="paragraph" w:customStyle="1" w:styleId="Text1">
    <w:name w:val="Text 1"/>
    <w:pPr>
      <w:spacing w:after="200" w:line="276" w:lineRule="auto"/>
      <w:ind w:left="482"/>
    </w:pPr>
    <w:rPr>
      <w:rFonts w:ascii="Calibri" w:eastAsia="Calibri" w:hAnsi="Calibri" w:cs="Calibri"/>
      <w:color w:val="000000"/>
      <w:sz w:val="22"/>
      <w:szCs w:val="22"/>
      <w:u w:color="000000"/>
    </w:rPr>
  </w:style>
  <w:style w:type="numbering" w:customStyle="1" w:styleId="Style1import">
    <w:name w:val="Style 1 importé"/>
    <w:pPr>
      <w:numPr>
        <w:numId w:val="1"/>
      </w:numPr>
    </w:pPr>
  </w:style>
  <w:style w:type="character" w:customStyle="1" w:styleId="Aucun">
    <w:name w:val="Aucun"/>
    <w:rPr>
      <w:lang w:val="sl-SI"/>
    </w:rPr>
  </w:style>
  <w:style w:type="paragraph" w:styleId="FootnoteText">
    <w:name w:val="footnote text"/>
    <w:link w:val="FootnoteTextChar"/>
    <w:uiPriority w:val="99"/>
    <w:pPr>
      <w:spacing w:after="200" w:line="276" w:lineRule="auto"/>
      <w:ind w:left="357" w:hanging="357"/>
    </w:pPr>
    <w:rPr>
      <w:rFonts w:ascii="Calibri" w:eastAsia="Calibri" w:hAnsi="Calibri" w:cs="Calibri"/>
      <w:color w:val="000000"/>
      <w:u w:color="000000"/>
    </w:rPr>
  </w:style>
  <w:style w:type="paragraph" w:customStyle="1" w:styleId="Sous-section2">
    <w:name w:val="Sous-section 2"/>
    <w:next w:val="Text2"/>
    <w:pPr>
      <w:keepNext/>
      <w:numPr>
        <w:ilvl w:val="1"/>
        <w:numId w:val="2"/>
      </w:numPr>
      <w:tabs>
        <w:tab w:val="left" w:pos="1429"/>
      </w:tabs>
      <w:spacing w:after="200" w:line="276" w:lineRule="auto"/>
      <w:jc w:val="both"/>
      <w:outlineLvl w:val="1"/>
    </w:pPr>
    <w:rPr>
      <w:b/>
      <w:bCs/>
      <w:color w:val="000000"/>
      <w:sz w:val="24"/>
      <w:szCs w:val="24"/>
      <w:u w:color="000000"/>
    </w:rPr>
  </w:style>
  <w:style w:type="paragraph" w:customStyle="1" w:styleId="Text2">
    <w:name w:val="Text 2"/>
    <w:pPr>
      <w:tabs>
        <w:tab w:val="left" w:pos="2302"/>
      </w:tabs>
      <w:spacing w:after="200" w:line="276" w:lineRule="auto"/>
      <w:ind w:left="1202"/>
    </w:pPr>
    <w:rPr>
      <w:rFonts w:ascii="Calibri" w:eastAsia="Calibri" w:hAnsi="Calibri" w:cs="Calibri"/>
      <w:color w:val="000000"/>
      <w:sz w:val="22"/>
      <w:szCs w:val="22"/>
      <w:u w:color="000000"/>
    </w:rPr>
  </w:style>
  <w:style w:type="paragraph" w:customStyle="1" w:styleId="Ss-section3">
    <w:name w:val="Ss-section 3"/>
    <w:next w:val="Corps"/>
    <w:pPr>
      <w:keepNext/>
      <w:tabs>
        <w:tab w:val="left" w:pos="720"/>
      </w:tabs>
      <w:spacing w:after="200" w:line="276" w:lineRule="auto"/>
      <w:outlineLvl w:val="2"/>
    </w:pPr>
    <w:rPr>
      <w:rFonts w:ascii="Calibri" w:eastAsia="Calibri" w:hAnsi="Calibri" w:cs="Calibri"/>
      <w:i/>
      <w:iCs/>
      <w:color w:val="000000"/>
      <w:sz w:val="22"/>
      <w:szCs w:val="22"/>
      <w:u w:color="000000"/>
    </w:rPr>
  </w:style>
  <w:style w:type="paragraph" w:customStyle="1" w:styleId="Corps">
    <w:name w:val="Corps"/>
    <w:pPr>
      <w:spacing w:after="200" w:line="276" w:lineRule="auto"/>
    </w:pPr>
    <w:rPr>
      <w:rFonts w:ascii="Calibri" w:eastAsia="Calibri" w:hAnsi="Calibri" w:cs="Calibri"/>
      <w:color w:val="000000"/>
      <w:sz w:val="22"/>
      <w:szCs w:val="22"/>
      <w:u w:color="000000"/>
    </w:rPr>
  </w:style>
  <w:style w:type="paragraph" w:customStyle="1" w:styleId="Text4">
    <w:name w:val="Text 4"/>
    <w:pPr>
      <w:tabs>
        <w:tab w:val="left" w:pos="2302"/>
      </w:tabs>
      <w:spacing w:after="200" w:line="276" w:lineRule="auto"/>
      <w:ind w:left="1202"/>
    </w:pPr>
    <w:rPr>
      <w:rFonts w:ascii="Calibri" w:eastAsia="Calibri" w:hAnsi="Calibri" w:cs="Calibri"/>
      <w:color w:val="000000"/>
      <w:sz w:val="22"/>
      <w:szCs w:val="22"/>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Style2import">
    <w:name w:val="Style 2 importé"/>
    <w:pPr>
      <w:numPr>
        <w:numId w:val="3"/>
      </w:numPr>
    </w:pPr>
  </w:style>
  <w:style w:type="numbering" w:customStyle="1" w:styleId="Style3import">
    <w:name w:val="Style 3 importé"/>
    <w:pPr>
      <w:numPr>
        <w:numId w:val="4"/>
      </w:numPr>
    </w:pPr>
  </w:style>
  <w:style w:type="numbering" w:customStyle="1" w:styleId="Style4import">
    <w:name w:val="Style 4 importé"/>
    <w:pPr>
      <w:numPr>
        <w:numId w:val="5"/>
      </w:numPr>
    </w:pPr>
  </w:style>
  <w:style w:type="numbering" w:customStyle="1" w:styleId="Style5import">
    <w:name w:val="Style 5 importé"/>
    <w:pPr>
      <w:numPr>
        <w:numId w:val="7"/>
      </w:numPr>
    </w:pPr>
  </w:style>
  <w:style w:type="numbering" w:customStyle="1" w:styleId="Style6import">
    <w:name w:val="Style 6 importé"/>
    <w:pPr>
      <w:numPr>
        <w:numId w:val="8"/>
      </w:numPr>
    </w:pPr>
  </w:style>
  <w:style w:type="numbering" w:customStyle="1" w:styleId="Style7import">
    <w:name w:val="Style 7 importé"/>
    <w:pPr>
      <w:numPr>
        <w:numId w:val="9"/>
      </w:numPr>
    </w:pPr>
  </w:style>
  <w:style w:type="paragraph" w:customStyle="1" w:styleId="Briefingtext">
    <w:name w:val="Briefing text"/>
    <w:link w:val="BriefingtextChar"/>
    <w:pPr>
      <w:spacing w:after="240"/>
      <w:jc w:val="both"/>
    </w:pPr>
    <w:rPr>
      <w:rFonts w:ascii="Arial" w:eastAsia="Arial" w:hAnsi="Arial" w:cs="Arial"/>
      <w:color w:val="000000"/>
      <w:sz w:val="22"/>
      <w:szCs w:val="22"/>
      <w:u w:color="000000"/>
    </w:rPr>
  </w:style>
  <w:style w:type="numbering" w:customStyle="1" w:styleId="Style11import">
    <w:name w:val="Style 11 importé"/>
    <w:pPr>
      <w:numPr>
        <w:numId w:val="12"/>
      </w:numPr>
    </w:pPr>
  </w:style>
  <w:style w:type="numbering" w:customStyle="1" w:styleId="Style12import">
    <w:name w:val="Style 12 importé"/>
    <w:pPr>
      <w:numPr>
        <w:numId w:val="13"/>
      </w:numPr>
    </w:pPr>
  </w:style>
  <w:style w:type="numbering" w:customStyle="1" w:styleId="Style13import">
    <w:name w:val="Style 13 importé"/>
    <w:pPr>
      <w:numPr>
        <w:numId w:val="14"/>
      </w:numPr>
    </w:pPr>
  </w:style>
  <w:style w:type="numbering" w:customStyle="1" w:styleId="Style14import">
    <w:name w:val="Style 14 importé"/>
    <w:pPr>
      <w:numPr>
        <w:numId w:val="15"/>
      </w:numPr>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eastAsia="sl-SI"/>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lang w:val="sl-SI" w:eastAsia="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sl-SI" w:eastAsia="sl-SI"/>
    </w:rPr>
  </w:style>
  <w:style w:type="character" w:styleId="FootnoteReference">
    <w:name w:val="footnote reference"/>
    <w:basedOn w:val="DefaultParagraphFont"/>
    <w:uiPriority w:val="99"/>
    <w:unhideWhenUsed/>
    <w:rPr>
      <w:vertAlign w:val="superscript"/>
    </w:rPr>
  </w:style>
  <w:style w:type="character" w:customStyle="1" w:styleId="FootnoteTextChar">
    <w:name w:val="Footnote Text Char"/>
    <w:basedOn w:val="DefaultParagraphFont"/>
    <w:link w:val="FootnoteText"/>
    <w:uiPriority w:val="99"/>
    <w:rPr>
      <w:rFonts w:ascii="Calibri" w:eastAsia="Calibri" w:hAnsi="Calibri" w:cs="Calibri"/>
      <w:color w:val="000000"/>
      <w:u w:color="000000"/>
      <w:lang w:val="sl-SI"/>
    </w:rPr>
  </w:style>
  <w:style w:type="numbering" w:customStyle="1" w:styleId="Style2import1">
    <w:name w:val="Style 2 importé1"/>
  </w:style>
  <w:style w:type="numbering" w:customStyle="1" w:styleId="Style2import2">
    <w:name w:val="Style 2 importé2"/>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lang w:val="sl-SI"/>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lang w:val="sl-SI"/>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sz w:val="24"/>
      <w:szCs w:val="24"/>
      <w:lang w:val="sl-SI"/>
    </w:rPr>
  </w:style>
  <w:style w:type="table" w:styleId="TableGrid">
    <w:name w:val="Table Grid"/>
    <w:basedOn w:val="TableNormal"/>
    <w:uiPriority w:val="59"/>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heme="minorHAnsi"/>
      <w:szCs w:val="22"/>
      <w:bdr w:val="none" w:sz="0" w:space="0" w:color="auto"/>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sz w:val="24"/>
      <w:szCs w:val="24"/>
      <w:lang w:val="sl-SI"/>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hanging="480"/>
    </w:pPr>
  </w:style>
  <w:style w:type="character" w:customStyle="1" w:styleId="En-tteChar">
    <w:name w:val="En-tête Char"/>
    <w:basedOn w:val="DefaultParagraphFont"/>
    <w:link w:val="En-tte0"/>
    <w:rPr>
      <w:b/>
      <w:bCs/>
      <w:smallCaps/>
      <w:color w:val="000000"/>
      <w:sz w:val="24"/>
      <w:szCs w:val="24"/>
      <w:u w:color="000000"/>
      <w:shd w:val="clear" w:color="auto" w:fill="FFFFFF"/>
    </w:rPr>
  </w:style>
  <w:style w:type="character" w:customStyle="1" w:styleId="FooterCoverPageChar">
    <w:name w:val="Footer Cover Page Char"/>
    <w:basedOn w:val="En-tteChar"/>
    <w:link w:val="FooterCoverPage"/>
    <w:rPr>
      <w:b w:val="0"/>
      <w:bCs w:val="0"/>
      <w:smallCaps w:val="0"/>
      <w:color w:val="000000"/>
      <w:sz w:val="24"/>
      <w:szCs w:val="24"/>
      <w:u w:color="000000"/>
      <w:shd w:val="clear" w:color="auto" w:fill="FFFFFF"/>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hanging="480"/>
      <w:jc w:val="center"/>
    </w:pPr>
    <w:rPr>
      <w:b/>
      <w:sz w:val="32"/>
    </w:rPr>
  </w:style>
  <w:style w:type="character" w:customStyle="1" w:styleId="FooterSensitivityChar">
    <w:name w:val="Footer Sensitivity Char"/>
    <w:basedOn w:val="En-tteChar"/>
    <w:link w:val="FooterSensitivity"/>
    <w:rPr>
      <w:b/>
      <w:bCs w:val="0"/>
      <w:smallCaps w:val="0"/>
      <w:color w:val="000000"/>
      <w:sz w:val="32"/>
      <w:szCs w:val="24"/>
      <w:u w:color="000000"/>
      <w:shd w:val="clear" w:color="auto" w:fill="FFFFFF"/>
    </w:rPr>
  </w:style>
  <w:style w:type="paragraph" w:customStyle="1" w:styleId="HeaderCoverPage">
    <w:name w:val="Header Cover Page"/>
    <w:basedOn w:val="Normal"/>
    <w:link w:val="HeaderCoverPageChar"/>
    <w:pPr>
      <w:tabs>
        <w:tab w:val="center" w:pos="4535"/>
        <w:tab w:val="right" w:pos="9071"/>
      </w:tabs>
      <w:spacing w:after="120"/>
      <w:ind w:hanging="480"/>
      <w:jc w:val="both"/>
    </w:pPr>
  </w:style>
  <w:style w:type="character" w:customStyle="1" w:styleId="HeaderCoverPageChar">
    <w:name w:val="Header Cover Page Char"/>
    <w:basedOn w:val="En-tteChar"/>
    <w:link w:val="HeaderCoverPage"/>
    <w:rPr>
      <w:b w:val="0"/>
      <w:bCs w:val="0"/>
      <w:smallCaps w:val="0"/>
      <w:color w:val="000000"/>
      <w:sz w:val="24"/>
      <w:szCs w:val="24"/>
      <w:u w:color="000000"/>
      <w:shd w:val="clear" w:color="auto" w:fill="FFFFFF"/>
    </w:rPr>
  </w:style>
  <w:style w:type="paragraph" w:customStyle="1" w:styleId="HeaderSensitivity">
    <w:name w:val="Header Sensitivity"/>
    <w:basedOn w:val="Normal"/>
    <w:link w:val="HeaderSensitivityChar"/>
    <w:pPr>
      <w:numPr>
        <w:numId w:val="2"/>
      </w:num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En-tteChar"/>
    <w:link w:val="HeaderSensitivity"/>
    <w:rPr>
      <w:b/>
      <w:bCs w:val="0"/>
      <w:smallCaps w:val="0"/>
      <w:color w:val="000000"/>
      <w:sz w:val="32"/>
      <w:szCs w:val="24"/>
      <w:u w:color="000000"/>
      <w:shd w:val="clear" w:color="auto" w:fill="FFFFFF"/>
    </w:rPr>
  </w:style>
  <w:style w:type="numbering" w:customStyle="1" w:styleId="Style4import1">
    <w:name w:val="Style 4 importé1"/>
  </w:style>
  <w:style w:type="paragraph" w:styleId="Revision">
    <w:name w:val="Revision"/>
    <w:hidden/>
    <w:uiPriority w:val="99"/>
    <w:semiHidden/>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customStyle="1" w:styleId="FooterChar">
    <w:name w:val="Footer Char"/>
    <w:basedOn w:val="DefaultParagraphFont"/>
    <w:link w:val="Footer"/>
    <w:uiPriority w:val="99"/>
    <w:rPr>
      <w:rFonts w:cs="Arial Unicode MS"/>
      <w:color w:val="000000"/>
      <w:sz w:val="24"/>
      <w:szCs w:val="24"/>
      <w:u w:color="000000"/>
      <w:lang w:val="sl-SI"/>
    </w:rPr>
  </w:style>
  <w:style w:type="character" w:customStyle="1" w:styleId="BriefingtextChar">
    <w:name w:val="Briefing text Char"/>
    <w:link w:val="Briefingtext"/>
    <w:rPr>
      <w:rFonts w:ascii="Arial" w:eastAsia="Arial" w:hAnsi="Arial" w:cs="Arial"/>
      <w:color w:val="000000"/>
      <w:sz w:val="22"/>
      <w:szCs w:val="22"/>
      <w:u w:color="000000"/>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sl-SI" w:eastAsia="sl-SI" w:bidi="sl-SI"/>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next w:val="Text4"/>
    <w:qFormat/>
    <w:pPr>
      <w:keepNext/>
      <w:tabs>
        <w:tab w:val="left" w:pos="1920"/>
      </w:tabs>
      <w:spacing w:after="200" w:line="276" w:lineRule="auto"/>
      <w:outlineLvl w:val="3"/>
    </w:pPr>
    <w:rPr>
      <w:rFonts w:cs="Arial Unicode MS"/>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En-tte">
    <w:name w:val="En-tête"/>
    <w:pPr>
      <w:tabs>
        <w:tab w:val="right" w:pos="9020"/>
      </w:tabs>
    </w:pPr>
    <w:rPr>
      <w:rFonts w:ascii="Helvetica Neue" w:hAnsi="Helvetica Neue" w:cs="Arial Unicode MS"/>
      <w:color w:val="000000"/>
      <w:sz w:val="24"/>
      <w:szCs w:val="24"/>
    </w:rPr>
  </w:style>
  <w:style w:type="paragraph" w:styleId="Footer">
    <w:name w:val="footer"/>
    <w:link w:val="FooterChar"/>
    <w:uiPriority w:val="99"/>
    <w:pPr>
      <w:tabs>
        <w:tab w:val="center" w:pos="4535"/>
        <w:tab w:val="right" w:pos="9071"/>
        <w:tab w:val="right" w:pos="9921"/>
      </w:tabs>
      <w:spacing w:before="360"/>
    </w:pPr>
    <w:rPr>
      <w:rFonts w:cs="Arial Unicode MS"/>
      <w:color w:val="000000"/>
      <w:sz w:val="24"/>
      <w:szCs w:val="24"/>
      <w:u w:color="000000"/>
    </w:rPr>
  </w:style>
  <w:style w:type="paragraph" w:customStyle="1" w:styleId="En-tte0">
    <w:name w:val="En-tête"/>
    <w:next w:val="Text1"/>
    <w:link w:val="En-tteChar"/>
    <w:pPr>
      <w:keepNext/>
      <w:shd w:val="clear" w:color="auto" w:fill="FFFFFF"/>
      <w:tabs>
        <w:tab w:val="left" w:pos="480"/>
      </w:tabs>
      <w:spacing w:before="200" w:after="200" w:line="276" w:lineRule="auto"/>
      <w:ind w:left="482" w:hanging="482"/>
      <w:jc w:val="both"/>
      <w:outlineLvl w:val="0"/>
    </w:pPr>
    <w:rPr>
      <w:b/>
      <w:bCs/>
      <w:smallCaps/>
      <w:color w:val="000000"/>
      <w:sz w:val="24"/>
      <w:szCs w:val="24"/>
      <w:u w:color="000000"/>
    </w:rPr>
  </w:style>
  <w:style w:type="paragraph" w:customStyle="1" w:styleId="Text1">
    <w:name w:val="Text 1"/>
    <w:pPr>
      <w:spacing w:after="200" w:line="276" w:lineRule="auto"/>
      <w:ind w:left="482"/>
    </w:pPr>
    <w:rPr>
      <w:rFonts w:ascii="Calibri" w:eastAsia="Calibri" w:hAnsi="Calibri" w:cs="Calibri"/>
      <w:color w:val="000000"/>
      <w:sz w:val="22"/>
      <w:szCs w:val="22"/>
      <w:u w:color="000000"/>
    </w:rPr>
  </w:style>
  <w:style w:type="numbering" w:customStyle="1" w:styleId="Style1import">
    <w:name w:val="Style 1 importé"/>
    <w:pPr>
      <w:numPr>
        <w:numId w:val="1"/>
      </w:numPr>
    </w:pPr>
  </w:style>
  <w:style w:type="character" w:customStyle="1" w:styleId="Aucun">
    <w:name w:val="Aucun"/>
    <w:rPr>
      <w:lang w:val="sl-SI"/>
    </w:rPr>
  </w:style>
  <w:style w:type="paragraph" w:styleId="FootnoteText">
    <w:name w:val="footnote text"/>
    <w:link w:val="FootnoteTextChar"/>
    <w:uiPriority w:val="99"/>
    <w:pPr>
      <w:spacing w:after="200" w:line="276" w:lineRule="auto"/>
      <w:ind w:left="357" w:hanging="357"/>
    </w:pPr>
    <w:rPr>
      <w:rFonts w:ascii="Calibri" w:eastAsia="Calibri" w:hAnsi="Calibri" w:cs="Calibri"/>
      <w:color w:val="000000"/>
      <w:u w:color="000000"/>
    </w:rPr>
  </w:style>
  <w:style w:type="paragraph" w:customStyle="1" w:styleId="Sous-section2">
    <w:name w:val="Sous-section 2"/>
    <w:next w:val="Text2"/>
    <w:pPr>
      <w:keepNext/>
      <w:numPr>
        <w:ilvl w:val="1"/>
        <w:numId w:val="2"/>
      </w:numPr>
      <w:tabs>
        <w:tab w:val="left" w:pos="1429"/>
      </w:tabs>
      <w:spacing w:after="200" w:line="276" w:lineRule="auto"/>
      <w:jc w:val="both"/>
      <w:outlineLvl w:val="1"/>
    </w:pPr>
    <w:rPr>
      <w:b/>
      <w:bCs/>
      <w:color w:val="000000"/>
      <w:sz w:val="24"/>
      <w:szCs w:val="24"/>
      <w:u w:color="000000"/>
    </w:rPr>
  </w:style>
  <w:style w:type="paragraph" w:customStyle="1" w:styleId="Text2">
    <w:name w:val="Text 2"/>
    <w:pPr>
      <w:tabs>
        <w:tab w:val="left" w:pos="2302"/>
      </w:tabs>
      <w:spacing w:after="200" w:line="276" w:lineRule="auto"/>
      <w:ind w:left="1202"/>
    </w:pPr>
    <w:rPr>
      <w:rFonts w:ascii="Calibri" w:eastAsia="Calibri" w:hAnsi="Calibri" w:cs="Calibri"/>
      <w:color w:val="000000"/>
      <w:sz w:val="22"/>
      <w:szCs w:val="22"/>
      <w:u w:color="000000"/>
    </w:rPr>
  </w:style>
  <w:style w:type="paragraph" w:customStyle="1" w:styleId="Ss-section3">
    <w:name w:val="Ss-section 3"/>
    <w:next w:val="Corps"/>
    <w:pPr>
      <w:keepNext/>
      <w:tabs>
        <w:tab w:val="left" w:pos="720"/>
      </w:tabs>
      <w:spacing w:after="200" w:line="276" w:lineRule="auto"/>
      <w:outlineLvl w:val="2"/>
    </w:pPr>
    <w:rPr>
      <w:rFonts w:ascii="Calibri" w:eastAsia="Calibri" w:hAnsi="Calibri" w:cs="Calibri"/>
      <w:i/>
      <w:iCs/>
      <w:color w:val="000000"/>
      <w:sz w:val="22"/>
      <w:szCs w:val="22"/>
      <w:u w:color="000000"/>
    </w:rPr>
  </w:style>
  <w:style w:type="paragraph" w:customStyle="1" w:styleId="Corps">
    <w:name w:val="Corps"/>
    <w:pPr>
      <w:spacing w:after="200" w:line="276" w:lineRule="auto"/>
    </w:pPr>
    <w:rPr>
      <w:rFonts w:ascii="Calibri" w:eastAsia="Calibri" w:hAnsi="Calibri" w:cs="Calibri"/>
      <w:color w:val="000000"/>
      <w:sz w:val="22"/>
      <w:szCs w:val="22"/>
      <w:u w:color="000000"/>
    </w:rPr>
  </w:style>
  <w:style w:type="paragraph" w:customStyle="1" w:styleId="Text4">
    <w:name w:val="Text 4"/>
    <w:pPr>
      <w:tabs>
        <w:tab w:val="left" w:pos="2302"/>
      </w:tabs>
      <w:spacing w:after="200" w:line="276" w:lineRule="auto"/>
      <w:ind w:left="1202"/>
    </w:pPr>
    <w:rPr>
      <w:rFonts w:ascii="Calibri" w:eastAsia="Calibri" w:hAnsi="Calibri" w:cs="Calibri"/>
      <w:color w:val="000000"/>
      <w:sz w:val="22"/>
      <w:szCs w:val="22"/>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Style2import">
    <w:name w:val="Style 2 importé"/>
    <w:pPr>
      <w:numPr>
        <w:numId w:val="3"/>
      </w:numPr>
    </w:pPr>
  </w:style>
  <w:style w:type="numbering" w:customStyle="1" w:styleId="Style3import">
    <w:name w:val="Style 3 importé"/>
    <w:pPr>
      <w:numPr>
        <w:numId w:val="4"/>
      </w:numPr>
    </w:pPr>
  </w:style>
  <w:style w:type="numbering" w:customStyle="1" w:styleId="Style4import">
    <w:name w:val="Style 4 importé"/>
    <w:pPr>
      <w:numPr>
        <w:numId w:val="5"/>
      </w:numPr>
    </w:pPr>
  </w:style>
  <w:style w:type="numbering" w:customStyle="1" w:styleId="Style5import">
    <w:name w:val="Style 5 importé"/>
    <w:pPr>
      <w:numPr>
        <w:numId w:val="7"/>
      </w:numPr>
    </w:pPr>
  </w:style>
  <w:style w:type="numbering" w:customStyle="1" w:styleId="Style6import">
    <w:name w:val="Style 6 importé"/>
    <w:pPr>
      <w:numPr>
        <w:numId w:val="8"/>
      </w:numPr>
    </w:pPr>
  </w:style>
  <w:style w:type="numbering" w:customStyle="1" w:styleId="Style7import">
    <w:name w:val="Style 7 importé"/>
    <w:pPr>
      <w:numPr>
        <w:numId w:val="9"/>
      </w:numPr>
    </w:pPr>
  </w:style>
  <w:style w:type="paragraph" w:customStyle="1" w:styleId="Briefingtext">
    <w:name w:val="Briefing text"/>
    <w:link w:val="BriefingtextChar"/>
    <w:pPr>
      <w:spacing w:after="240"/>
      <w:jc w:val="both"/>
    </w:pPr>
    <w:rPr>
      <w:rFonts w:ascii="Arial" w:eastAsia="Arial" w:hAnsi="Arial" w:cs="Arial"/>
      <w:color w:val="000000"/>
      <w:sz w:val="22"/>
      <w:szCs w:val="22"/>
      <w:u w:color="000000"/>
    </w:rPr>
  </w:style>
  <w:style w:type="numbering" w:customStyle="1" w:styleId="Style11import">
    <w:name w:val="Style 11 importé"/>
    <w:pPr>
      <w:numPr>
        <w:numId w:val="12"/>
      </w:numPr>
    </w:pPr>
  </w:style>
  <w:style w:type="numbering" w:customStyle="1" w:styleId="Style12import">
    <w:name w:val="Style 12 importé"/>
    <w:pPr>
      <w:numPr>
        <w:numId w:val="13"/>
      </w:numPr>
    </w:pPr>
  </w:style>
  <w:style w:type="numbering" w:customStyle="1" w:styleId="Style13import">
    <w:name w:val="Style 13 importé"/>
    <w:pPr>
      <w:numPr>
        <w:numId w:val="14"/>
      </w:numPr>
    </w:pPr>
  </w:style>
  <w:style w:type="numbering" w:customStyle="1" w:styleId="Style14import">
    <w:name w:val="Style 14 importé"/>
    <w:pPr>
      <w:numPr>
        <w:numId w:val="15"/>
      </w:numPr>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eastAsia="sl-SI"/>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lang w:val="sl-SI" w:eastAsia="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sl-SI" w:eastAsia="sl-SI"/>
    </w:rPr>
  </w:style>
  <w:style w:type="character" w:styleId="FootnoteReference">
    <w:name w:val="footnote reference"/>
    <w:basedOn w:val="DefaultParagraphFont"/>
    <w:uiPriority w:val="99"/>
    <w:unhideWhenUsed/>
    <w:rPr>
      <w:vertAlign w:val="superscript"/>
    </w:rPr>
  </w:style>
  <w:style w:type="character" w:customStyle="1" w:styleId="FootnoteTextChar">
    <w:name w:val="Footnote Text Char"/>
    <w:basedOn w:val="DefaultParagraphFont"/>
    <w:link w:val="FootnoteText"/>
    <w:uiPriority w:val="99"/>
    <w:rPr>
      <w:rFonts w:ascii="Calibri" w:eastAsia="Calibri" w:hAnsi="Calibri" w:cs="Calibri"/>
      <w:color w:val="000000"/>
      <w:u w:color="000000"/>
      <w:lang w:val="sl-SI"/>
    </w:rPr>
  </w:style>
  <w:style w:type="numbering" w:customStyle="1" w:styleId="Style2import1">
    <w:name w:val="Style 2 importé1"/>
  </w:style>
  <w:style w:type="numbering" w:customStyle="1" w:styleId="Style2import2">
    <w:name w:val="Style 2 importé2"/>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lang w:val="sl-SI"/>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lang w:val="sl-SI"/>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sz w:val="24"/>
      <w:szCs w:val="24"/>
      <w:lang w:val="sl-SI"/>
    </w:rPr>
  </w:style>
  <w:style w:type="table" w:styleId="TableGrid">
    <w:name w:val="Table Grid"/>
    <w:basedOn w:val="TableNormal"/>
    <w:uiPriority w:val="59"/>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heme="minorHAnsi"/>
      <w:szCs w:val="22"/>
      <w:bdr w:val="none" w:sz="0" w:space="0" w:color="auto"/>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sz w:val="24"/>
      <w:szCs w:val="24"/>
      <w:lang w:val="sl-SI"/>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hanging="480"/>
    </w:pPr>
  </w:style>
  <w:style w:type="character" w:customStyle="1" w:styleId="En-tteChar">
    <w:name w:val="En-tête Char"/>
    <w:basedOn w:val="DefaultParagraphFont"/>
    <w:link w:val="En-tte0"/>
    <w:rPr>
      <w:b/>
      <w:bCs/>
      <w:smallCaps/>
      <w:color w:val="000000"/>
      <w:sz w:val="24"/>
      <w:szCs w:val="24"/>
      <w:u w:color="000000"/>
      <w:shd w:val="clear" w:color="auto" w:fill="FFFFFF"/>
    </w:rPr>
  </w:style>
  <w:style w:type="character" w:customStyle="1" w:styleId="FooterCoverPageChar">
    <w:name w:val="Footer Cover Page Char"/>
    <w:basedOn w:val="En-tteChar"/>
    <w:link w:val="FooterCoverPage"/>
    <w:rPr>
      <w:b w:val="0"/>
      <w:bCs w:val="0"/>
      <w:smallCaps w:val="0"/>
      <w:color w:val="000000"/>
      <w:sz w:val="24"/>
      <w:szCs w:val="24"/>
      <w:u w:color="000000"/>
      <w:shd w:val="clear" w:color="auto" w:fill="FFFFFF"/>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hanging="480"/>
      <w:jc w:val="center"/>
    </w:pPr>
    <w:rPr>
      <w:b/>
      <w:sz w:val="32"/>
    </w:rPr>
  </w:style>
  <w:style w:type="character" w:customStyle="1" w:styleId="FooterSensitivityChar">
    <w:name w:val="Footer Sensitivity Char"/>
    <w:basedOn w:val="En-tteChar"/>
    <w:link w:val="FooterSensitivity"/>
    <w:rPr>
      <w:b/>
      <w:bCs w:val="0"/>
      <w:smallCaps w:val="0"/>
      <w:color w:val="000000"/>
      <w:sz w:val="32"/>
      <w:szCs w:val="24"/>
      <w:u w:color="000000"/>
      <w:shd w:val="clear" w:color="auto" w:fill="FFFFFF"/>
    </w:rPr>
  </w:style>
  <w:style w:type="paragraph" w:customStyle="1" w:styleId="HeaderCoverPage">
    <w:name w:val="Header Cover Page"/>
    <w:basedOn w:val="Normal"/>
    <w:link w:val="HeaderCoverPageChar"/>
    <w:pPr>
      <w:tabs>
        <w:tab w:val="center" w:pos="4535"/>
        <w:tab w:val="right" w:pos="9071"/>
      </w:tabs>
      <w:spacing w:after="120"/>
      <w:ind w:hanging="480"/>
      <w:jc w:val="both"/>
    </w:pPr>
  </w:style>
  <w:style w:type="character" w:customStyle="1" w:styleId="HeaderCoverPageChar">
    <w:name w:val="Header Cover Page Char"/>
    <w:basedOn w:val="En-tteChar"/>
    <w:link w:val="HeaderCoverPage"/>
    <w:rPr>
      <w:b w:val="0"/>
      <w:bCs w:val="0"/>
      <w:smallCaps w:val="0"/>
      <w:color w:val="000000"/>
      <w:sz w:val="24"/>
      <w:szCs w:val="24"/>
      <w:u w:color="000000"/>
      <w:shd w:val="clear" w:color="auto" w:fill="FFFFFF"/>
    </w:rPr>
  </w:style>
  <w:style w:type="paragraph" w:customStyle="1" w:styleId="HeaderSensitivity">
    <w:name w:val="Header Sensitivity"/>
    <w:basedOn w:val="Normal"/>
    <w:link w:val="HeaderSensitivityChar"/>
    <w:pPr>
      <w:numPr>
        <w:numId w:val="2"/>
      </w:num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En-tteChar"/>
    <w:link w:val="HeaderSensitivity"/>
    <w:rPr>
      <w:b/>
      <w:bCs w:val="0"/>
      <w:smallCaps w:val="0"/>
      <w:color w:val="000000"/>
      <w:sz w:val="32"/>
      <w:szCs w:val="24"/>
      <w:u w:color="000000"/>
      <w:shd w:val="clear" w:color="auto" w:fill="FFFFFF"/>
    </w:rPr>
  </w:style>
  <w:style w:type="numbering" w:customStyle="1" w:styleId="Style4import1">
    <w:name w:val="Style 4 importé1"/>
  </w:style>
  <w:style w:type="paragraph" w:styleId="Revision">
    <w:name w:val="Revision"/>
    <w:hidden/>
    <w:uiPriority w:val="99"/>
    <w:semiHidden/>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customStyle="1" w:styleId="FooterChar">
    <w:name w:val="Footer Char"/>
    <w:basedOn w:val="DefaultParagraphFont"/>
    <w:link w:val="Footer"/>
    <w:uiPriority w:val="99"/>
    <w:rPr>
      <w:rFonts w:cs="Arial Unicode MS"/>
      <w:color w:val="000000"/>
      <w:sz w:val="24"/>
      <w:szCs w:val="24"/>
      <w:u w:color="000000"/>
      <w:lang w:val="sl-SI"/>
    </w:rPr>
  </w:style>
  <w:style w:type="character" w:customStyle="1" w:styleId="BriefingtextChar">
    <w:name w:val="Briefing text Char"/>
    <w:link w:val="Briefingtext"/>
    <w:rPr>
      <w:rFonts w:ascii="Arial" w:eastAsia="Arial" w:hAnsi="Arial" w:cs="Arial"/>
      <w:color w:val="000000"/>
      <w:sz w:val="22"/>
      <w:szCs w:val="22"/>
      <w:u w:color="000000"/>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095001">
      <w:bodyDiv w:val="1"/>
      <w:marLeft w:val="0"/>
      <w:marRight w:val="0"/>
      <w:marTop w:val="0"/>
      <w:marBottom w:val="0"/>
      <w:divBdr>
        <w:top w:val="none" w:sz="0" w:space="0" w:color="auto"/>
        <w:left w:val="none" w:sz="0" w:space="0" w:color="auto"/>
        <w:bottom w:val="none" w:sz="0" w:space="0" w:color="auto"/>
        <w:right w:val="none" w:sz="0" w:space="0" w:color="auto"/>
      </w:divBdr>
    </w:div>
    <w:div w:id="696540820">
      <w:bodyDiv w:val="1"/>
      <w:marLeft w:val="0"/>
      <w:marRight w:val="0"/>
      <w:marTop w:val="0"/>
      <w:marBottom w:val="0"/>
      <w:divBdr>
        <w:top w:val="none" w:sz="0" w:space="0" w:color="auto"/>
        <w:left w:val="none" w:sz="0" w:space="0" w:color="auto"/>
        <w:bottom w:val="none" w:sz="0" w:space="0" w:color="auto"/>
        <w:right w:val="none" w:sz="0" w:space="0" w:color="auto"/>
      </w:divBdr>
    </w:div>
    <w:div w:id="1666275363">
      <w:bodyDiv w:val="1"/>
      <w:marLeft w:val="0"/>
      <w:marRight w:val="0"/>
      <w:marTop w:val="0"/>
      <w:marBottom w:val="0"/>
      <w:divBdr>
        <w:top w:val="none" w:sz="0" w:space="0" w:color="auto"/>
        <w:left w:val="none" w:sz="0" w:space="0" w:color="auto"/>
        <w:bottom w:val="none" w:sz="0" w:space="0" w:color="auto"/>
        <w:right w:val="none" w:sz="0" w:space="0" w:color="auto"/>
      </w:divBdr>
    </w:div>
    <w:div w:id="1883441736">
      <w:bodyDiv w:val="1"/>
      <w:marLeft w:val="0"/>
      <w:marRight w:val="0"/>
      <w:marTop w:val="0"/>
      <w:marBottom w:val="0"/>
      <w:divBdr>
        <w:top w:val="none" w:sz="0" w:space="0" w:color="auto"/>
        <w:left w:val="none" w:sz="0" w:space="0" w:color="auto"/>
        <w:bottom w:val="none" w:sz="0" w:space="0" w:color="auto"/>
        <w:right w:val="none" w:sz="0" w:space="0" w:color="auto"/>
      </w:divBdr>
    </w:div>
    <w:div w:id="20590110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 Id="rId27" Type="http://schemas.microsoft.com/office/2011/relationships/commentsExtended" Target="commentsExtended.xml"/></Relationships>
</file>

<file path=word/_rels/footnotes.xml.rels><?xml version="1.0" encoding="UTF-8" standalone="yes"?>
<Relationships xmlns="http://schemas.openxmlformats.org/package/2006/relationships"><Relationship Id="rId3" Type="http://schemas.openxmlformats.org/officeDocument/2006/relationships/hyperlink" Target="http://www.consilium.europa.eu/media/21481/nato-eu-declaration-8-july-en-final.pdf" TargetMode="External"/><Relationship Id="rId7" Type="http://schemas.openxmlformats.org/officeDocument/2006/relationships/hyperlink" Target="http://eur-lex.europa.eu/legal-content/SL/TXT/?uri=CELEX:52016JC0018" TargetMode="External"/><Relationship Id="rId2" Type="http://schemas.openxmlformats.org/officeDocument/2006/relationships/hyperlink" Target="http://www.consilium.europa.eu/media/33064/council-recommendation.pdf" TargetMode="External"/><Relationship Id="rId1" Type="http://schemas.openxmlformats.org/officeDocument/2006/relationships/hyperlink" Target="http://europa.eu/rapid/press-release_SPEECH-17-3165_sl.htm" TargetMode="External"/><Relationship Id="rId6" Type="http://schemas.openxmlformats.org/officeDocument/2006/relationships/hyperlink" Target="https://www.eda.europa.eu/docs/default-source/documents/dic-ip.pdf" TargetMode="External"/><Relationship Id="rId5" Type="http://schemas.openxmlformats.org/officeDocument/2006/relationships/hyperlink" Target="https://www.eda.europa.eu/what-we-do/activities/activities-search/eu-multimodal-transport-hubs" TargetMode="External"/><Relationship Id="rId4" Type="http://schemas.openxmlformats.org/officeDocument/2006/relationships/hyperlink" Target="https://eeas.europa.eu/sites/eeas/files/joint_communication_to_the_european_parliament_and_the_"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27EF8-0EEB-4057-8954-725D70A8D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3294</Words>
  <Characters>18778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2018-03-30T16:35:00Z</dcterms:created>
  <dcterms:modified xsi:type="dcterms:W3CDTF">2018-04-05T09:10:00Z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Red</vt:lpwstr>
  </property>
  <property fmtid="{D5CDD505-2E9C-101B-9397-08002B2CF9AE}" pid="3" name="Level of sensitivity">
    <vt:lpwstr>Standard treatment</vt:lpwstr>
  </property>
  <property fmtid="{D5CDD505-2E9C-101B-9397-08002B2CF9AE}" pid="4" name="Part">
    <vt:lpwstr>1</vt:lpwstr>
  </property>
  <property fmtid="{D5CDD505-2E9C-101B-9397-08002B2CF9AE}" pid="5" name="Total parts">
    <vt:lpwstr>1</vt:lpwstr>
  </property>
</Properties>
</file>