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35314EA7-7766-4DC1-B6C2-7263C5409DA4" style="width:450.75pt;height:406.5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bookmarkStart w:id="1" w:name="_GoBack"/>
      <w:bookmarkEnd w:id="1"/>
      <w:r>
        <w:rPr>
          <w:b/>
          <w:noProof/>
          <w:color w:val="000000"/>
        </w:rPr>
        <w:lastRenderedPageBreak/>
        <w:t>ANEXO</w:t>
      </w:r>
    </w:p>
    <w:p>
      <w:pPr>
        <w:spacing w:before="240"/>
        <w:jc w:val="left"/>
        <w:rPr>
          <w:rFonts w:eastAsia="Times New Roman"/>
          <w:b/>
          <w:bCs/>
          <w:noProof/>
          <w:color w:val="000000"/>
          <w:szCs w:val="24"/>
        </w:rPr>
      </w:pPr>
      <w:r>
        <w:rPr>
          <w:noProof/>
          <w:color w:val="000000"/>
        </w:rPr>
        <w:t>O anexo III é alterado do seguinte modo: n</w:t>
      </w:r>
      <w:r>
        <w:rPr>
          <w:noProof/>
        </w:rPr>
        <w:t>o ponto A é aditado o seguinte quadro:</w:t>
      </w:r>
    </w:p>
    <w:p>
      <w:pPr>
        <w:spacing w:before="240"/>
        <w:rPr>
          <w:rFonts w:eastAsia="Times New Roman"/>
          <w:bCs/>
          <w:noProof/>
          <w:color w:val="000000"/>
          <w:szCs w:val="24"/>
        </w:rPr>
      </w:pPr>
    </w:p>
    <w:tbl>
      <w:tblPr>
        <w:tblW w:w="5221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69"/>
        <w:gridCol w:w="1109"/>
        <w:gridCol w:w="875"/>
        <w:gridCol w:w="875"/>
        <w:gridCol w:w="935"/>
        <w:gridCol w:w="882"/>
        <w:gridCol w:w="875"/>
        <w:gridCol w:w="941"/>
        <w:gridCol w:w="1194"/>
        <w:gridCol w:w="3118"/>
      </w:tblGrid>
      <w:tr>
        <w:trPr>
          <w:tblCellSpacing w:w="0" w:type="dxa"/>
        </w:trPr>
        <w:tc>
          <w:tcPr>
            <w:tcW w:w="320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Nome do agente</w:t>
            </w:r>
          </w:p>
        </w:tc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N.º CE (</w:t>
            </w:r>
            <w:r>
              <w:rPr>
                <w:rStyle w:val="EndnoteReference"/>
                <w:noProof/>
                <w:sz w:val="20"/>
              </w:rPr>
              <w:endnoteReference w:id="1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1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N.º CAS (</w:t>
            </w:r>
            <w:r>
              <w:rPr>
                <w:rStyle w:val="EndnoteReference"/>
                <w:noProof/>
                <w:sz w:val="20"/>
              </w:rPr>
              <w:endnoteReference w:id="2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53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   Valores-limite</w:t>
            </w:r>
          </w:p>
        </w:tc>
        <w:tc>
          <w:tcPr>
            <w:tcW w:w="119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Notas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04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Medidas transitórias</w:t>
            </w: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 horas (</w:t>
            </w:r>
            <w:r>
              <w:rPr>
                <w:rStyle w:val="EndnoteReference"/>
                <w:noProof/>
                <w:sz w:val="20"/>
              </w:rPr>
              <w:endnoteReference w:id="3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2698" w:type="dxa"/>
            <w:gridSpan w:val="3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Curta duração 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(</w:t>
            </w:r>
            <w:r>
              <w:rPr>
                <w:rStyle w:val="EndnoteReference"/>
                <w:noProof/>
                <w:sz w:val="20"/>
              </w:rPr>
              <w:endnoteReference w:id="4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1194" w:type="dxa"/>
            <w:vMerge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</w:rPr>
              <w:t>mg/m</w:t>
            </w:r>
            <w:r>
              <w:rPr>
                <w:noProof/>
                <w:sz w:val="20"/>
                <w:vertAlign w:val="superscript"/>
              </w:rPr>
              <w:t xml:space="preserve">3  </w:t>
            </w:r>
            <w:r>
              <w:rPr>
                <w:noProof/>
                <w:sz w:val="20"/>
              </w:rPr>
              <w:t xml:space="preserve">  (</w:t>
            </w:r>
            <w:r>
              <w:rPr>
                <w:rStyle w:val="EndnoteReference"/>
                <w:noProof/>
                <w:sz w:val="20"/>
              </w:rPr>
              <w:endnoteReference w:id="5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875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ppm      (</w:t>
            </w:r>
            <w:r>
              <w:rPr>
                <w:rStyle w:val="EndnoteReference"/>
                <w:noProof/>
                <w:sz w:val="20"/>
              </w:rPr>
              <w:endnoteReference w:id="6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935" w:type="dxa"/>
          </w:tcPr>
          <w:p>
            <w:pPr>
              <w:spacing w:before="60" w:after="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f/ml</w:t>
            </w:r>
          </w:p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</w:t>
            </w:r>
            <w:r>
              <w:rPr>
                <w:rStyle w:val="EndnoteReference"/>
                <w:noProof/>
                <w:sz w:val="20"/>
              </w:rPr>
              <w:endnoteReference w:id="7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882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mg/m</w:t>
            </w:r>
            <w:r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ppm</w:t>
            </w: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f/ml</w:t>
            </w:r>
          </w:p>
        </w:tc>
        <w:tc>
          <w:tcPr>
            <w:tcW w:w="119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Cádmio e seus compostos inorgânicos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Valor-limite: 0,004 mg/m</w:t>
            </w:r>
            <w:r>
              <w:rPr>
                <w:noProof/>
                <w:sz w:val="20"/>
                <w:vertAlign w:val="superscript"/>
              </w:rPr>
              <w:t>3</w:t>
            </w:r>
            <w:r>
              <w:rPr>
                <w:noProof/>
                <w:sz w:val="20"/>
              </w:rPr>
              <w:t xml:space="preserve"> até </w:t>
            </w:r>
            <w:r>
              <w:rPr>
                <w:noProof/>
                <w:sz w:val="20"/>
                <w:highlight w:val="yellow"/>
              </w:rPr>
              <w:t>xx de yyyy de 202z  [7 anos]</w:t>
            </w: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Berílio e compostos inorgânicos de berílio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0,0002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sensibilização cutânea e respiratória (</w:t>
            </w:r>
            <w:r>
              <w:rPr>
                <w:rStyle w:val="EndnoteReference"/>
                <w:noProof/>
                <w:sz w:val="20"/>
              </w:rPr>
              <w:endnoteReference w:id="8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Valor-limite: 0,0006 mg/m</w:t>
            </w:r>
            <w:r>
              <w:rPr>
                <w:noProof/>
                <w:sz w:val="20"/>
                <w:vertAlign w:val="superscript"/>
              </w:rPr>
              <w:t>3</w:t>
            </w:r>
            <w:r>
              <w:rPr>
                <w:noProof/>
                <w:sz w:val="20"/>
              </w:rPr>
              <w:t xml:space="preserve"> até </w:t>
            </w:r>
            <w:r>
              <w:rPr>
                <w:noProof/>
                <w:sz w:val="20"/>
                <w:highlight w:val="yellow"/>
              </w:rPr>
              <w:t>xx de yyyy de 202z  [5 anos]</w:t>
            </w: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Ácido arsénico e seus sais, bem como compostos inorgânicos de arsénio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Para o setor da fundição de cobre, o valor-limite entrará em vigor em </w:t>
            </w:r>
            <w:r>
              <w:rPr>
                <w:noProof/>
                <w:sz w:val="20"/>
                <w:highlight w:val="yellow"/>
              </w:rPr>
              <w:t>xx de yyyy de 202z [2 anos]</w:t>
            </w:r>
          </w:p>
        </w:tc>
      </w:tr>
      <w:tr>
        <w:trPr>
          <w:trHeight w:val="596"/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Formaldeído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200-001-8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50-00-0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0,37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0,738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sensibilização cutânea</w:t>
            </w:r>
          </w:p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</w:t>
            </w:r>
            <w:r>
              <w:rPr>
                <w:rStyle w:val="EndnoteReference"/>
                <w:noProof/>
                <w:sz w:val="20"/>
              </w:rPr>
              <w:endnoteReference w:id="9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4,4'-Metileno-bis(2-cloroanilina)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202-918-9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101-14-4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pele (</w:t>
            </w:r>
            <w:r>
              <w:rPr>
                <w:rStyle w:val="EndnoteReference"/>
                <w:noProof/>
                <w:sz w:val="20"/>
              </w:rPr>
              <w:endnoteReference w:id="10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</w:p>
        </w:tc>
      </w:tr>
    </w:tbl>
    <w:p>
      <w:pPr>
        <w:spacing w:before="40" w:after="40"/>
        <w:jc w:val="left"/>
        <w:rPr>
          <w:noProof/>
          <w:sz w:val="20"/>
          <w:szCs w:val="20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9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id="1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rPr>
          <w:color w:val="000000"/>
        </w:rPr>
        <w:t>N.º CE, ou seja, EINECS, ELINCS ou NLP (ex-polímero), número oficial da substância na União Europeia, tal como definido no anexo VI, parte 1, ponto 1.1.1.2, do Regulamento (CE) n.º 1272/2008.</w:t>
      </w:r>
    </w:p>
  </w:endnote>
  <w:endnote w:id="2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rPr>
          <w:color w:val="000000"/>
        </w:rPr>
        <w:t>N.º CAS: Número de registo do Chemical Abstracts Service.</w:t>
      </w:r>
    </w:p>
  </w:endnote>
  <w:endnote w:id="3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  <w:t>Medidas ou calculadas em relação a uma média ponderada no tempo (TWA) para um período de referência de oito horas.</w:t>
      </w:r>
    </w:p>
  </w:endnote>
  <w:endnote w:id="4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  <w:t>Limite de exposição de curta duração (STEL). Um valor-limite acima do qual não deve haver exposição e que se refere a um período de 15 minutos, salvo indicação em contrário.</w:t>
      </w:r>
    </w:p>
  </w:endnote>
  <w:endnote w:id="5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</w:rPr>
        <w:t>(</w:t>
      </w:r>
      <w:r>
        <w:rPr>
          <w:rStyle w:val="EndnoteReference"/>
          <w:sz w:val="20"/>
        </w:rPr>
        <w:endnoteRef/>
      </w:r>
      <w:r>
        <w:rPr>
          <w:sz w:val="20"/>
        </w:rPr>
        <w:t xml:space="preserve">) </w:t>
      </w:r>
      <w:r>
        <w:tab/>
      </w:r>
      <w:r>
        <w:rPr>
          <w:color w:val="000000"/>
          <w:sz w:val="20"/>
        </w:rPr>
        <w:t>mg/m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  <w:sz w:val="20"/>
        </w:rPr>
        <w:t xml:space="preserve"> = miligramas por metro cúbico de ar a 20 ºC e a 101,3 kPa (760 mm de pressão de mercúrio).</w:t>
      </w:r>
    </w:p>
  </w:endnote>
  <w:endnote w:id="6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</w:rPr>
        <w:t>(</w:t>
      </w:r>
      <w:r>
        <w:rPr>
          <w:rStyle w:val="EndnoteReference"/>
          <w:sz w:val="20"/>
        </w:rPr>
        <w:endnoteRef/>
      </w:r>
      <w:r>
        <w:rPr>
          <w:sz w:val="20"/>
        </w:rPr>
        <w:t xml:space="preserve">) </w:t>
      </w:r>
      <w:r>
        <w:tab/>
      </w:r>
      <w:r>
        <w:rPr>
          <w:color w:val="000000"/>
          <w:sz w:val="20"/>
        </w:rPr>
        <w:t>ppm = partes por milhão em volume de ar (ml/m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  <w:sz w:val="20"/>
        </w:rPr>
        <w:t>).</w:t>
      </w:r>
    </w:p>
  </w:endnote>
  <w:endnote w:id="7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</w:rPr>
        <w:t>(</w:t>
      </w:r>
      <w:r>
        <w:rPr>
          <w:rStyle w:val="EndnoteReference"/>
          <w:sz w:val="20"/>
        </w:rPr>
        <w:endnoteRef/>
      </w:r>
      <w:r>
        <w:rPr>
          <w:sz w:val="20"/>
        </w:rPr>
        <w:t xml:space="preserve">) </w:t>
      </w:r>
      <w:r>
        <w:tab/>
      </w:r>
      <w:r>
        <w:rPr>
          <w:color w:val="000000"/>
          <w:sz w:val="20"/>
        </w:rPr>
        <w:t>f/ml = fibras por mililitro.</w:t>
      </w:r>
    </w:p>
  </w:endnote>
  <w:endnote w:id="8">
    <w:p>
      <w:pPr>
        <w:pStyle w:val="EndnoteText"/>
        <w:spacing w:after="20"/>
        <w:ind w:left="360" w:hanging="360"/>
        <w:rPr>
          <w:rFonts w:eastAsia="Times New Roman"/>
          <w:color w:val="000000"/>
          <w:lang w:eastAsia="en-GB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rPr>
          <w:color w:val="000000"/>
        </w:rPr>
        <w:t>A substância pode causar sensibilização da pele e das vias respiratórias.</w:t>
      </w:r>
    </w:p>
  </w:endnote>
  <w:endnote w:id="9">
    <w:p>
      <w:pPr>
        <w:pStyle w:val="EndnoteText"/>
        <w:spacing w:after="20"/>
        <w:ind w:left="360" w:hanging="360"/>
        <w:rPr>
          <w:rFonts w:eastAsia="Times New Roman"/>
          <w:color w:val="000000"/>
          <w:lang w:eastAsia="en-GB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rPr>
          <w:color w:val="000000"/>
        </w:rPr>
        <w:t>A substância pode causar sensibilização da pele.</w:t>
      </w:r>
    </w:p>
  </w:endnote>
  <w:endnote w:id="10">
    <w:p>
      <w:pPr>
        <w:pStyle w:val="EndnoteText"/>
        <w:spacing w:after="20"/>
        <w:ind w:left="360" w:hanging="360"/>
        <w:rPr>
          <w:rFonts w:eastAsia="Times New Roman"/>
          <w:color w:val="000000"/>
          <w:lang w:eastAsia="en-GB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rPr>
          <w:color w:val="000000"/>
        </w:rPr>
        <w:t>Contribuição importante para a carga corporal total possível por exposição cutânea.</w:t>
      </w:r>
    </w:p>
    <w:p>
      <w:pPr>
        <w:pStyle w:val="EndnoteText"/>
        <w:spacing w:after="20"/>
        <w:ind w:left="360" w:hanging="360"/>
      </w:pPr>
    </w:p>
    <w:p>
      <w:pPr>
        <w:pStyle w:val="EndnoteText"/>
        <w:spacing w:after="20"/>
        <w:ind w:left="360" w:hanging="3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9558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>
    <w:nsid w:val="2BD83CB7"/>
    <w:multiLevelType w:val="hybridMultilevel"/>
    <w:tmpl w:val="19FE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4B0C"/>
    <w:multiLevelType w:val="hybridMultilevel"/>
    <w:tmpl w:val="36F60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4BF4"/>
    <w:multiLevelType w:val="hybridMultilevel"/>
    <w:tmpl w:val="3E4C7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F3EDA"/>
    <w:multiLevelType w:val="hybridMultilevel"/>
    <w:tmpl w:val="EBAA8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0E94"/>
    <w:multiLevelType w:val="hybridMultilevel"/>
    <w:tmpl w:val="0220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A6FC8"/>
    <w:multiLevelType w:val="hybridMultilevel"/>
    <w:tmpl w:val="54E677C0"/>
    <w:lvl w:ilvl="0" w:tplc="E4C0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2127F"/>
    <w:multiLevelType w:val="singleLevel"/>
    <w:tmpl w:val="057A5296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>
    <w:nsid w:val="555C796A"/>
    <w:multiLevelType w:val="hybridMultilevel"/>
    <w:tmpl w:val="47E6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8119A"/>
    <w:multiLevelType w:val="hybridMultilevel"/>
    <w:tmpl w:val="FADA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56EE5"/>
    <w:multiLevelType w:val="singleLevel"/>
    <w:tmpl w:val="3378D27C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AFE543F"/>
    <w:multiLevelType w:val="hybridMultilevel"/>
    <w:tmpl w:val="9B10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a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5314EA7-7766-4DC1-B6C2-7263C5409DA4"/>
    <w:docVar w:name="LW_COVERPAGE_TYPE" w:val="1"/>
    <w:docVar w:name="LW_CROSSREFERENCE" w:val="{SWD(2018) 87 final}_x000b_{SWD(2018) 88 final}"/>
    <w:docVar w:name="LW_DocType" w:val="NORMAL"/>
    <w:docVar w:name="LW_EMISSION" w:val="5.4.2018"/>
    <w:docVar w:name="LW_EMISSION_ISODATE" w:val="2018-04-05"/>
    <w:docVar w:name="LW_EMISSION_LOCATION" w:val="BRX"/>
    <w:docVar w:name="LW_EMISSION_PREFIX" w:val="Bruxelas, "/>
    <w:docVar w:name="LW_EMISSION_SUFFIX" w:val="&lt;EMPTY&gt;"/>
    <w:docVar w:name="LW_ID_DOCTYPE_NONLW" w:val="CP-036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DIRETIVA DO PARLAMENTO EUROPEU E DO CONSELHO_x000b_que altera a Diretiva 2004/37/CE relativa à proteção dos trabalhadores contra riscos ligados à exposição a agentes cancerígenos ou mutagénicos durante o trabalho"/>
    <w:docVar w:name="LW_PART_NBR" w:val="1"/>
    <w:docVar w:name="LW_PART_NBR_TOTAL" w:val="1"/>
    <w:docVar w:name="LW_REF.INST.NEW" w:val="COM"/>
    <w:docVar w:name="LW_REF.INST.NEW_ADOPTED" w:val="final"/>
    <w:docVar w:name="LW_REF.INST.NEW_TEXT" w:val="(2018) 1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Proposta 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0F2C-71C7-4A61-876B-EB9F9894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178</Words>
  <Characters>728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for CMD III</vt:lpstr>
    </vt:vector>
  </TitlesOfParts>
  <Manager/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for CMD III</dc:title>
  <dc:creator/>
  <cp:lastModifiedBy>DIGIT/A3</cp:lastModifiedBy>
  <cp:revision>15</cp:revision>
  <cp:lastPrinted>2018-03-13T17:29:00Z</cp:lastPrinted>
  <dcterms:created xsi:type="dcterms:W3CDTF">2018-03-13T17:26:00Z</dcterms:created>
  <dcterms:modified xsi:type="dcterms:W3CDTF">2018-04-09T08:37:00Z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