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5E8E351-AE65-4BEF-8EBD-BA2A4BDCEB35" style="width:450.4pt;height:44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Rfrenceinterinstitutionnelle"/>
        <w:rPr>
          <w:noProof/>
        </w:rPr>
      </w:pPr>
      <w:bookmarkStart w:id="0" w:name="_GoBack"/>
      <w:bookmarkEnd w:id="0"/>
      <w:r>
        <w:rPr>
          <w:noProof/>
        </w:rPr>
        <w:lastRenderedPageBreak/>
        <w:t>2013/0103 (COD)</w:t>
      </w:r>
    </w:p>
    <w:p>
      <w:pPr>
        <w:pStyle w:val="Typedudocument"/>
        <w:rPr>
          <w:noProof/>
        </w:rPr>
      </w:pPr>
      <w:r>
        <w:rPr>
          <w:noProof/>
        </w:rPr>
        <w:t>COMUNICARE A COMISIEI CĂTRE PARLAMENTUL EUROPEAN</w:t>
      </w:r>
      <w:r>
        <w:rPr>
          <w:noProof/>
        </w:rPr>
        <w:br/>
      </w:r>
      <w:r>
        <w:rPr>
          <w:noProof/>
        </w:rPr>
        <w:br/>
        <w:t>în conformitate cu articolul 294 alineatul (6) din Tratatul privind funcţionarea Uniunii Europene</w:t>
      </w:r>
      <w:r>
        <w:rPr>
          <w:noProof/>
        </w:rPr>
        <w:br/>
      </w:r>
      <w:r>
        <w:rPr>
          <w:noProof/>
        </w:rPr>
        <w:br/>
        <w:t>privind</w:t>
      </w:r>
    </w:p>
    <w:p>
      <w:pPr>
        <w:pStyle w:val="Titreobjet"/>
        <w:rPr>
          <w:noProof/>
        </w:rPr>
      </w:pPr>
      <w:r>
        <w:rPr>
          <w:noProof/>
        </w:rPr>
        <w:t>poziția Consiliului cu privire la adoptarea unui Regulament al Parlamentului European și al Consiliului de modificare a Regulamentului (UE) 2016/1036 privind protecția împotriva importurilor care fac obiectul unui dumping din partea țărilor care nu sunt membre ale Uniunii Europene și a Regulamentului (UE) 2016/1037 privind protecția împotriva importurilor care fac obiectul unor subvenții din partea țărilor care nu sunt membre ale Uniunii Europene</w:t>
      </w:r>
    </w:p>
    <w:p>
      <w:pPr>
        <w:pStyle w:val="Point0"/>
        <w:rPr>
          <w:b/>
          <w:smallCaps/>
          <w:noProof/>
        </w:rPr>
      </w:pPr>
      <w:r>
        <w:rPr>
          <w:b/>
          <w:smallCaps/>
          <w:noProof/>
        </w:rPr>
        <w:t>1.</w:t>
      </w:r>
      <w:r>
        <w:rPr>
          <w:b/>
          <w:smallCaps/>
          <w:noProof/>
        </w:rPr>
        <w:tab/>
        <w:t>Context</w:t>
      </w:r>
    </w:p>
    <w:tbl>
      <w:tblPr>
        <w:tblW w:w="0" w:type="auto"/>
        <w:tblLayout w:type="fixed"/>
        <w:tblLook w:val="0000" w:firstRow="0" w:lastRow="0" w:firstColumn="0" w:lastColumn="0" w:noHBand="0" w:noVBand="0"/>
      </w:tblPr>
      <w:tblGrid>
        <w:gridCol w:w="6804"/>
        <w:gridCol w:w="2483"/>
      </w:tblGrid>
      <w:tr>
        <w:tc>
          <w:tcPr>
            <w:tcW w:w="6804" w:type="dxa"/>
          </w:tcPr>
          <w:p>
            <w:pPr>
              <w:jc w:val="left"/>
              <w:rPr>
                <w:noProof/>
              </w:rPr>
            </w:pPr>
            <w:r>
              <w:rPr>
                <w:noProof/>
              </w:rPr>
              <w:t>Data transmiterii propunerii către Parlamentul European și Consiliu [documentul COM(2013) 192 final – 2013/0103 (COD)]:</w:t>
            </w:r>
          </w:p>
        </w:tc>
        <w:tc>
          <w:tcPr>
            <w:tcW w:w="2483" w:type="dxa"/>
          </w:tcPr>
          <w:p>
            <w:pPr>
              <w:jc w:val="left"/>
              <w:rPr>
                <w:noProof/>
              </w:rPr>
            </w:pPr>
            <w:r>
              <w:rPr>
                <w:noProof/>
              </w:rPr>
              <w:t>10.4.2013</w:t>
            </w:r>
          </w:p>
        </w:tc>
      </w:tr>
      <w:tr>
        <w:tc>
          <w:tcPr>
            <w:tcW w:w="6804" w:type="dxa"/>
          </w:tcPr>
          <w:p>
            <w:pPr>
              <w:rPr>
                <w:noProof/>
              </w:rPr>
            </w:pPr>
            <w:r>
              <w:rPr>
                <w:noProof/>
              </w:rPr>
              <w:t>Data poziției Parlamentului European, prima lectură:</w:t>
            </w:r>
          </w:p>
        </w:tc>
        <w:tc>
          <w:tcPr>
            <w:tcW w:w="2483" w:type="dxa"/>
          </w:tcPr>
          <w:p>
            <w:pPr>
              <w:jc w:val="left"/>
              <w:rPr>
                <w:noProof/>
              </w:rPr>
            </w:pPr>
            <w:r>
              <w:rPr>
                <w:noProof/>
              </w:rPr>
              <w:t>16.4.2014</w:t>
            </w:r>
          </w:p>
        </w:tc>
      </w:tr>
      <w:tr>
        <w:tc>
          <w:tcPr>
            <w:tcW w:w="6804" w:type="dxa"/>
          </w:tcPr>
          <w:p>
            <w:pPr>
              <w:rPr>
                <w:noProof/>
              </w:rPr>
            </w:pPr>
            <w:r>
              <w:rPr>
                <w:noProof/>
              </w:rPr>
              <w:t>Data adoptării poziției Consiliului:</w:t>
            </w:r>
          </w:p>
        </w:tc>
        <w:tc>
          <w:tcPr>
            <w:tcW w:w="2483" w:type="dxa"/>
          </w:tcPr>
          <w:p>
            <w:pPr>
              <w:jc w:val="left"/>
              <w:rPr>
                <w:noProof/>
              </w:rPr>
            </w:pPr>
            <w:r>
              <w:rPr>
                <w:noProof/>
              </w:rPr>
              <w:t>16.4.2018</w:t>
            </w:r>
          </w:p>
        </w:tc>
      </w:tr>
    </w:tbl>
    <w:p>
      <w:pPr>
        <w:pStyle w:val="Point0"/>
        <w:rPr>
          <w:b/>
          <w:smallCaps/>
          <w:noProof/>
        </w:rPr>
      </w:pPr>
    </w:p>
    <w:p>
      <w:pPr>
        <w:pStyle w:val="Point0"/>
        <w:rPr>
          <w:b/>
          <w:smallCaps/>
          <w:noProof/>
        </w:rPr>
      </w:pPr>
      <w:r>
        <w:rPr>
          <w:b/>
          <w:smallCaps/>
          <w:noProof/>
        </w:rPr>
        <w:t>2.</w:t>
      </w:r>
      <w:r>
        <w:rPr>
          <w:b/>
          <w:smallCaps/>
          <w:noProof/>
        </w:rPr>
        <w:tab/>
        <w:t>Obiectul propunerii Comisiei</w:t>
      </w:r>
    </w:p>
    <w:p>
      <w:pPr>
        <w:rPr>
          <w:noProof/>
        </w:rPr>
      </w:pPr>
      <w:r>
        <w:rPr>
          <w:noProof/>
        </w:rPr>
        <w:t xml:space="preserve">În conformitate cu evaluarea impactului [SWD(2013) 105 final], propunerea de modificare a Regulamentului (UE) 2016/1036 („regulamentul de bază antidumping”) și a Regulamentului (UE) 2016/1037 („regulamentul de bază antisubvenții”) are ca scop să asigure menținerea eficacității instrumentelor de apărare comercială ale UE în fața noilor provocări mondiale. Ea conține modificări în scopul de a îmbunătăți transparența și previzibilitatea, de a stabili măsuri eficace pentru combaterea subvenționării cu efect de denaturare a schimburilor comerciale și a denaturărilor privind materiile prime în țările terțe, precum și de a facilita cooperarea. </w:t>
      </w:r>
    </w:p>
    <w:p>
      <w:pPr>
        <w:pStyle w:val="Point0"/>
        <w:rPr>
          <w:b/>
          <w:smallCaps/>
          <w:noProof/>
        </w:rPr>
      </w:pPr>
      <w:r>
        <w:rPr>
          <w:b/>
          <w:smallCaps/>
          <w:noProof/>
        </w:rPr>
        <w:t>3.</w:t>
      </w:r>
      <w:r>
        <w:rPr>
          <w:b/>
          <w:smallCaps/>
          <w:noProof/>
        </w:rPr>
        <w:tab/>
        <w:t>Comentarii asupra poziției Parlamentului European</w:t>
      </w:r>
    </w:p>
    <w:p>
      <w:pPr>
        <w:rPr>
          <w:noProof/>
        </w:rPr>
      </w:pPr>
      <w:r>
        <w:rPr>
          <w:noProof/>
        </w:rPr>
        <w:t>Parlamentul European a adoptat poziția sa în primă lectură la 16 aprilie 2014. În poziția sa, Parlamentul European propunea amendamente la propunerea Comisiei, cum ar fi recunoașterea sindicatelor și a standardelor sociale și de mediu în cadrul anchetelor de apărare comercială, extinderea măsurilor de apărare comercială la platoul continental și la zona economică exclusivă a unui stat membru, precum și un sprijin suplimentar pentru întreprinderile mici și mijlocii. Ca urmare a adoptării de către Consiliu a poziției sale în primă lectură, se preconizează că Parlamentul European va aproba în mod oficial acordul la care s-a ajuns în cadrul trilogurilor.</w:t>
      </w:r>
    </w:p>
    <w:p>
      <w:pPr>
        <w:pStyle w:val="Point0"/>
        <w:rPr>
          <w:b/>
          <w:smallCaps/>
          <w:noProof/>
        </w:rPr>
      </w:pPr>
      <w:r>
        <w:rPr>
          <w:b/>
          <w:smallCaps/>
          <w:noProof/>
        </w:rPr>
        <w:t>4.</w:t>
      </w:r>
      <w:r>
        <w:rPr>
          <w:b/>
          <w:smallCaps/>
          <w:noProof/>
        </w:rPr>
        <w:tab/>
        <w:t>Comentarii asupra poziției Consiliului</w:t>
      </w:r>
    </w:p>
    <w:p>
      <w:pPr>
        <w:widowControl w:val="0"/>
        <w:rPr>
          <w:noProof/>
        </w:rPr>
      </w:pPr>
      <w:r>
        <w:rPr>
          <w:noProof/>
        </w:rPr>
        <w:t xml:space="preserve">Poziția Consiliului reflectă acordul la care s-a ajuns în cadrul trilogurilor. Ea sprijină și detaliază în continuare propunerea Comisiei, printre altele, prin intermediul unei perioade de informare prealabile de trei săptămâni, cu aplicarea unor măsuri de protecție împotriva stocării. În contextul regulii taxei celei mai mici, măsurile compensatorii se aplică în mod </w:t>
      </w:r>
      <w:r>
        <w:rPr>
          <w:noProof/>
        </w:rPr>
        <w:lastRenderedPageBreak/>
        <w:t>normal la nivelul marjei de subvenție și, în cazurile antidumping, se introduce un prag de 17 % pentru denaturările privind materiile prime. Ambele tipuri de măsuri sunt supuse unui test referitor la interesul Uniunii și unei revizuiri generale a acestei practici în termen de 5 ani. Durata unei anchete antidumping este redusă. În plus, calculul ameliorat al prețului-țintă pentru industria europeană include costul integral, investițiile, C&amp;D și inovarea și un profit-țintă minim de 6 %.</w:t>
      </w:r>
    </w:p>
    <w:p>
      <w:pPr>
        <w:rPr>
          <w:b/>
          <w:smallCaps/>
          <w:noProof/>
        </w:rPr>
      </w:pPr>
      <w:r>
        <w:rPr>
          <w:b/>
          <w:smallCaps/>
          <w:noProof/>
        </w:rPr>
        <w:t>5.</w:t>
      </w:r>
      <w:r>
        <w:rPr>
          <w:b/>
          <w:smallCaps/>
          <w:noProof/>
        </w:rPr>
        <w:tab/>
        <w:t>Concluzie</w:t>
      </w:r>
    </w:p>
    <w:p>
      <w:pPr>
        <w:rPr>
          <w:noProof/>
        </w:rPr>
      </w:pPr>
      <w:r>
        <w:rPr>
          <w:noProof/>
        </w:rPr>
        <w:t>Comisia acceptă poziția adoptată de Consiliu.</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68B8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86E7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267D8E"/>
    <w:lvl w:ilvl="0">
      <w:start w:val="1"/>
      <w:numFmt w:val="decimal"/>
      <w:pStyle w:val="ListNumber2"/>
      <w:lvlText w:val="%1."/>
      <w:lvlJc w:val="left"/>
      <w:pPr>
        <w:tabs>
          <w:tab w:val="num" w:pos="643"/>
        </w:tabs>
        <w:ind w:left="643" w:hanging="360"/>
      </w:pPr>
    </w:lvl>
  </w:abstractNum>
  <w:abstractNum w:abstractNumId="3">
    <w:nsid w:val="FFFFFF81"/>
    <w:multiLevelType w:val="singleLevel"/>
    <w:tmpl w:val="CC4615E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ADA3DB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5D6B2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22872A"/>
    <w:lvl w:ilvl="0">
      <w:start w:val="1"/>
      <w:numFmt w:val="decimal"/>
      <w:pStyle w:val="ListNumber"/>
      <w:lvlText w:val="%1."/>
      <w:lvlJc w:val="left"/>
      <w:pPr>
        <w:tabs>
          <w:tab w:val="num" w:pos="360"/>
        </w:tabs>
        <w:ind w:left="360" w:hanging="360"/>
      </w:pPr>
    </w:lvl>
  </w:abstractNum>
  <w:abstractNum w:abstractNumId="7">
    <w:nsid w:val="FFFFFF89"/>
    <w:multiLevelType w:val="singleLevel"/>
    <w:tmpl w:val="EFB2352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23 11:20: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C5E8E351-AE65-4BEF-8EBD-BA2A4BDCEB35"/>
    <w:docVar w:name="LW_COVERPAGE_TYPE" w:val="1"/>
    <w:docVar w:name="LW_CROSSREFERENCE" w:val="&lt;UNUSED&gt;"/>
    <w:docVar w:name="LW_DocType" w:val="COM"/>
    <w:docVar w:name="LW_EMISSION" w:val="17.4.2018"/>
    <w:docVar w:name="LW_EMISSION_ISODATE" w:val="2018-04-17"/>
    <w:docVar w:name="LW_EMISSION_LOCATION" w:val="BRX"/>
    <w:docVar w:name="LW_EMISSION_PREFIX" w:val="Bruxelles,"/>
    <w:docVar w:name="LW_EMISSION_SUFFIX" w:val="&lt;EMPTY&gt;"/>
    <w:docVar w:name="LW_ID_DOCMODEL" w:val="SJ-028"/>
    <w:docVar w:name="LW_ID_DOCSTRUCTURE" w:val="COM/PL/CODEC"/>
    <w:docVar w:name="LW_ID_DOCTYPE" w:val="SJ-028"/>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103"/>
    <w:docVar w:name="LW_REF.II.NEW.CP_YEAR" w:val="2013"/>
    <w:docVar w:name="LW_REF.INST.NEW" w:val="COM"/>
    <w:docVar w:name="LW_REF.INST.NEW_ADOPTED" w:val="final"/>
    <w:docVar w:name="LW_REF.INST.NEW_TEXT" w:val="(2018) 1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pozi\u539?ia Consiliului cu privire la adoptarea unui Regulament al Parlamentului European \u537?i al Consiliului de modificare a Regulamentului (UE) 2016/1036 privind protec\u539?ia împotriva importurilor care fac obiectul unui dumping din partea \u539?\u259?rilor care nu sunt membre ale Uniunii Europene \u537?i a Regulamentului (UE) 2016/1037 privind protec\u539?ia împotriva importurilor care fac obiectul unor subven\u539?ii din partea \u539?\u259?rilor care nu sunt membre ale Uniunii Europene"/>
    <w:docVar w:name="LW_TYPE.DOC.CP" w:val="COMUNICARE A COMISIEI C\u258?TRE PARLAMENTUL EUROPEAN_x000b__x000b_în conformitate cu articolul 294 alineatul (6) din Tratatul privind func\u355?ionarea Uniunii Europene_x000b__x000b_privin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3</Pages>
  <Words>451</Words>
  <Characters>2782</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16</cp:revision>
  <dcterms:created xsi:type="dcterms:W3CDTF">2018-03-23T10:20:00Z</dcterms:created>
  <dcterms:modified xsi:type="dcterms:W3CDTF">2018-04-05T11:50:00Z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COM/PL/CODEC</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SJ-028</vt:lpwstr>
  </property>
  <property fmtid="{D5CDD505-2E9C-101B-9397-08002B2CF9AE}" pid="10" name="DQCStatus">
    <vt:lpwstr>Yellow (DQC version 03)</vt:lpwstr>
  </property>
</Properties>
</file>