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ED09853-79FA-40E9-B558-038B8B44A46C" style="width:450.35pt;height:429.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2013/0103 (COD)</w:t>
      </w:r>
    </w:p>
    <w:p>
      <w:pPr>
        <w:pStyle w:val="Typedudocument"/>
        <w:rPr>
          <w:noProof/>
        </w:rPr>
      </w:pPr>
      <w:r>
        <w:rPr>
          <w:noProof/>
        </w:rPr>
        <w:t>MEDEDELING VAN DE COMMISSIE AAN HET EUROPEES PARLEMENT</w:t>
      </w:r>
      <w:r>
        <w:rPr>
          <w:noProof/>
        </w:rPr>
        <w:br/>
      </w:r>
      <w:r>
        <w:rPr>
          <w:noProof/>
        </w:rPr>
        <w:br/>
        <w:t>overeenkomstig artikel 294, lid 6, van het Verdrag betreffende de werking van de Europese Unie</w:t>
      </w:r>
      <w:r>
        <w:rPr>
          <w:noProof/>
        </w:rPr>
        <w:br/>
      </w:r>
      <w:r>
        <w:rPr>
          <w:noProof/>
        </w:rPr>
        <w:br/>
        <w:t>over het</w:t>
      </w:r>
    </w:p>
    <w:p>
      <w:pPr>
        <w:pStyle w:val="Titreobjet"/>
        <w:rPr>
          <w:noProof/>
        </w:rPr>
      </w:pPr>
      <w:r>
        <w:rPr>
          <w:noProof/>
        </w:rPr>
        <w:t>standpunt van de Raad met het oog op de aanneming van een verordening van het Europees Parlement en de Raad tot wijziging van Verordening (EU) 2016/1036 betreffende beschermende maatregelen tegen invoer met dumping uit landen die geen lid zijn van de Europese Unie en Verordening (EU) 2016/1037 betreffende bescherming tegen invoer met subsidiëring uit landen die geen lid zijn van de Europese Unie</w:t>
      </w:r>
    </w:p>
    <w:p>
      <w:pPr>
        <w:pStyle w:val="Point0"/>
        <w:rPr>
          <w:b/>
          <w:smallCaps/>
          <w:noProof/>
        </w:rPr>
      </w:pPr>
      <w:r>
        <w:rPr>
          <w:b/>
          <w:smallCaps/>
          <w:noProof/>
        </w:rPr>
        <w:t>1.</w:t>
      </w:r>
      <w:r>
        <w:rPr>
          <w:noProof/>
        </w:rPr>
        <w:tab/>
      </w:r>
      <w:r>
        <w:rPr>
          <w:b/>
          <w:smallCaps/>
          <w:noProof/>
        </w:rPr>
        <w:t>Chronologisch overzicht</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Indiening voorstel bij het Europees Parlement en de Raad (document COM(2013) 192 final — 2013/0103 (COD)):</w:t>
            </w:r>
          </w:p>
        </w:tc>
        <w:tc>
          <w:tcPr>
            <w:tcW w:w="2483" w:type="dxa"/>
          </w:tcPr>
          <w:p>
            <w:pPr>
              <w:jc w:val="left"/>
              <w:rPr>
                <w:noProof/>
              </w:rPr>
            </w:pPr>
            <w:r>
              <w:rPr>
                <w:noProof/>
              </w:rPr>
              <w:t>10/4/2013</w:t>
            </w:r>
          </w:p>
        </w:tc>
      </w:tr>
      <w:tr>
        <w:tc>
          <w:tcPr>
            <w:tcW w:w="6804" w:type="dxa"/>
          </w:tcPr>
          <w:p>
            <w:pPr>
              <w:rPr>
                <w:noProof/>
              </w:rPr>
            </w:pPr>
            <w:r>
              <w:rPr>
                <w:noProof/>
              </w:rPr>
              <w:t>Standpunt van het Europees Parlement in eerste lezing:</w:t>
            </w:r>
          </w:p>
        </w:tc>
        <w:tc>
          <w:tcPr>
            <w:tcW w:w="2483" w:type="dxa"/>
          </w:tcPr>
          <w:p>
            <w:pPr>
              <w:jc w:val="left"/>
              <w:rPr>
                <w:noProof/>
              </w:rPr>
            </w:pPr>
            <w:r>
              <w:rPr>
                <w:noProof/>
              </w:rPr>
              <w:t>16/4/2014</w:t>
            </w:r>
          </w:p>
        </w:tc>
      </w:tr>
      <w:tr>
        <w:tc>
          <w:tcPr>
            <w:tcW w:w="6804" w:type="dxa"/>
          </w:tcPr>
          <w:p>
            <w:pPr>
              <w:rPr>
                <w:noProof/>
              </w:rPr>
            </w:pPr>
            <w:r>
              <w:rPr>
                <w:noProof/>
              </w:rPr>
              <w:t>Vaststelling van het standpunt van de Raad:</w:t>
            </w:r>
          </w:p>
        </w:tc>
        <w:tc>
          <w:tcPr>
            <w:tcW w:w="2483" w:type="dxa"/>
          </w:tcPr>
          <w:p>
            <w:pPr>
              <w:jc w:val="left"/>
              <w:rPr>
                <w:noProof/>
              </w:rPr>
            </w:pPr>
            <w:r>
              <w:rPr>
                <w:noProof/>
              </w:rPr>
              <w:t>16/4/2018</w:t>
            </w:r>
          </w:p>
        </w:tc>
      </w:tr>
    </w:tbl>
    <w:p>
      <w:pPr>
        <w:pStyle w:val="Point0"/>
        <w:rPr>
          <w:b/>
          <w:smallCaps/>
          <w:noProof/>
        </w:rPr>
      </w:pPr>
    </w:p>
    <w:p>
      <w:pPr>
        <w:pStyle w:val="Point0"/>
        <w:rPr>
          <w:b/>
          <w:smallCaps/>
          <w:noProof/>
        </w:rPr>
      </w:pPr>
      <w:r>
        <w:rPr>
          <w:b/>
          <w:smallCaps/>
          <w:noProof/>
        </w:rPr>
        <w:t>2.</w:t>
      </w:r>
      <w:r>
        <w:rPr>
          <w:noProof/>
        </w:rPr>
        <w:tab/>
      </w:r>
      <w:r>
        <w:rPr>
          <w:b/>
          <w:smallCaps/>
          <w:noProof/>
        </w:rPr>
        <w:t>Doel van het voorstel van de Commissie</w:t>
      </w:r>
    </w:p>
    <w:p>
      <w:pPr>
        <w:rPr>
          <w:noProof/>
        </w:rPr>
      </w:pPr>
      <w:r>
        <w:rPr>
          <w:noProof/>
        </w:rPr>
        <w:t>In overeenstemming met de effectbeoordeling (SWD(2013) 105 final) beoogt het voorstel tot wijziging van Verordening (EU) 2016/1036 ("de antidumpingbasisverordening") en Verordening (EU) 2016/1037 ("de antisubsidiebasisverordening") de blijvende doeltreffendheid van de handelsbeschermingsinstrumenten van de EU te waarborgen in het licht van nieuwe wereldwijde uitdagingen. De voorgestelde wijzigingen strekken ertoe de transparantie en de voorspelbaarheid te vergroten, in doeltreffende maatregelen ter bestrijding van handelsverstorende subsidies en verstoringen van de grondstoffenmarkt in derde landen te voorzien en de samenwerking te vergemakkelijken.</w:t>
      </w:r>
    </w:p>
    <w:p>
      <w:pPr>
        <w:pStyle w:val="Point0"/>
        <w:rPr>
          <w:b/>
          <w:smallCaps/>
          <w:noProof/>
        </w:rPr>
      </w:pPr>
      <w:r>
        <w:rPr>
          <w:b/>
          <w:smallCaps/>
          <w:noProof/>
        </w:rPr>
        <w:t>3.</w:t>
      </w:r>
      <w:r>
        <w:rPr>
          <w:noProof/>
        </w:rPr>
        <w:tab/>
      </w:r>
      <w:r>
        <w:rPr>
          <w:b/>
          <w:smallCaps/>
          <w:noProof/>
        </w:rPr>
        <w:t>Opmerkingen over het standpunt van het Europees Parlement</w:t>
      </w:r>
    </w:p>
    <w:p>
      <w:pPr>
        <w:rPr>
          <w:noProof/>
        </w:rPr>
      </w:pPr>
      <w:r>
        <w:rPr>
          <w:noProof/>
        </w:rPr>
        <w:t>Het Europees Parlement heeft zijn standpunt in eerste lezing vastgesteld op 16 april 2014. Het stelt daarin wijzigingen van het Commissievoorstel voor, zoals de erkenning van vakbonden en van sociale en milieunormen in het kader van handelsbeschermingsonderzoeken, de uitbreiding van handelsbeschermingsmaatregelen tot het continentaal plat en de exclusieve economische zone van een lidstaat alsmede extra steun voor kleine en middelgrote ondernemingen. Na de vaststelling door de Raad van zijn standpunt in eerste lezing zal het Europees Parlement naar verwachting formeel zijn goedkeuring hechten aan het in de trialoogrondes bereikte akkoord.</w:t>
      </w:r>
    </w:p>
    <w:p>
      <w:pPr>
        <w:pStyle w:val="Point0"/>
        <w:rPr>
          <w:b/>
          <w:smallCaps/>
          <w:noProof/>
        </w:rPr>
      </w:pPr>
      <w:r>
        <w:rPr>
          <w:b/>
          <w:smallCaps/>
          <w:noProof/>
        </w:rPr>
        <w:t>4.</w:t>
      </w:r>
      <w:r>
        <w:rPr>
          <w:noProof/>
        </w:rPr>
        <w:tab/>
      </w:r>
      <w:r>
        <w:rPr>
          <w:b/>
          <w:smallCaps/>
          <w:noProof/>
        </w:rPr>
        <w:t>Opmerkingen over het standpunt van de Raad</w:t>
      </w:r>
    </w:p>
    <w:p>
      <w:pPr>
        <w:widowControl w:val="0"/>
        <w:rPr>
          <w:noProof/>
        </w:rPr>
      </w:pPr>
      <w:r>
        <w:rPr>
          <w:noProof/>
        </w:rPr>
        <w:t>Het standpunt van de Raad volgt het in de trialoogrondes bereikte akkoord. De Raad steunt het voorstel van de Commissie en werkt dit nader uit, onder meer door een periode van drie weken voor mededeling vooraf met waarborgen tegen het aanleggen van voorraden op te nemen. Wat de regel van het laagste recht betreft, worden de compenserende maatregelen normaal gesproken op het niveau van de subsidiemarge toegepast, en in antidumpingzaken wordt een drempel van 17 % voor verstoringen met betrekking tot grondstoffen ingevoerd. Voor deze maatregelen en deze drempel vindt een beoordeling van het belang van de Unie en een algemene evaluatie na vijf jaar plaats. De duur van antidumpingonderzoeken wordt verkort. Verder wordt de berekening van de richtprijs voor de EU-bedrijfstak verbeterd door alle kosten, investeringen, O&amp;O en innovatie, en een minimale streefwinst van 6 % in aanmerking te nemen.</w:t>
      </w:r>
    </w:p>
    <w:p>
      <w:pPr>
        <w:rPr>
          <w:b/>
          <w:smallCaps/>
          <w:noProof/>
        </w:rPr>
      </w:pPr>
      <w:r>
        <w:rPr>
          <w:b/>
          <w:smallCaps/>
          <w:noProof/>
        </w:rPr>
        <w:t>5.</w:t>
      </w:r>
      <w:r>
        <w:rPr>
          <w:noProof/>
        </w:rPr>
        <w:tab/>
      </w:r>
      <w:r>
        <w:rPr>
          <w:b/>
          <w:smallCaps/>
          <w:noProof/>
        </w:rPr>
        <w:t>Conclusie</w:t>
      </w:r>
    </w:p>
    <w:p>
      <w:pPr>
        <w:rPr>
          <w:noProof/>
        </w:rPr>
      </w:pPr>
      <w:r>
        <w:rPr>
          <w:noProof/>
        </w:rPr>
        <w:t>De Commissie gaat akkoord met het standpunt van de Raad.</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68B8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86E7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267D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4615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ADA3D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5D6B2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22872A"/>
    <w:lvl w:ilvl="0">
      <w:start w:val="1"/>
      <w:numFmt w:val="decimal"/>
      <w:pStyle w:val="ListNumber"/>
      <w:lvlText w:val="%1."/>
      <w:lvlJc w:val="left"/>
      <w:pPr>
        <w:tabs>
          <w:tab w:val="num" w:pos="360"/>
        </w:tabs>
        <w:ind w:left="360" w:hanging="360"/>
      </w:pPr>
    </w:lvl>
  </w:abstractNum>
  <w:abstractNum w:abstractNumId="7">
    <w:nsid w:val="FFFFFF89"/>
    <w:multiLevelType w:val="singleLevel"/>
    <w:tmpl w:val="EFB235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08:44: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FED09853-79FA-40E9-B558-038B8B44A46C"/>
    <w:docVar w:name="LW_COVERPAGE_TYPE" w:val="1"/>
    <w:docVar w:name="LW_CROSSREFERENCE" w:val="&lt;UNUSED&gt;"/>
    <w:docVar w:name="LW_DocType" w:val="COM"/>
    <w:docVar w:name="LW_EMISSION" w:val="17.4.2018"/>
    <w:docVar w:name="LW_EMISSION_ISODATE" w:val="2018-04-17"/>
    <w:docVar w:name="LW_EMISSION_LOCATION" w:val="BRX"/>
    <w:docVar w:name="LW_EMISSION_PREFIX" w:val="Brussel,"/>
    <w:docVar w:name="LW_EMISSION_SUFFIX" w:val="&lt;EMPTY&gt;"/>
    <w:docVar w:name="LW_ID_DOCMODEL" w:val="SJ-028"/>
    <w:docVar w:name="LW_ID_DOCSTRUCTURE" w:val="COM/PL/CODEC"/>
    <w:docVar w:name="LW_ID_DOCTYPE" w:val="SJ-028"/>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103"/>
    <w:docVar w:name="LW_REF.II.NEW.CP_YEAR" w:val="2013"/>
    <w:docVar w:name="LW_REF.INST.NEW" w:val="COM"/>
    <w:docVar w:name="LW_REF.INST.NEW_ADOPTED" w:val="final"/>
    <w:docVar w:name="LW_REF.INST.NEW_TEXT" w:val="(2018) 1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tandpunt van de Raad met het oog op de aanneming van een verordening van het Europees Parlement en de Raad tot wijziging van Verordening (EU) 2016/1036 betreffende beschermende maatregelen tegen invoer met dumping uit landen die geen lid zijn van de Europese Unie en Verordening (EU) 2016/1037 betreffende bescherming tegen invoer met subsidiëring uit landen die geen lid zijn van de Europese Unie"/>
    <w:docVar w:name="LW_TYPE.DOC.CP" w:val="MEDEDELING VAN DE COMMISSIE AAN HET EUROPEES PARLEMENT_x000b__x000b_overeenkomstig artikel 294, lid 6, van het Verdrag betreffende de werking van de Europese Unie_x000b__x000b_over he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3</Pages>
  <Words>473</Words>
  <Characters>2796</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dcterms:created xsi:type="dcterms:W3CDTF">2018-03-23T07:43:00Z</dcterms:created>
  <dcterms:modified xsi:type="dcterms:W3CDTF">2018-04-05T11:49:00Z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Yellow (DQC version 03)</vt:lpwstr>
  </property>
</Properties>
</file>