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46" w:rsidRDefault="00BD37FC" w:rsidP="00BD37F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EB3B2BE-86B9-4EBF-9CE1-330A84A252F7" style="width:450.8pt;height:409.45pt">
            <v:imagedata r:id="rId12" o:title=""/>
          </v:shape>
        </w:pict>
      </w:r>
    </w:p>
    <w:p w:rsidR="00D03C46" w:rsidRDefault="00D03C46">
      <w:pPr>
        <w:pStyle w:val="Pagedecouverture"/>
        <w:rPr>
          <w:noProof/>
        </w:rPr>
        <w:sectPr w:rsidR="00D03C46" w:rsidSect="00BD37FC">
          <w:headerReference w:type="even" r:id="rId13"/>
          <w:headerReference w:type="default" r:id="rId14"/>
          <w:footerReference w:type="even" r:id="rId15"/>
          <w:footerReference w:type="default" r:id="rId16"/>
          <w:headerReference w:type="first" r:id="rId17"/>
          <w:footerReference w:type="first" r:id="rId18"/>
          <w:pgSz w:w="11907" w:h="16839" w:code="9"/>
          <w:pgMar w:top="1134" w:right="1417" w:bottom="1134" w:left="1417" w:header="709" w:footer="709" w:gutter="0"/>
          <w:pgNumType w:start="0"/>
          <w:cols w:space="720"/>
          <w:docGrid w:linePitch="360"/>
        </w:sectPr>
      </w:pPr>
    </w:p>
    <w:p w:rsidR="00D03C46" w:rsidRDefault="00BD37FC">
      <w:pPr>
        <w:pStyle w:val="Exposdesmotifstitre"/>
        <w:rPr>
          <w:noProof/>
        </w:rPr>
      </w:pPr>
      <w:r>
        <w:rPr>
          <w:noProof/>
        </w:rPr>
        <w:lastRenderedPageBreak/>
        <w:t>PERUSTELUT</w:t>
      </w:r>
    </w:p>
    <w:p w:rsidR="00D03C46" w:rsidRDefault="00BD37FC">
      <w:pPr>
        <w:pStyle w:val="ManualHeading1"/>
        <w:rPr>
          <w:noProof/>
        </w:rPr>
      </w:pPr>
      <w:r>
        <w:rPr>
          <w:noProof/>
        </w:rPr>
        <w:t>1.</w:t>
      </w:r>
      <w:r>
        <w:rPr>
          <w:noProof/>
        </w:rPr>
        <w:tab/>
        <w:t>EHDOTUKSEN TAUSTA</w:t>
      </w:r>
    </w:p>
    <w:p w:rsidR="00D03C46" w:rsidRDefault="00BD37FC">
      <w:pPr>
        <w:pStyle w:val="ManualHeading2"/>
        <w:rPr>
          <w:rFonts w:eastAsia="Arial Unicode MS"/>
          <w:noProof/>
        </w:rPr>
      </w:pPr>
      <w:r>
        <w:rPr>
          <w:noProof/>
          <w:color w:val="000000"/>
          <w:u w:color="000000"/>
          <w:bdr w:val="nil"/>
        </w:rPr>
        <w:t>•</w:t>
      </w:r>
      <w:r>
        <w:rPr>
          <w:noProof/>
        </w:rPr>
        <w:tab/>
        <w:t>Ehdotuksen perustelut ja tavoitteet</w:t>
      </w:r>
    </w:p>
    <w:p w:rsidR="00D03C46" w:rsidRDefault="00BD37FC">
      <w:pPr>
        <w:rPr>
          <w:noProof/>
        </w:rPr>
      </w:pPr>
      <w:r>
        <w:rPr>
          <w:noProof/>
        </w:rPr>
        <w:t xml:space="preserve">EU:n sääntöjen täytäntöönpanon tehokas valvonta on eurooppalaisten kannalta </w:t>
      </w:r>
      <w:r>
        <w:rPr>
          <w:noProof/>
        </w:rPr>
        <w:t>tärkeää ja vaikuttaa heidän jokapäiväiseen elämäänsä. Siksi tarvitaan vahva, tehokas ja vaikuttava täytäntöönpanojärjestelmä varmistamaan, että jäsenvaltiot soveltavat tinkimättä EU:n lainsäädäntöä, panevat sen täytäntöön ja valvovat sen noudattamista sekä</w:t>
      </w:r>
      <w:r>
        <w:rPr>
          <w:noProof/>
        </w:rPr>
        <w:t xml:space="preserve"> antavat kansalaistensa käyttöön riittävät keinot hyvityksen vaatimiseksi.</w:t>
      </w:r>
    </w:p>
    <w:p w:rsidR="00D03C46" w:rsidRDefault="00BD37FC">
      <w:pPr>
        <w:rPr>
          <w:noProof/>
        </w:rPr>
      </w:pPr>
      <w:r>
        <w:rPr>
          <w:noProof/>
        </w:rPr>
        <w:t>Tämän ehdotuksen tarkoituksena on uudenaikaistaa ja korvata kieltokannedirektiivi (kuluttajien etujen suojaamista tarkoittavista kieltokanteista 23 päivänä huhtikuuta 2009 annettu E</w:t>
      </w:r>
      <w:r>
        <w:rPr>
          <w:noProof/>
        </w:rPr>
        <w:t>uroopan parlamentin ja neuvoston direktiivi 2009/22/EY</w:t>
      </w:r>
      <w:r>
        <w:rPr>
          <w:rStyle w:val="FootnoteReference"/>
          <w:noProof/>
        </w:rPr>
        <w:footnoteReference w:id="2"/>
      </w:r>
      <w:r>
        <w:rPr>
          <w:noProof/>
        </w:rPr>
        <w:t>). Yhdessä tämän ehdotuksen kanssa annetaan ehdotus neljän muun EU:n kuluttajalainsäädäntöä koskevan direktiivin kohdennetusta muuttamisesta.</w:t>
      </w:r>
      <w:r>
        <w:rPr>
          <w:rStyle w:val="FootnoteReference"/>
          <w:noProof/>
        </w:rPr>
        <w:footnoteReference w:id="3"/>
      </w:r>
      <w:r>
        <w:rPr>
          <w:noProof/>
        </w:rPr>
        <w:t xml:space="preserve"> Ehdotukset ovat osa Kuluttajat vahvempaan asemaan -paketti</w:t>
      </w:r>
      <w:r>
        <w:rPr>
          <w:noProof/>
        </w:rPr>
        <w:t>a</w:t>
      </w:r>
      <w:r>
        <w:rPr>
          <w:rStyle w:val="FootnoteReference"/>
          <w:noProof/>
        </w:rPr>
        <w:footnoteReference w:id="4"/>
      </w:r>
      <w:r>
        <w:rPr>
          <w:noProof/>
        </w:rPr>
        <w:t xml:space="preserve"> (”New Deal for Consumers”), joka sisältyy komission vuoden 2018 työohjelmaan</w:t>
      </w:r>
      <w:r>
        <w:rPr>
          <w:rStyle w:val="FootnoteReference"/>
          <w:noProof/>
        </w:rPr>
        <w:footnoteReference w:id="5"/>
      </w:r>
      <w:r>
        <w:rPr>
          <w:noProof/>
        </w:rPr>
        <w:t>. Tavoitteena on parantaa kieltokannemenettelyn tehokkuutta ja poistaa unionin lainsäädännön rikkomisesta aiheutuvat seuraamukset, jotka vaikuttavat kuluttajien yhteisiin etuih</w:t>
      </w:r>
      <w:r>
        <w:rPr>
          <w:noProof/>
        </w:rPr>
        <w:t>in.</w:t>
      </w:r>
    </w:p>
    <w:p w:rsidR="00D03C46" w:rsidRDefault="00BD37FC">
      <w:pPr>
        <w:rPr>
          <w:rFonts w:cs="Arial"/>
          <w:noProof/>
        </w:rPr>
      </w:pPr>
      <w:r>
        <w:rPr>
          <w:noProof/>
        </w:rPr>
        <w:t>Tämä ehdotus on jatkoa kahdelle komission toimenpiteelle. Toinen niistä on 23. toukokuuta 2017 tehty EU:n kuluttaja- ja markkinalainsäädäntöä koskeva REFIT-toimivuustarkastus</w:t>
      </w:r>
      <w:r>
        <w:rPr>
          <w:rStyle w:val="FootnoteReference"/>
          <w:noProof/>
        </w:rPr>
        <w:footnoteReference w:id="6"/>
      </w:r>
      <w:r>
        <w:rPr>
          <w:noProof/>
        </w:rPr>
        <w:t>, jäljempänä ’toimivuustarkastus’, joka kattoi myös kieltokannedirektiivin. T</w:t>
      </w:r>
      <w:r>
        <w:rPr>
          <w:noProof/>
        </w:rPr>
        <w:t>oinen on 25. tammikuuta 2018 annettu kollektiivisia oikeussuojakeinoja koskeva komission kertomus</w:t>
      </w:r>
      <w:r>
        <w:rPr>
          <w:rStyle w:val="FootnoteReference"/>
          <w:noProof/>
        </w:rPr>
        <w:footnoteReference w:id="7"/>
      </w:r>
      <w:r>
        <w:rPr>
          <w:noProof/>
        </w:rPr>
        <w:t>, jäljempänä ’ryhmäkannekertomus’ (komission kertomus unionin lainsäädäntöön perustuvien oikeuksien loukkauksiin perustuvia kieltokanteita ja vahingonkorvausv</w:t>
      </w:r>
      <w:r>
        <w:rPr>
          <w:noProof/>
        </w:rPr>
        <w:t>aatimuksia koskeviin jäsenvaltioiden kollektiivisiin oikeussuojakeinoihin sovellettavista yhteisistä periaatteista 11 päivänä kesäkuuta 2013 annetun komission suosituksen (2013/396/EU</w:t>
      </w:r>
      <w:r>
        <w:rPr>
          <w:rStyle w:val="FootnoteReference"/>
          <w:noProof/>
        </w:rPr>
        <w:footnoteReference w:id="8"/>
      </w:r>
      <w:r>
        <w:rPr>
          <w:noProof/>
        </w:rPr>
        <w:t xml:space="preserve">) täytäntöönpanosta). </w:t>
      </w:r>
    </w:p>
    <w:p w:rsidR="00D03C46" w:rsidRDefault="00BD37FC">
      <w:pPr>
        <w:rPr>
          <w:noProof/>
        </w:rPr>
      </w:pPr>
      <w:r>
        <w:rPr>
          <w:noProof/>
        </w:rPr>
        <w:t>Tehdyt arvioinnit ovat osoittaneet, että talouden</w:t>
      </w:r>
      <w:r>
        <w:rPr>
          <w:noProof/>
        </w:rPr>
        <w:t xml:space="preserve"> globalisaatio ja digitalisaatio lisäävät sellaisten unionin oikeuden rikkomisten riskiä, jotka vaikuttavat kuluttajien yhteisiin etuihin. EU:n oikeutta rikkovat elinkeinonharjoittajat voivat yhdellä harhaanjohtavalla mainoksella tai kohtuuttomalla vakioeh</w:t>
      </w:r>
      <w:r>
        <w:rPr>
          <w:noProof/>
        </w:rPr>
        <w:t xml:space="preserve">dolla vaikuttaa haitallisesti tuhansiin tai jopa miljooniin kuluttajiin useilla eri talouden aloilla. Kun rajat ylittävä kauppa lisääntyy ja markkinointistrategiat ovat </w:t>
      </w:r>
      <w:r>
        <w:rPr>
          <w:noProof/>
        </w:rPr>
        <w:lastRenderedPageBreak/>
        <w:t>yhä useammin EU:n laajuisia, on yhä tavallisempaa, että tällaiset rikkomiset vaikuttava</w:t>
      </w:r>
      <w:r>
        <w:rPr>
          <w:noProof/>
        </w:rPr>
        <w:t>t kuluttajiin useammassa kuin yhdessä jäsenvaltiossa. Tämän lisäksi ryhmäkannekertomuksessa on osoitettu, että jotkin jäsenvaltiot eivät ole vieläkään asettaneet käytettäväksi sellaisia kollektiivisia oikeussuojakeinoja, joiden avulla voitaisiin vaatia hyv</w:t>
      </w:r>
      <w:r>
        <w:rPr>
          <w:noProof/>
        </w:rPr>
        <w:t>itystä nimenomaan joukkovahinkotilanteissa. Ryhmäkannekertomuksessa on todettu, että komissio aikoo ryhtyä jatkotoimiin vuoden 2013 suositusta koskevan arvioinnin perusteella ja pyrkii tällöin erityisesti vahvistamaan kieltokannedirektiiviä siltä osin kuin</w:t>
      </w:r>
      <w:r>
        <w:rPr>
          <w:noProof/>
        </w:rPr>
        <w:t xml:space="preserve"> on kyse kuluttajien hyvityskeinoista ja säännösten täytäntöönpanon valvonnasta. </w:t>
      </w:r>
    </w:p>
    <w:p w:rsidR="00D03C46" w:rsidRDefault="00BD37FC">
      <w:pPr>
        <w:autoSpaceDE w:val="0"/>
        <w:autoSpaceDN w:val="0"/>
        <w:adjustRightInd w:val="0"/>
        <w:rPr>
          <w:noProof/>
        </w:rPr>
      </w:pPr>
      <w:r>
        <w:rPr>
          <w:noProof/>
        </w:rPr>
        <w:t>Kieltokannedirektiivi</w:t>
      </w:r>
      <w:r>
        <w:rPr>
          <w:rStyle w:val="FootnoteReference"/>
          <w:noProof/>
        </w:rPr>
        <w:footnoteReference w:id="9"/>
      </w:r>
      <w:r>
        <w:rPr>
          <w:noProof/>
        </w:rPr>
        <w:t xml:space="preserve"> annettiin alun perin vuonna 1998. Siitä lähtien tämä EU:n säädös on antanut jäsenvaltioille mahdollisuuden nimetä yksiköitä, joilla on oikeus nostaa ed</w:t>
      </w:r>
      <w:r>
        <w:rPr>
          <w:noProof/>
        </w:rPr>
        <w:t>ustajakanteita kuluttajien yhteisten etujen suojaamiseksi. Tällaisia toimijoita voivat olla esimerkiksi kuluttajajärjestöt tai riippumattomat julkiset elimet, ja kanteiden ensisijaisena tavoitteena on saada direktiivin liitteessä I lueteltujen EU:n kulutta</w:t>
      </w:r>
      <w:r>
        <w:rPr>
          <w:noProof/>
        </w:rPr>
        <w:t>jasäädösten rikkomiset loppumaan, olivatpa rikkomiset jäsenvaltioiden sisäisiä tai rajat ylittäviä. Kieltokannedirektiivin muutokset on kodifioitu voimassa olevassa direktiivissä 2009/22/EY. Direktiiviä on viimeksi muutettu perusteettomista maarajoituksist</w:t>
      </w:r>
      <w:r>
        <w:rPr>
          <w:noProof/>
        </w:rPr>
        <w:t>a annetulla asetuksella (EU) 2018/302</w:t>
      </w:r>
      <w:r>
        <w:rPr>
          <w:rStyle w:val="FootnoteReference"/>
          <w:noProof/>
        </w:rPr>
        <w:footnoteReference w:id="10"/>
      </w:r>
      <w:r>
        <w:rPr>
          <w:noProof/>
        </w:rPr>
        <w:t xml:space="preserve"> siten, että tämä asetus on sisällytetty direktiivin liitteeseen I. </w:t>
      </w:r>
    </w:p>
    <w:p w:rsidR="00D03C46" w:rsidRDefault="00BD37FC">
      <w:pPr>
        <w:autoSpaceDE w:val="0"/>
        <w:autoSpaceDN w:val="0"/>
        <w:adjustRightInd w:val="0"/>
        <w:rPr>
          <w:i/>
          <w:noProof/>
        </w:rPr>
      </w:pPr>
      <w:r>
        <w:rPr>
          <w:noProof/>
        </w:rPr>
        <w:t>Direktiivin merkitys vahvistui komission vuosina 2008 ja 2012 antamissa, kieltokannedirektiiviä koskevissa kertomuksissa ja vuosien 2016 ja 2017 aika</w:t>
      </w:r>
      <w:r>
        <w:rPr>
          <w:noProof/>
        </w:rPr>
        <w:t>na toteutetussa toimivuustarkastuksessa. Toimivuustarkastuksen mukaan direktiivissä oli kuitenkin merkittäviä puutteita. Jos niitä ei korjata, direktiivin vaikuttavuus ei olisi vastaisuudessakaan täysimääräistä, vaan sen hyödyntäminen olisi edelleen vajava</w:t>
      </w:r>
      <w:r>
        <w:rPr>
          <w:noProof/>
        </w:rPr>
        <w:t>ista. Jopa jäsenvaltioissa, joissa kieltokanteita pidetään tehokkaina ja niitä käytetään laajasti, direktiivin tarjoamia mahdollisuuksia ei hyödynnetä täysimääräisesti siitä syystä, että on monia osa-alueita, joihin direktiivissä ei puututa riittävästi. Ke</w:t>
      </w:r>
      <w:r>
        <w:rPr>
          <w:noProof/>
        </w:rPr>
        <w:t>skeisiä puutteita ovat seuraavat: direktiivin soveltamisala on rajoittunut, kieltopäätösten merkitys kuluttajien hyvitysten kannalta on vähäinen, ja kieltokannemenettely on kallis ja kestää pitkään (ks. kohta 3, jossa esitetään yhteenveto tuloksista).</w:t>
      </w:r>
    </w:p>
    <w:p w:rsidR="00D03C46" w:rsidRDefault="00BD37FC">
      <w:pPr>
        <w:autoSpaceDE w:val="0"/>
        <w:autoSpaceDN w:val="0"/>
        <w:adjustRightInd w:val="0"/>
        <w:rPr>
          <w:i/>
          <w:noProof/>
        </w:rPr>
      </w:pPr>
      <w:r>
        <w:rPr>
          <w:noProof/>
        </w:rPr>
        <w:t>Myös</w:t>
      </w:r>
      <w:r>
        <w:rPr>
          <w:noProof/>
        </w:rPr>
        <w:t xml:space="preserve"> Euroopan parlamentti on todennut, että EU:n on syytä ryhtyä toimiin kollektiivisten hyvityskeinojen kohentamiseksi. Vuonna 2012 antamassaan päätöslauselmassa ”Kollektiivisia oikeussuojakeinoja koskeva johdonmukainen eurooppalainen lähestymistapa”</w:t>
      </w:r>
      <w:r>
        <w:rPr>
          <w:rStyle w:val="FootnoteReference"/>
          <w:noProof/>
        </w:rPr>
        <w:footnoteReference w:id="11"/>
      </w:r>
      <w:r>
        <w:rPr>
          <w:noProof/>
        </w:rPr>
        <w:t xml:space="preserve"> Euroopa</w:t>
      </w:r>
      <w:r>
        <w:rPr>
          <w:noProof/>
        </w:rPr>
        <w:t>n parlamentti korosti, että EU:n on lähestyttävä kollektiivisia oikeussuojakeinoja horisontaalisesti. Tällöin on keskityttävä kuluttajien oikeuksien rikkomisiin, ja EU:n lähestymistavan on pohjauduttava yhteisiin periaatteisiin, joissa kunnioitetaan kansal</w:t>
      </w:r>
      <w:r>
        <w:rPr>
          <w:noProof/>
        </w:rPr>
        <w:t>lisia oikeudellisia perinteitä ja annetaan takeet perusteettomien oikeudenkäyntien välttämiseksi. Lisäksi parlamentti korosti ryhmäkanteiden potentiaalisia etuja, jotka syntyisivät siitä, että vältettäisiin samanlaisten tapausten käsittely erillisissä oike</w:t>
      </w:r>
      <w:r>
        <w:rPr>
          <w:noProof/>
        </w:rPr>
        <w:t>udenkäynneissä. Tällöin kaikki osapuolet eli kantajat, vastaajat ja tuomioistuinlaitos säästäisivät kuluissa ja niiden oikeusvarmuus paranisi. Vuonna 2017 Euroopan parlamentti antoi neuvostolle ja komissiolle suosituksen autoalan päästömittauksia käsittele</w:t>
      </w:r>
      <w:r>
        <w:rPr>
          <w:noProof/>
        </w:rPr>
        <w:t>vän tutkimuksen johdosta.</w:t>
      </w:r>
      <w:r>
        <w:rPr>
          <w:rStyle w:val="FootnoteReference"/>
          <w:noProof/>
        </w:rPr>
        <w:footnoteReference w:id="12"/>
      </w:r>
      <w:r>
        <w:rPr>
          <w:noProof/>
        </w:rPr>
        <w:t xml:space="preserve"> Parlamentti kehotti komissiota antamaan lainsäädäntöehdotuksen, jolla yhdenmukaistettaisiin EU:n </w:t>
      </w:r>
      <w:r>
        <w:rPr>
          <w:noProof/>
        </w:rPr>
        <w:lastRenderedPageBreak/>
        <w:t>kuluttajien kollektiivisia hyvityskeinoja. Ehdotuksen olisi perustuttava parhaisiin käytäntöihin sekä EU:n sisällä että sen ulkopuol</w:t>
      </w:r>
      <w:r>
        <w:rPr>
          <w:noProof/>
        </w:rPr>
        <w:t xml:space="preserve">ella. Tämän avulla päästäisiin nykytilanteesta, jossa kuluttajansuoja on puutteellista monissa jäsenvaltioissa sen vuoksi, että kollektiiviset oikeussuojakeinot eivät ole käytettävissä. Euroopan talous- ja sosiaalikomitea on sekin jo vuosikymmeniä tukenut </w:t>
      </w:r>
      <w:r>
        <w:rPr>
          <w:noProof/>
        </w:rPr>
        <w:t>kollektiivisiin hyvityskeinoihin liittyviä EU:n toimia. Lausunnossaan komission vuonna 2013 antamaan suositukseen komitea vaati lainsäädäntöä ja korosti, että sekä kieltokanteita että vahingonkorvausvaatimuksia koskevat kollektiiviset oikeussuojakeinot ova</w:t>
      </w:r>
      <w:r>
        <w:rPr>
          <w:noProof/>
        </w:rPr>
        <w:t>t tärkeitä.</w:t>
      </w:r>
    </w:p>
    <w:p w:rsidR="00D03C46" w:rsidRDefault="00BD37FC">
      <w:pPr>
        <w:rPr>
          <w:rFonts w:eastAsia="Times New Roman"/>
          <w:noProof/>
          <w:color w:val="000000"/>
        </w:rPr>
      </w:pPr>
      <w:r>
        <w:rPr>
          <w:noProof/>
          <w:color w:val="000000"/>
        </w:rPr>
        <w:t>Tässä ehdotuksessa puututaan ongelmiin, joiden on havaittu estävän kieltokannedirektiivin tehokasta ja vaikuttavaa soveltamisesta.</w:t>
      </w:r>
    </w:p>
    <w:p w:rsidR="00D03C46" w:rsidRDefault="00BD37FC">
      <w:pPr>
        <w:rPr>
          <w:bCs/>
          <w:noProof/>
        </w:rPr>
      </w:pPr>
      <w:r>
        <w:rPr>
          <w:noProof/>
        </w:rPr>
        <w:t>Ehdotuksen tavoitteet ovat tiivistettynä seuraavat:</w:t>
      </w:r>
    </w:p>
    <w:p w:rsidR="00D03C46" w:rsidRDefault="00BD37FC">
      <w:pPr>
        <w:pStyle w:val="ListBullet"/>
        <w:rPr>
          <w:noProof/>
        </w:rPr>
      </w:pPr>
      <w:r>
        <w:rPr>
          <w:b/>
          <w:noProof/>
        </w:rPr>
        <w:t>Soveltamisala</w:t>
      </w:r>
      <w:r>
        <w:rPr>
          <w:noProof/>
        </w:rPr>
        <w:t xml:space="preserve"> – Direktiivin soveltamisala laajennetaan kattamaan suurempi joukko sellaisia horisontaalisia ja alakohtaisia EU:n säädöksiä, joilla on merkitystä kuluttajien yhteisten etujen suojaamisen kannalta talouden eri aloilla, kuten rahoituspalvelu-, energia-, tel</w:t>
      </w:r>
      <w:r>
        <w:rPr>
          <w:noProof/>
        </w:rPr>
        <w:t xml:space="preserve">eviestintä, terveys- ja ympäristöalalla. Tämän muutoksen myötä voitaisiin puuttua tehokkaammin monenlaisiin rikkomisiin sellaisilla talouden aloilla, joilla elinkeinonharjoittajien laittomat menettelyt voivat vaikuttaa suureen määrään kuluttajia. </w:t>
      </w:r>
    </w:p>
    <w:p w:rsidR="00D03C46" w:rsidRDefault="00BD37FC">
      <w:pPr>
        <w:pStyle w:val="ListBullet"/>
        <w:rPr>
          <w:noProof/>
        </w:rPr>
      </w:pPr>
      <w:r>
        <w:rPr>
          <w:b/>
          <w:noProof/>
        </w:rPr>
        <w:t>Oikeutet</w:t>
      </w:r>
      <w:r>
        <w:rPr>
          <w:b/>
          <w:noProof/>
        </w:rPr>
        <w:t>tujen yksiköiden edustajakanteet</w:t>
      </w:r>
      <w:r>
        <w:rPr>
          <w:noProof/>
        </w:rPr>
        <w:t xml:space="preserve"> – Ehdotus perustuu nykyisen kieltokannedirektiivin mukaiseen lähestymistapaan, jossa jäsenvaltioiden nimeämät ns. oikeutetut yksiköt voivat nostaa edustajakanteita. Ehdotuksen mukaan näiden oikeutettujen yksiköiden on täyte</w:t>
      </w:r>
      <w:r>
        <w:rPr>
          <w:noProof/>
        </w:rPr>
        <w:t>ttävä maineeltaan tietyt vähimmäisvaatimukset: niiden on oltava asianmukaisesti perustettuja, ne eivät saa tavoitella voittoa, ja niiden oikeutetun edun mukaista on oltava varmistaa, että EU:n ao. lainsäädäntöä noudatetaan. Kollektiivisten vahingonkorvausk</w:t>
      </w:r>
      <w:r>
        <w:rPr>
          <w:noProof/>
        </w:rPr>
        <w:t xml:space="preserve">anteiden osalta oikeutettujen yksiköiden olisi annettava tuomioistuimille tai hallintoviranomaisille myös tiedot taloudellisista resursseistaan sekä niiden varojen alkuperästä, joiden varassa kannetta ajetaan. Tuomioistuimilla ja hallintoviranomaisilla on </w:t>
      </w:r>
      <w:r>
        <w:rPr>
          <w:noProof/>
        </w:rPr>
        <w:t xml:space="preserve">valtuudet arvioida järjestelyjä, joiden avulla saadaan rahoitusta kolmansilta osapuolilta. </w:t>
      </w:r>
    </w:p>
    <w:p w:rsidR="00D03C46" w:rsidRDefault="00BD37FC">
      <w:pPr>
        <w:pStyle w:val="ListBullet"/>
        <w:rPr>
          <w:noProof/>
        </w:rPr>
      </w:pPr>
      <w:r>
        <w:rPr>
          <w:b/>
          <w:noProof/>
        </w:rPr>
        <w:t>Menettelyn tehokkuus</w:t>
      </w:r>
      <w:r>
        <w:rPr>
          <w:noProof/>
        </w:rPr>
        <w:t xml:space="preserve"> – Ehdotuksen mukaan jäsenvaltioiden on varmistettava menettelyiden tarkoituksenmukaisuus ja estettävä se, että oikeudenkäyntikuluista koituva t</w:t>
      </w:r>
      <w:r>
        <w:rPr>
          <w:noProof/>
        </w:rPr>
        <w:t>aloudellinen taakka estäisi edustajakanteiden nostamista. Kuluttajille tullaan antamaan riittävästi tietoa edustajakanteiden tuloksista ja kuluttajien mahdollisuuksista hyötyä niistä. Ehdotuksessa pyritään myös suosimaan asioiden kollektiivista sopimista t</w:t>
      </w:r>
      <w:r>
        <w:rPr>
          <w:noProof/>
        </w:rPr>
        <w:t>uomioistuinten ulkopuolella, kuitenkin siten, että tuomioistuimet tai hallintoviranomaiset tarkastavat sovintoratkaisut. Jäsenvaltion tuomioistuimen tai viranomaisen lainvoimaista päätöstä, jonka mukaan elinkeinonharjoittaja on rikkonut lakia, pidetään kii</w:t>
      </w:r>
      <w:r>
        <w:rPr>
          <w:noProof/>
        </w:rPr>
        <w:t>stattomana näyttönä lain rikkomisesta käsiteltäessä hyvitysasiaa saman jäsenvaltion sisällä ja kumottavissa olevana olettamana lain rikkomisesta, kun kanne on nostettu toisessa jäsenvaltiossa.</w:t>
      </w:r>
    </w:p>
    <w:p w:rsidR="00D03C46" w:rsidRDefault="00BD37FC">
      <w:pPr>
        <w:pStyle w:val="ListBullet"/>
        <w:rPr>
          <w:noProof/>
        </w:rPr>
      </w:pPr>
      <w:r>
        <w:rPr>
          <w:b/>
          <w:noProof/>
        </w:rPr>
        <w:t>Kielto- ja vahingonkorvauskanteet</w:t>
      </w:r>
      <w:r>
        <w:rPr>
          <w:noProof/>
        </w:rPr>
        <w:t xml:space="preserve"> – Ehdotuksen mukaan oikeutetu</w:t>
      </w:r>
      <w:r>
        <w:rPr>
          <w:noProof/>
        </w:rPr>
        <w:t>t yksiköt voivat nostaa edustajakanteita, joissa tapauksen olosuhteiden mukaan voidaan vaatia erilaisia soveltuvia toimenpiteitä. Kanteella voidaan esimerkiksi vaatia väliaikaisia tai lopullisia toimenpiteitä, joilla lopetetaan ja kielletään elinkeinonharj</w:t>
      </w:r>
      <w:r>
        <w:rPr>
          <w:noProof/>
        </w:rPr>
        <w:t>oittajan noudattama, lain rikkomiseksi katsottava menettely, sekä toimenpiteitä, joilla poistetaan lain rikkomisen jatkuvat vaikutukset. Viimeksi mainittuja voisivat olla muun muassa hyvitysmääräykset sekä vahvistustuomiot, joissa todetaan, että elinkeinon</w:t>
      </w:r>
      <w:r>
        <w:rPr>
          <w:noProof/>
        </w:rPr>
        <w:t xml:space="preserve">harjoittaja on hyvitysvelvollinen suhteessa rikkomisesta vahinkoa kärsineisiin kuluttajiin. </w:t>
      </w:r>
    </w:p>
    <w:p w:rsidR="00D03C46" w:rsidRDefault="00BD37FC">
      <w:pPr>
        <w:rPr>
          <w:noProof/>
        </w:rPr>
      </w:pPr>
      <w:r>
        <w:rPr>
          <w:noProof/>
        </w:rPr>
        <w:t>Oikeutetuilla yksiköillä olisi pääsääntöisesti oltava mahdollisuus panna vireille edustajakanteita sellaisten hyvitysmääräysten saamiseksi, joissa elinkeinonharjoi</w:t>
      </w:r>
      <w:r>
        <w:rPr>
          <w:noProof/>
        </w:rPr>
        <w:t xml:space="preserve">ttaja </w:t>
      </w:r>
      <w:r>
        <w:rPr>
          <w:noProof/>
        </w:rPr>
        <w:lastRenderedPageBreak/>
        <w:t xml:space="preserve">velvoitetaan tapauksen mukaan esimerkiksi maksamaan vahingonkorvausta, korjaamaan tai vaihtamaan tavara, alentamaan hintaa, purkamaan sopimus tai palauttamaan maksettu hinta. </w:t>
      </w:r>
    </w:p>
    <w:p w:rsidR="00D03C46" w:rsidRDefault="00BD37FC">
      <w:pPr>
        <w:rPr>
          <w:noProof/>
        </w:rPr>
      </w:pPr>
      <w:r>
        <w:rPr>
          <w:noProof/>
        </w:rPr>
        <w:t>Jäsenvaltioiden on kuitenkin voitava noudattaa joustavaa lähestymistapaa s</w:t>
      </w:r>
      <w:r>
        <w:rPr>
          <w:noProof/>
        </w:rPr>
        <w:t>illoin kun edustajakanteessa tarkoitettujen kuluttajien kokema yksilöllinen vahinko on luonteeltaan sellaista, että sen määrän selvittäminen on monimutkaista. Tällaisissa tapauksissa jäsenvaltiot voivat antaa tuomioistuimille tai hallintoviranomaisille val</w:t>
      </w:r>
      <w:r>
        <w:rPr>
          <w:noProof/>
        </w:rPr>
        <w:t>tuudet harkita, antavatko ne hyvitysmääräyksen sijaan vahvistustuomion, joka koskee elinkeinonharjoittajan hyvitysvelvollisuutta suhteessa unionin oikeuden rikkomisen vuoksi vahinkoa kärsineisiin kuluttajiin. Vahvistustuomio voidaan myöhemmin asettaa suora</w:t>
      </w:r>
      <w:r>
        <w:rPr>
          <w:noProof/>
        </w:rPr>
        <w:t>an hyvitysasian käsittelyn pohjaksi.</w:t>
      </w:r>
    </w:p>
    <w:p w:rsidR="00D03C46" w:rsidRDefault="00BD37FC">
      <w:pPr>
        <w:rPr>
          <w:noProof/>
        </w:rPr>
      </w:pPr>
      <w:r>
        <w:rPr>
          <w:noProof/>
        </w:rPr>
        <w:t>On kuitenkin tietyntyyppisiä tapauksia, jotka ovat erityisen yleisiä kuluttajakaupan joukkovahinkotilanteissa ja joissa edellä mainitun joustavuuden ei pitäisi olla mahdollista. Ensimmäinen tapaustyyppi liittyy tilantei</w:t>
      </w:r>
      <w:r>
        <w:rPr>
          <w:noProof/>
        </w:rPr>
        <w:t>siin, joissa elinkeinonharjoittajan saman menettelyn kohteiksi joutuneet kuluttajat ovat yksilöitävissä ja heidän kärsimänsä vahingot ovat tietyn ajanjakson tai hankinnan osalta keskenään vertailukelpoisia. Kyse voi olla esimerkiksi pitkäkestoisista kulutt</w:t>
      </w:r>
      <w:r>
        <w:rPr>
          <w:noProof/>
        </w:rPr>
        <w:t>ajasopimuksista. Toinen tapaustyyppi koskee tilanteita, joissa joukko kuluttajia on kärsinyt niin vähäisen vahingon, että olisi kohtuutonta tai mahdotonta jakaa hyvitys takaisin kyseisille kuluttajille. Lakia rikkoneen elinkeinonharjoittajan olisi kuitenki</w:t>
      </w:r>
      <w:r>
        <w:rPr>
          <w:noProof/>
        </w:rPr>
        <w:t xml:space="preserve">n korvattava aiheuttamansa vahingot. Hyvitys olisi näin ollen kohdistettava johonkin yleiseen tarkoitukseen, joka palvelee kuluttajien yhteisiä etuja. </w:t>
      </w:r>
    </w:p>
    <w:p w:rsidR="00D03C46" w:rsidRDefault="00BD37FC">
      <w:pPr>
        <w:pStyle w:val="ListBullet"/>
        <w:rPr>
          <w:noProof/>
        </w:rPr>
      </w:pPr>
      <w:r>
        <w:rPr>
          <w:noProof/>
        </w:rPr>
        <w:t xml:space="preserve">Ehdotuksessa tasapainotetaan </w:t>
      </w:r>
      <w:r>
        <w:rPr>
          <w:b/>
          <w:noProof/>
        </w:rPr>
        <w:t>yhtäältä oikeussuojan saatavuus, jotta kuluttajat voivat turvata etunsa, ja</w:t>
      </w:r>
      <w:r>
        <w:rPr>
          <w:b/>
          <w:noProof/>
        </w:rPr>
        <w:t xml:space="preserve"> toisaalta tarve välttää perusteettomia oikeudenkäyntejä.</w:t>
      </w:r>
      <w:r>
        <w:rPr>
          <w:noProof/>
        </w:rPr>
        <w:t xml:space="preserve"> Ehdotettu edustajakannemalli, jossa jäsenvaltiot nimeävät oikeutettuja yksiköitä kanteiden nostamista varten ja ottavat tällöin huomioon tietyt yksiköiden maineeseen liittyvät vähimmäisvaatimukset, </w:t>
      </w:r>
      <w:r>
        <w:rPr>
          <w:noProof/>
        </w:rPr>
        <w:t>on vahva tae perusteettomien kanteiden estämiseksi. Muut jäsenvaltiot tai komissio saavat oikeuden esittää huomautuksia sellaisia oikeutettuja yksiköitä vastaan, joilla on kanneoikeus muissa jäsenvaltioissa. Oikeutettujen yksiköiden on hyvityskanteita nost</w:t>
      </w:r>
      <w:r>
        <w:rPr>
          <w:noProof/>
        </w:rPr>
        <w:t>aessaan esitettävä avoimesti rahoituksensa lähteet. Näin tuomioistuin tai hallintoviranomainen voi varmistaa, ettei tapauksessa esiinny eturistiriitaa tai edustajakanteen väärinkäytön riskiä. Lisäksi jos edustajakanteessa päädytään sovintoratkaisuun, tuomi</w:t>
      </w:r>
      <w:r>
        <w:rPr>
          <w:noProof/>
        </w:rPr>
        <w:t>oistuin tai viranomainen tutkii lopputuloksen lain- ja oikeudenmukaisuuden ja varmistaa, että ratkaisussa otetaan huomioon kaikkien osapuolten edut.</w:t>
      </w:r>
    </w:p>
    <w:p w:rsidR="00D03C46" w:rsidRDefault="00BD37FC">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rsidR="00D03C46" w:rsidRDefault="00BD37FC">
      <w:pPr>
        <w:rPr>
          <w:i/>
          <w:noProof/>
        </w:rPr>
      </w:pPr>
      <w:r>
        <w:rPr>
          <w:noProof/>
        </w:rPr>
        <w:t>Tässä ehdotuksessa on otettu huomioo</w:t>
      </w:r>
      <w:r>
        <w:rPr>
          <w:noProof/>
        </w:rPr>
        <w:t>n kollektiivisista oikeussuojakeinoista annettu komission suositus (komission suositus 2013/396/EU</w:t>
      </w:r>
      <w:r>
        <w:rPr>
          <w:rStyle w:val="FootnoteReference"/>
          <w:noProof/>
        </w:rPr>
        <w:footnoteReference w:id="13"/>
      </w:r>
      <w:r>
        <w:rPr>
          <w:noProof/>
        </w:rPr>
        <w:t>, annettu 11 päivänä kesäkuuta 2013, unionin lainsäädäntöön perustuvien oikeuksien loukkauksiin perustuvia kieltokanteita ja vahingonkorvausvaatimuksia koske</w:t>
      </w:r>
      <w:r>
        <w:rPr>
          <w:noProof/>
        </w:rPr>
        <w:t>viin jäsenvaltioiden kollektiivisiin oikeussuojakeinoihin sovellettavista yhteisistä periaatteista). Suosituksessa esitetään kollektiivisia hyvityskeinoja koskevat yhteiset periaatteet, joita olisi sovellettava kaikkiin unionin lainsäädännön rikkomisiin ka</w:t>
      </w:r>
      <w:r>
        <w:rPr>
          <w:noProof/>
        </w:rPr>
        <w:t>ikilla politiikan aloilla. Suositus kattaa myös kielto- ja vahingonkorvausvaatimuksia sisältävät edustajakanteet. Suosituksen periaatteet muodostavat erillisen itsenäisen kokonaisuuden, eikä tässä ehdotuksessa toisteta kaikkia suosituksen periaatteissa käs</w:t>
      </w:r>
      <w:r>
        <w:rPr>
          <w:noProof/>
        </w:rPr>
        <w:t xml:space="preserve">iteltyjä menettelynäkökohtia. Tässä ehdotuksessa säädetään ainoastaan tietyistä keskeisistä näkökohdista hyvitysvaatimuksiin liittyvien puitteiden luomiseksi. Näiden </w:t>
      </w:r>
      <w:r>
        <w:rPr>
          <w:noProof/>
        </w:rPr>
        <w:lastRenderedPageBreak/>
        <w:t>puitteiden täydennykseksi on laadittava erityisiä menettelysääntöjä kansallisella tasolla.</w:t>
      </w:r>
      <w:r>
        <w:rPr>
          <w:noProof/>
        </w:rPr>
        <w:t xml:space="preserve"> Eräitä suosituksen menettelynäkökohtia ei toisteta tässä ehdotuksessa siksi, että ehdotuksen ala on kohdennetumpi ja rajoittuu rikkomisiin, jotka saattavat vaikuttaa kuluttajien yhteisiin etuihin. Lisäksi nykyiseen kieltokannedirektiiviin sisältyy edustaj</w:t>
      </w:r>
      <w:r>
        <w:rPr>
          <w:noProof/>
        </w:rPr>
        <w:t>akannemalli jo ennestään.</w:t>
      </w:r>
    </w:p>
    <w:p w:rsidR="00D03C46" w:rsidRDefault="00BD37FC">
      <w:pPr>
        <w:rPr>
          <w:noProof/>
        </w:rPr>
      </w:pPr>
      <w:r>
        <w:rPr>
          <w:noProof/>
        </w:rPr>
        <w:t>Tässä ehdotuksessa on otettu huomioon äskettäin tarkistettu kuluttajansuojaa koskevasta yhteistyöstä annettu asetus</w:t>
      </w:r>
      <w:r>
        <w:rPr>
          <w:rStyle w:val="FootnoteReference"/>
          <w:noProof/>
        </w:rPr>
        <w:footnoteReference w:id="14"/>
      </w:r>
      <w:r>
        <w:rPr>
          <w:noProof/>
        </w:rPr>
        <w:t>.</w:t>
      </w:r>
      <w:r>
        <w:rPr>
          <w:b/>
          <w:noProof/>
        </w:rPr>
        <w:t xml:space="preserve"> </w:t>
      </w:r>
      <w:r>
        <w:rPr>
          <w:noProof/>
        </w:rPr>
        <w:t>Tarkistettu asetus painottaa julkista täytäntöönpanon valvontaa, kun taas tällä ehdotuksella lujitetaan yksityis</w:t>
      </w:r>
      <w:r>
        <w:rPr>
          <w:noProof/>
        </w:rPr>
        <w:t>tä täytäntöönpanon valvontaa. Komissio on Euroopan parlamentin</w:t>
      </w:r>
      <w:r>
        <w:rPr>
          <w:rStyle w:val="FootnoteReference"/>
          <w:noProof/>
        </w:rPr>
        <w:footnoteReference w:id="15"/>
      </w:r>
      <w:r>
        <w:rPr>
          <w:noProof/>
        </w:rPr>
        <w:t xml:space="preserve"> tukemana ollut pitkään sitä mieltä, että yksityisen täytäntöönpanon valvonnan olisi oltava riippumatonta ja julkista täytäntöönpanon valvontaa täydentävää. Tarkistetussa asetuksessa vahvisteta</w:t>
      </w:r>
      <w:r>
        <w:rPr>
          <w:noProof/>
        </w:rPr>
        <w:t>an julkisen täytäntöönpanon valvonnan osalta perusta kansallisten kuluttajansuojaviranomaisten yhteistyölle, jonka avulla torjutaan rajat ylittäviä rikkomisia. Asetuksen tarkistamisen myötä rajat ylittävä julkinen täytäntöönpanon valvonta tehostuu ja toimi</w:t>
      </w:r>
      <w:r>
        <w:rPr>
          <w:noProof/>
        </w:rPr>
        <w:t>valtaiset kansalliset viranomaiset saavat yhtenäiset toimivaltuudet, joiden avulla ne voivat yhdessä torjua laajamittaisia rikkomisia entistä tuloksellisemmin. Ne voivat muun muassa hyväksyä väliaikaisia toimia sellaisten riskien poistamiseksi, joihin liit</w:t>
      </w:r>
      <w:r>
        <w:rPr>
          <w:noProof/>
        </w:rPr>
        <w:t>tyy vakava vahinko kuluttajien yhteisille eduille. Lisäksi ne voivat lopettaa tai kieltää asetuksen soveltamisalaan kuuluvia rikkomisia. Tarkistetun asetuksen ansiosta Euroopan komissio voi myös käynnistää ja koordinoida yhteisiä täytäntöönpanon valvontato</w:t>
      </w:r>
      <w:r>
        <w:rPr>
          <w:noProof/>
        </w:rPr>
        <w:t>imia puuttuakseen EU:n laajuisiin rikkomisiin. On tärkeää huomata, että tarkistetussa asetuksessa ei annettu oikeutta vaatia hyvitystä sellaisten kuluttajien puolesta, jotka kärsivät vahinkoa rajat ylittävien tai jopa EU:n laajuisten rikkomisten seurauksen</w:t>
      </w:r>
      <w:r>
        <w:rPr>
          <w:noProof/>
        </w:rPr>
        <w:t>a. Lainvalvontaviranomaiset voivat saada tai pyytää elinkeinonharjoittajilta vapaaehtoisia sitoumuksia, joissa nämä lupautuvat hyvittämään asetuksen soveltamisalaan kuuluvista rikkomisista kuluttajille aiheutuneita vahinkoja.</w:t>
      </w:r>
      <w:r>
        <w:rPr>
          <w:rStyle w:val="FootnoteReference"/>
          <w:noProof/>
        </w:rPr>
        <w:footnoteReference w:id="16"/>
      </w:r>
      <w:r>
        <w:rPr>
          <w:noProof/>
        </w:rPr>
        <w:t xml:space="preserve"> Tämä ei estä kuluttajia hakem</w:t>
      </w:r>
      <w:r>
        <w:rPr>
          <w:noProof/>
        </w:rPr>
        <w:t xml:space="preserve">asta hyvitystä muilla heidän käytettävissään olevilla keinoilla. Asetusta koskevien neuvottelujen aikana todettiin kuitenkin, että tarvitaan vahvaa yksityistä täytäntöönpanon valvontaa, joka täydentää julkista täytäntöönpanon valvontaa. Tässä ehdotuksessa </w:t>
      </w:r>
      <w:r>
        <w:rPr>
          <w:noProof/>
        </w:rPr>
        <w:t>esitetään erityistoimenpiteitä, jotka koskevat kuluttajien yksilöllisiä ja kollektiivisia hyvityskeinoja.</w:t>
      </w:r>
    </w:p>
    <w:p w:rsidR="00D03C46" w:rsidRDefault="00BD37FC">
      <w:pPr>
        <w:rPr>
          <w:noProof/>
        </w:rPr>
      </w:pPr>
      <w:r>
        <w:rPr>
          <w:noProof/>
        </w:rPr>
        <w:t>Tässä ehdotuksessa otetaan huomioon olemassa olevat EU:n tason toimenpiteet, jotka koskevat yksilöllistä hyvitystä, erityisesti kuluttajariitojen vaih</w:t>
      </w:r>
      <w:r>
        <w:rPr>
          <w:noProof/>
        </w:rPr>
        <w:t>toehtoisesta riidanratkaisusta annettu direktiivi</w:t>
      </w:r>
      <w:r>
        <w:rPr>
          <w:rStyle w:val="FootnoteReference"/>
          <w:noProof/>
        </w:rPr>
        <w:footnoteReference w:id="17"/>
      </w:r>
      <w:r>
        <w:rPr>
          <w:noProof/>
        </w:rPr>
        <w:t>. Direktiivin avulla varmistetaan, että EU:n kuluttajilla on käytettävissään tuomioistuinten ulkopuolinen, laadultaan taattu väline, jonka avulla voidaan ratkaista sekä kotimaisia että rajat ylittäviä sopim</w:t>
      </w:r>
      <w:r>
        <w:rPr>
          <w:noProof/>
        </w:rPr>
        <w:t>usriitoja. Jäsenvaltioita rohkaistaan huolehtimaan myös siitä, että kollektiivisia vaihtoehtoisia riidanratkaisujärjestelmiä on käytettävissä. Lisäksi komission perustama</w:t>
      </w:r>
      <w:r>
        <w:rPr>
          <w:noProof/>
          <w:sz w:val="16"/>
        </w:rPr>
        <w:t xml:space="preserve"> </w:t>
      </w:r>
      <w:r>
        <w:rPr>
          <w:noProof/>
        </w:rPr>
        <w:t>verkkovälitteinen riidanratkaisufoorumi</w:t>
      </w:r>
      <w:r>
        <w:rPr>
          <w:rStyle w:val="FootnoteReference"/>
          <w:noProof/>
        </w:rPr>
        <w:footnoteReference w:id="18"/>
      </w:r>
      <w:r>
        <w:rPr>
          <w:noProof/>
        </w:rPr>
        <w:t xml:space="preserve"> auttaa kuluttajia ja elinkeinonharjoittajia </w:t>
      </w:r>
      <w:r>
        <w:rPr>
          <w:noProof/>
        </w:rPr>
        <w:t xml:space="preserve">ratkaisemaan kotimaisia ja rajat ylittäviä kiistoja, jotka koskevat tavaroiden ja palvelujen verkko-ostoja. Vaihtoehtoiset riidanratkaisuelimet avustavat tässä </w:t>
      </w:r>
      <w:r>
        <w:rPr>
          <w:noProof/>
        </w:rPr>
        <w:lastRenderedPageBreak/>
        <w:t>toiminnassa. Vaihtoehtoista ja verkkovälitteistä riidanratkaisua koskeva vuoden 2013 lainsäädänt</w:t>
      </w:r>
      <w:r>
        <w:rPr>
          <w:noProof/>
        </w:rPr>
        <w:t>ö on räätälöity yksilöllisiä hyvityskanteita varten, kun taas kieltokannedirektiivi koskee jäsenvaltioiden nimeämien oikeutettujen yksiköiden nostamia kanteita, joiden tarkoituksena on suojata kuluttajien yhteisiä etuja. Vaihtoehtoista riidanratkaisua kosk</w:t>
      </w:r>
      <w:r>
        <w:rPr>
          <w:noProof/>
        </w:rPr>
        <w:t>evan direktiivin johdanto-osan 27 kappaleessa todetaan, että direktiivillä ei ole määrä estää jäsenvaltioita pitämästä yllä tai ottamasta käyttöön vaihtoehtoisia riidanratkaisumenettelyjä, joissa käsitellään samassa menettelyssä useampia identtisiä tai toi</w:t>
      </w:r>
      <w:r>
        <w:rPr>
          <w:noProof/>
        </w:rPr>
        <w:t>siaan muistuttavia elinkeinonharjoittajan ja kuluttajan välisiä riitoja. Lisäksi todetaan, että tehokas ryhmäkannejärjestelmä ja helposti käytettävissä oleva vaihtoehtoinen riidanratkaisumenetelmä täydentävät mutta eivät sulje pois toisiaan. Mekanismeja, j</w:t>
      </w:r>
      <w:r>
        <w:rPr>
          <w:noProof/>
        </w:rPr>
        <w:t>oiden avulla yksittäiset kuluttajat voivat vaatia oikeuksiaan, on myös muissa unionin oikeuteen sisältyvissä säädöksissä, esimerkiksi eurooppalaista vähäisiin vaatimuksiin sovellettavaa menettelyä koskevassa asetuksessa (Euroopan parlamentin ja neuvoston a</w:t>
      </w:r>
      <w:r>
        <w:rPr>
          <w:noProof/>
        </w:rPr>
        <w:t>setus (EU) 2015/2421</w:t>
      </w:r>
      <w:r>
        <w:rPr>
          <w:rStyle w:val="FootnoteReference"/>
          <w:noProof/>
        </w:rPr>
        <w:footnoteReference w:id="19"/>
      </w:r>
      <w:r>
        <w:rPr>
          <w:noProof/>
        </w:rPr>
        <w:t>, annettu 16 päivänä joulukuuta 2015, eurooppalaisesta vähäisiin vaatimuksiin sovellettavasta menettelystä annetun asetuksen (EY) N:o 861/2007 sekä eurooppalaisen maksamismääräysmenettelyn käyttöönotosta annetun asetuksen (EY) N:o 1896</w:t>
      </w:r>
      <w:r>
        <w:rPr>
          <w:noProof/>
        </w:rPr>
        <w:t>/2006 muuttamisesta) samoin kuin tietyistä sovittelun näkökohdista siviili- ja kauppaoikeuden alalla 21 päivänä toukokuuta 2008 annetussa Euroopan parlamentin ja neuvoston direktiivissä 2008/52/EY</w:t>
      </w:r>
      <w:r>
        <w:rPr>
          <w:rStyle w:val="FootnoteReference"/>
          <w:noProof/>
        </w:rPr>
        <w:footnoteReference w:id="20"/>
      </w:r>
      <w:r>
        <w:rPr>
          <w:noProof/>
        </w:rPr>
        <w:t>.</w:t>
      </w:r>
    </w:p>
    <w:p w:rsidR="00D03C46" w:rsidRDefault="00BD37FC">
      <w:pPr>
        <w:rPr>
          <w:rFonts w:eastAsia="Times New Roman"/>
          <w:noProof/>
          <w:color w:val="000000"/>
        </w:rPr>
      </w:pPr>
      <w:r>
        <w:rPr>
          <w:noProof/>
        </w:rPr>
        <w:t>Pakettiin, jolla pyritään kuluttajien aseman vahvistamise</w:t>
      </w:r>
      <w:r>
        <w:rPr>
          <w:noProof/>
        </w:rPr>
        <w:t>en (New Deal for Consumers), kuuluu tämän ehdotuksen lisäksi myös toinen ehdotus, johon sisältyvillä muutoksilla muun muassa tehdään seuraamuksista ankarampia sekä annetaan sopimattomien kaupallisten menettelyjen uhreiksi joutuneiden kuluttajien käyttöön y</w:t>
      </w:r>
      <w:r>
        <w:rPr>
          <w:noProof/>
        </w:rPr>
        <w:t xml:space="preserve">ksilöllisiä oikeussuojakeinoja. </w:t>
      </w:r>
      <w:r>
        <w:rPr>
          <w:noProof/>
          <w:color w:val="000000"/>
        </w:rPr>
        <w:t xml:space="preserve">Nämä muutokset yhdessä tähän ehdotukseen sisältyvien muutosten kanssa muodostavat kokonaisuuden, joka tulee vaikuttamaan niin, että elinkeinonharjoittajat noudattavat kuluttajalainsäädäntöä paremmin ja kuluttajilla on </w:t>
      </w:r>
      <w:r>
        <w:rPr>
          <w:noProof/>
          <w:color w:val="000000"/>
        </w:rPr>
        <w:t>paremmat mahdollisuudet hyvitykseen. Tämä vähentää kuluttajille koituvia vahinkoja.</w:t>
      </w:r>
    </w:p>
    <w:p w:rsidR="00D03C46" w:rsidRDefault="00BD37FC">
      <w:pPr>
        <w:pStyle w:val="ManualHeading2"/>
        <w:rPr>
          <w:rFonts w:eastAsia="Arial Unicode MS"/>
          <w:noProof/>
        </w:rPr>
      </w:pPr>
      <w:r>
        <w:rPr>
          <w:noProof/>
          <w:color w:val="000000"/>
          <w:u w:color="000000"/>
          <w:bdr w:val="nil"/>
        </w:rPr>
        <w:t>•</w:t>
      </w:r>
      <w:r>
        <w:rPr>
          <w:noProof/>
        </w:rPr>
        <w:tab/>
        <w:t>Yhdenmukaisuus unionin muiden politiikkojen kanssa</w:t>
      </w:r>
    </w:p>
    <w:p w:rsidR="00D03C46" w:rsidRDefault="00BD37FC">
      <w:pPr>
        <w:pBdr>
          <w:top w:val="nil"/>
          <w:left w:val="nil"/>
          <w:bottom w:val="nil"/>
          <w:right w:val="nil"/>
          <w:between w:val="nil"/>
          <w:bar w:val="nil"/>
        </w:pBdr>
        <w:spacing w:after="240"/>
        <w:rPr>
          <w:noProof/>
          <w:szCs w:val="24"/>
        </w:rPr>
      </w:pPr>
      <w:r>
        <w:rPr>
          <w:noProof/>
        </w:rPr>
        <w:t>Ehdotus on täysin yhdenmukainen ja yhteensopiva unionin voimassa olevien politiikkojen kanssa. Se täydentää alakohtaisi</w:t>
      </w:r>
      <w:r>
        <w:rPr>
          <w:noProof/>
        </w:rPr>
        <w:t>in välineisiin sisältyviä kielto- ja hyvitysmenettelyitä edustajakannemekanismilla, jota voidaan hyödyntää, jos kuluttajien yhteisiä etuja on loukattu tai saatetaan loukata. Ehdotuksen soveltamisalan piiriin kuuluvien Euroopan unionin säädösten täytäntöönp</w:t>
      </w:r>
      <w:r>
        <w:rPr>
          <w:noProof/>
        </w:rPr>
        <w:t>anon parempi valvonta tukee varsinkin strategioita, jotka liittyvät digitaalisiin sisämarkkinoihin, pääomamarkkinaunioniin, energiaunioniin ja kiertotalouteen. Euroopan unionin toiminnasta tehdyn sopimuksen 11 artiklan mukaisesti ehdotuksessa on otettu huo</w:t>
      </w:r>
      <w:r>
        <w:rPr>
          <w:noProof/>
        </w:rPr>
        <w:t>mioon ympäristönsuojelua koskevat vaatimukset. Lisäksi ehdotus on yhdenmukainen tiedon saantia, yleisön osallistumisoikeutta päätöksentekoon sekä muutoksenhaku- ja vireillepano-oikeutta ympäristöasioissa koskevan Århusin yleissopimuksen</w:t>
      </w:r>
      <w:r>
        <w:rPr>
          <w:rStyle w:val="FootnoteReference"/>
          <w:noProof/>
        </w:rPr>
        <w:footnoteReference w:id="21"/>
      </w:r>
      <w:r>
        <w:rPr>
          <w:noProof/>
        </w:rPr>
        <w:t xml:space="preserve"> kanssa.</w:t>
      </w:r>
    </w:p>
    <w:p w:rsidR="00D03C46" w:rsidRDefault="00BD37FC">
      <w:pPr>
        <w:spacing w:after="240"/>
        <w:rPr>
          <w:noProof/>
        </w:rPr>
      </w:pPr>
      <w:r>
        <w:rPr>
          <w:noProof/>
        </w:rPr>
        <w:t>Esimerkiks</w:t>
      </w:r>
      <w:r>
        <w:rPr>
          <w:noProof/>
        </w:rPr>
        <w:t xml:space="preserve">i Dieselgate-tapauksen tyyppisessä skenaariossa sopimattomien kaupallisten menettelyjen, esimerkiksi autonvalmistajien harhaanjohtavan mainonnan, uhrit voivat saada </w:t>
      </w:r>
      <w:r>
        <w:rPr>
          <w:noProof/>
        </w:rPr>
        <w:lastRenderedPageBreak/>
        <w:t>oikeussuojaa kollektiivisesti tämän ehdotuksen mukaisen edustajakanteen avulla, vaikka ajon</w:t>
      </w:r>
      <w:r>
        <w:rPr>
          <w:noProof/>
        </w:rPr>
        <w:t>euvojen tyyppihyväksyntää koskeva unionin sääntelykehys ei sinänsä sisälly direktiivin liitteeseen I. Aiemmin unionin lainsäädännössä ei tarjottu tällaista kollektiivista hyvitysmahdollisuutta.</w:t>
      </w:r>
    </w:p>
    <w:p w:rsidR="00D03C46" w:rsidRDefault="00BD37FC">
      <w:pPr>
        <w:rPr>
          <w:rFonts w:eastAsia="Arial Unicode MS"/>
          <w:noProof/>
        </w:rPr>
      </w:pPr>
      <w:r>
        <w:rPr>
          <w:noProof/>
        </w:rPr>
        <w:t>Tämä ehdotus olisi otettava huomioon muissa unionin politiikoi</w:t>
      </w:r>
      <w:r>
        <w:rPr>
          <w:noProof/>
        </w:rPr>
        <w:t>ssa. Vuonna 2015 komissio antoi ehdotuksen esteettömyyttä koskevasta eurooppalaisesta säädöksestä. Siinä jäsenvaltioiden edellytettiin varmistavan, että julkisoikeudelliset ja yksityisoikeudelliset yhteisöt voivat – jos se on niiden oikeutetun edun mukaist</w:t>
      </w:r>
      <w:r>
        <w:rPr>
          <w:noProof/>
        </w:rPr>
        <w:t>a – nostaa kanteita kuluttajien puolesta. Sen jälkeen kun lainsäädäntövallan käyttäjät hyväksyvät ehdotuksen, komissio antaa tarvittaessa ehdotuksen esteettömyyttä koskevan eurooppalaisen säädöksen sisällyttämisestä tämän direktiivin soveltamisalaan. Jos t</w:t>
      </w:r>
      <w:r>
        <w:rPr>
          <w:noProof/>
        </w:rPr>
        <w:t>ulevaisuudessa havaitaan unionin säädöksiä laadittaessa, että niillä on merkitystä kuluttajien yhteisten etujen suojaamisen kannalta, tätä direktiiviä olisi muutettava siten, että sen liitteeseen I lisätään viitteet kyseisiin säädöksiin. Komission olisi se</w:t>
      </w:r>
      <w:r>
        <w:rPr>
          <w:noProof/>
        </w:rPr>
        <w:t>urattava tätä prosessia ja tarkasteltava sitä ensimmäisessä direktiiviä koskevassa raportissaan, jossa komissio arvioi tämän direktiivin soveltamisalaa kuluttajamarkkinoiden ja -politiikan jatkuvan kehityksen valossa.</w:t>
      </w:r>
    </w:p>
    <w:p w:rsidR="00D03C46" w:rsidRDefault="00BD37FC">
      <w:pPr>
        <w:pBdr>
          <w:top w:val="nil"/>
          <w:left w:val="nil"/>
          <w:bottom w:val="nil"/>
          <w:right w:val="nil"/>
          <w:between w:val="nil"/>
          <w:bar w:val="nil"/>
        </w:pBdr>
        <w:spacing w:after="240"/>
        <w:rPr>
          <w:rFonts w:eastAsia="Times New Roman"/>
          <w:noProof/>
        </w:rPr>
      </w:pPr>
      <w:r>
        <w:rPr>
          <w:noProof/>
        </w:rPr>
        <w:t>Ehdotuksessa ei toisteta voimassa olev</w:t>
      </w:r>
      <w:r>
        <w:rPr>
          <w:noProof/>
        </w:rPr>
        <w:t xml:space="preserve">ia alakohtaisia sääntöjä, joihin on viitattu edellä, eikä sillä ole vaikutusta sääntöihin, joiden avulla vahvistetaan sopimusperusteisia tai muita kuin sopimusperusteisia oikeussuojakeinoja direktiivin soveltamisalaan kuuluvan unionin oikeuden rikkomisten </w:t>
      </w:r>
      <w:r>
        <w:rPr>
          <w:noProof/>
        </w:rPr>
        <w:t>varalta.</w:t>
      </w:r>
    </w:p>
    <w:p w:rsidR="00D03C46" w:rsidRDefault="00BD37FC">
      <w:pPr>
        <w:rPr>
          <w:rFonts w:eastAsia="Times New Roman"/>
          <w:noProof/>
          <w:color w:val="000000"/>
        </w:rPr>
      </w:pPr>
      <w:r>
        <w:rPr>
          <w:noProof/>
          <w:color w:val="000000"/>
        </w:rPr>
        <w:t>Ehdotus ei myöskään rajoita EU:n voimassa olevia kansainvälisen yksityisoikeuden säännöksiä eikä varsinkaan tuomioistuimen toimivaltaa ja sovellettavaa lakia koskevia säännöksiä.</w:t>
      </w:r>
    </w:p>
    <w:p w:rsidR="00D03C46" w:rsidRDefault="00BD37FC">
      <w:pPr>
        <w:pStyle w:val="ManualHeading1"/>
        <w:rPr>
          <w:noProof/>
        </w:rPr>
      </w:pPr>
      <w:r>
        <w:rPr>
          <w:noProof/>
        </w:rPr>
        <w:t>2.</w:t>
      </w:r>
      <w:r>
        <w:rPr>
          <w:noProof/>
        </w:rPr>
        <w:tab/>
        <w:t>OIKEUSPERUSTA, TOISSIJAISUUSPERIAATE JA SUHTEELLISUUSPERIAATE</w:t>
      </w:r>
    </w:p>
    <w:p w:rsidR="00D03C46" w:rsidRDefault="00BD37FC">
      <w:pPr>
        <w:pStyle w:val="ManualHeading2"/>
        <w:rPr>
          <w:rFonts w:eastAsia="Arial Unicode MS"/>
          <w:noProof/>
          <w:u w:color="000000"/>
          <w:bdr w:val="nil"/>
        </w:rPr>
      </w:pPr>
      <w:r>
        <w:rPr>
          <w:noProof/>
        </w:rPr>
        <w:t>•</w:t>
      </w:r>
      <w:r>
        <w:rPr>
          <w:noProof/>
        </w:rPr>
        <w:tab/>
      </w:r>
      <w:r>
        <w:rPr>
          <w:noProof/>
        </w:rPr>
        <w:t>Oikeusperusta</w:t>
      </w:r>
    </w:p>
    <w:p w:rsidR="00D03C46" w:rsidRDefault="00BD37FC">
      <w:pPr>
        <w:rPr>
          <w:noProof/>
        </w:rPr>
      </w:pPr>
      <w:r>
        <w:rPr>
          <w:noProof/>
        </w:rPr>
        <w:t>Ehdotuksen oikeusperusta on sama kuin nykyisen kieltokannedirektiivin eli SEUT-sopimuksen 114 artikla, johon SEUT-sopimuksen 169 artiklassa viitataan. Ehdotuksen tavoitteena on saavuttaa korkeatasoinen kuluttajansuojan taso ja näin edistää si</w:t>
      </w:r>
      <w:r>
        <w:rPr>
          <w:noProof/>
        </w:rPr>
        <w:t>sämarkkinoiden moitteetonta toimintaa. Tavoitteeseen pyritään varmistamalla, että oikeutetut yksiköt voivat kuluttajien yhteisten etujen suojaamiseksi nostaa edustajakanteita unionin lainsäädännön rikkomistapauksissa.</w:t>
      </w:r>
    </w:p>
    <w:p w:rsidR="00D03C46" w:rsidRDefault="00BD37FC">
      <w:pPr>
        <w:pStyle w:val="ManualHeading2"/>
        <w:rPr>
          <w:rFonts w:eastAsia="Arial Unicode MS"/>
          <w:noProof/>
          <w:u w:color="000000"/>
          <w:bdr w:val="nil"/>
        </w:rPr>
      </w:pPr>
      <w:r>
        <w:rPr>
          <w:noProof/>
        </w:rPr>
        <w:t>•</w:t>
      </w:r>
      <w:r>
        <w:rPr>
          <w:noProof/>
        </w:rPr>
        <w:tab/>
        <w:t xml:space="preserve">Toissijaisuusperiaate </w:t>
      </w:r>
    </w:p>
    <w:p w:rsidR="00D03C46" w:rsidRDefault="00BD37FC">
      <w:pPr>
        <w:rPr>
          <w:noProof/>
        </w:rPr>
      </w:pPr>
      <w:bookmarkStart w:id="1" w:name="_Toc494466469"/>
      <w:bookmarkStart w:id="2" w:name="_Toc495656643"/>
      <w:bookmarkStart w:id="3" w:name="_Toc495661565"/>
      <w:bookmarkStart w:id="4" w:name="_Toc496198610"/>
      <w:bookmarkStart w:id="5" w:name="_Toc496201296"/>
      <w:bookmarkStart w:id="6" w:name="_Toc496203414"/>
      <w:bookmarkStart w:id="7" w:name="_Toc496270301"/>
      <w:bookmarkStart w:id="8" w:name="_Toc496283390"/>
      <w:bookmarkStart w:id="9" w:name="_Toc496284168"/>
      <w:bookmarkStart w:id="10" w:name="_Toc496284227"/>
      <w:bookmarkStart w:id="11" w:name="_Toc496534775"/>
      <w:bookmarkStart w:id="12" w:name="_Toc496542685"/>
      <w:bookmarkStart w:id="13" w:name="_Toc496522747"/>
      <w:bookmarkStart w:id="14" w:name="_Toc496523147"/>
      <w:bookmarkStart w:id="15" w:name="_Toc496626767"/>
      <w:bookmarkStart w:id="16" w:name="_Toc496628919"/>
      <w:bookmarkStart w:id="17" w:name="_Toc496631078"/>
      <w:bookmarkStart w:id="18" w:name="_Toc496631975"/>
      <w:bookmarkStart w:id="19" w:name="_Toc496711099"/>
      <w:bookmarkStart w:id="20" w:name="_Toc496716141"/>
      <w:bookmarkStart w:id="21" w:name="_Toc496717898"/>
      <w:bookmarkStart w:id="22" w:name="_Toc496719960"/>
      <w:bookmarkStart w:id="23" w:name="_Toc496869207"/>
      <w:bookmarkStart w:id="24" w:name="_Toc496869597"/>
      <w:bookmarkStart w:id="25" w:name="_Toc496880412"/>
      <w:bookmarkStart w:id="26" w:name="_Toc496883537"/>
      <w:bookmarkStart w:id="27" w:name="_Toc496884069"/>
      <w:bookmarkStart w:id="28" w:name="_Toc496884693"/>
      <w:bookmarkStart w:id="29" w:name="_Toc496885390"/>
      <w:bookmarkStart w:id="30" w:name="_Toc496891900"/>
      <w:bookmarkStart w:id="31" w:name="_Toc497128819"/>
      <w:bookmarkStart w:id="32" w:name="_Toc497130667"/>
      <w:bookmarkStart w:id="33" w:name="_Toc497147475"/>
      <w:bookmarkStart w:id="34" w:name="_Toc497147941"/>
      <w:bookmarkStart w:id="35" w:name="_Toc497234985"/>
      <w:bookmarkStart w:id="36" w:name="_Toc497236654"/>
      <w:bookmarkStart w:id="37" w:name="_Toc497251593"/>
      <w:bookmarkStart w:id="38" w:name="_Toc497732806"/>
      <w:bookmarkStart w:id="39" w:name="_Toc497733041"/>
      <w:bookmarkStart w:id="40" w:name="_Toc497752645"/>
      <w:bookmarkStart w:id="41" w:name="_Toc497752749"/>
      <w:bookmarkStart w:id="42" w:name="_Toc497753266"/>
      <w:bookmarkStart w:id="43" w:name="_Toc497814311"/>
      <w:bookmarkStart w:id="44" w:name="_Toc497814522"/>
      <w:bookmarkStart w:id="45" w:name="_Toc497819509"/>
      <w:bookmarkStart w:id="46" w:name="_Toc497820120"/>
      <w:bookmarkStart w:id="47" w:name="_Toc497821898"/>
      <w:bookmarkStart w:id="48" w:name="_Toc497822988"/>
      <w:bookmarkStart w:id="49" w:name="_Toc497839190"/>
      <w:bookmarkStart w:id="50" w:name="_Toc497839851"/>
      <w:bookmarkStart w:id="51" w:name="_Toc497840009"/>
      <w:bookmarkStart w:id="52" w:name="_Toc497840490"/>
      <w:bookmarkStart w:id="53" w:name="_Toc497842876"/>
      <w:bookmarkStart w:id="54" w:name="_Toc497909998"/>
      <w:bookmarkStart w:id="55" w:name="_Toc497926762"/>
      <w:bookmarkStart w:id="56" w:name="_Toc497927066"/>
      <w:bookmarkStart w:id="57" w:name="_Toc497927731"/>
      <w:bookmarkStart w:id="58" w:name="_Toc497928795"/>
      <w:bookmarkStart w:id="59" w:name="_Toc497930092"/>
      <w:bookmarkStart w:id="60" w:name="_Toc498014185"/>
      <w:bookmarkStart w:id="61" w:name="_Toc498016630"/>
      <w:bookmarkStart w:id="62" w:name="_Toc498339524"/>
      <w:bookmarkStart w:id="63" w:name="_Toc498339649"/>
      <w:bookmarkStart w:id="64" w:name="_Toc498347124"/>
      <w:bookmarkStart w:id="65" w:name="_Toc498355259"/>
      <w:bookmarkStart w:id="66" w:name="_Toc498359386"/>
      <w:bookmarkStart w:id="67" w:name="_Toc498359756"/>
      <w:bookmarkStart w:id="68" w:name="_Toc498360066"/>
      <w:bookmarkStart w:id="69" w:name="_Toc498362035"/>
      <w:bookmarkStart w:id="70" w:name="_Toc498365727"/>
      <w:bookmarkStart w:id="71" w:name="_Toc498415891"/>
      <w:bookmarkStart w:id="72" w:name="_Toc498426578"/>
      <w:bookmarkStart w:id="73" w:name="_Toc498444021"/>
      <w:bookmarkStart w:id="74" w:name="_Toc498444631"/>
      <w:bookmarkStart w:id="75" w:name="_Toc498445610"/>
      <w:bookmarkStart w:id="76" w:name="_Toc498449297"/>
      <w:bookmarkStart w:id="77" w:name="_Toc498453276"/>
      <w:bookmarkStart w:id="78" w:name="_Toc498453527"/>
      <w:bookmarkStart w:id="79" w:name="_Toc498513495"/>
      <w:bookmarkStart w:id="80" w:name="_Toc498519522"/>
      <w:bookmarkStart w:id="81" w:name="_Toc498520941"/>
      <w:bookmarkStart w:id="82" w:name="_Toc498521017"/>
      <w:bookmarkStart w:id="83" w:name="_Toc498521093"/>
      <w:bookmarkStart w:id="84" w:name="_Toc498521168"/>
      <w:bookmarkStart w:id="85" w:name="_Toc498521423"/>
      <w:bookmarkStart w:id="86" w:name="_Toc498532797"/>
      <w:bookmarkStart w:id="87" w:name="_Toc499110496"/>
      <w:bookmarkStart w:id="88" w:name="_Toc499133996"/>
      <w:bookmarkStart w:id="89" w:name="_Toc499134537"/>
      <w:bookmarkStart w:id="90" w:name="_Toc499135531"/>
      <w:bookmarkStart w:id="91" w:name="_Toc499137021"/>
      <w:bookmarkStart w:id="92" w:name="_Toc499138944"/>
      <w:bookmarkStart w:id="93" w:name="_Toc499139121"/>
      <w:bookmarkStart w:id="94" w:name="_Toc499139628"/>
      <w:bookmarkStart w:id="95" w:name="_Toc499198894"/>
      <w:bookmarkStart w:id="96" w:name="_Toc499201916"/>
      <w:bookmarkStart w:id="97" w:name="_Toc499206553"/>
      <w:bookmarkStart w:id="98" w:name="_Toc499219453"/>
      <w:bookmarkStart w:id="99" w:name="_Toc499221304"/>
      <w:bookmarkStart w:id="100" w:name="_Toc499221384"/>
      <w:bookmarkStart w:id="101" w:name="_Toc499223279"/>
      <w:bookmarkStart w:id="102" w:name="_Toc499225331"/>
      <w:bookmarkStart w:id="103" w:name="_Toc499225985"/>
      <w:bookmarkStart w:id="104" w:name="_Toc499226706"/>
      <w:bookmarkStart w:id="105" w:name="_Toc499228582"/>
      <w:bookmarkStart w:id="106" w:name="_Toc499552997"/>
      <w:bookmarkStart w:id="107" w:name="_Toc499563308"/>
      <w:bookmarkStart w:id="108" w:name="_Toc499565526"/>
      <w:bookmarkStart w:id="109" w:name="_Toc499566257"/>
      <w:bookmarkStart w:id="110" w:name="_Toc499567456"/>
      <w:bookmarkStart w:id="111" w:name="_Toc499569389"/>
      <w:bookmarkStart w:id="112" w:name="_Toc499570926"/>
      <w:bookmarkStart w:id="113" w:name="_Toc499571528"/>
      <w:bookmarkStart w:id="114" w:name="_Toc499632484"/>
      <w:bookmarkStart w:id="115" w:name="_Toc499632589"/>
      <w:bookmarkStart w:id="116" w:name="_Toc499637867"/>
      <w:bookmarkStart w:id="117" w:name="_Toc499645258"/>
      <w:bookmarkStart w:id="118" w:name="_Toc499653158"/>
      <w:bookmarkStart w:id="119" w:name="_Toc499656429"/>
      <w:bookmarkStart w:id="120" w:name="_Toc499657177"/>
      <w:bookmarkStart w:id="121" w:name="_Toc499661964"/>
      <w:bookmarkStart w:id="122" w:name="_Toc499663872"/>
      <w:bookmarkStart w:id="123" w:name="_Toc499664164"/>
      <w:bookmarkStart w:id="124" w:name="_Toc499664529"/>
      <w:bookmarkStart w:id="125" w:name="_Toc499667662"/>
      <w:bookmarkStart w:id="126" w:name="_Toc499667918"/>
      <w:bookmarkStart w:id="127" w:name="_Toc499731996"/>
      <w:bookmarkStart w:id="128" w:name="_Toc499740869"/>
      <w:bookmarkStart w:id="129" w:name="_Toc499741945"/>
      <w:bookmarkStart w:id="130" w:name="_Toc499742288"/>
      <w:bookmarkStart w:id="131" w:name="_Toc499818443"/>
      <w:bookmarkStart w:id="132" w:name="_Toc499820902"/>
      <w:bookmarkStart w:id="133" w:name="_Toc499821225"/>
      <w:bookmarkStart w:id="134" w:name="_Toc499821298"/>
      <w:bookmarkStart w:id="135" w:name="_Toc499821371"/>
      <w:bookmarkStart w:id="136" w:name="_Toc499821444"/>
      <w:bookmarkStart w:id="137" w:name="_Toc499909312"/>
      <w:bookmarkStart w:id="138" w:name="_Toc499910498"/>
      <w:bookmarkStart w:id="139" w:name="_Toc499913021"/>
      <w:bookmarkStart w:id="140" w:name="_Toc499915571"/>
      <w:bookmarkStart w:id="141" w:name="_Toc500153682"/>
      <w:bookmarkStart w:id="142" w:name="_Toc500154539"/>
      <w:bookmarkStart w:id="143" w:name="_Toc500168296"/>
      <w:bookmarkStart w:id="144" w:name="_Toc500174828"/>
      <w:bookmarkStart w:id="145" w:name="_Toc500181257"/>
      <w:bookmarkStart w:id="146" w:name="_Toc500181684"/>
      <w:bookmarkStart w:id="147" w:name="_Toc500182876"/>
      <w:bookmarkStart w:id="148" w:name="_Toc500259664"/>
      <w:bookmarkStart w:id="149" w:name="_Toc500261642"/>
      <w:bookmarkStart w:id="150" w:name="_Toc500262497"/>
      <w:bookmarkStart w:id="151" w:name="_Toc500264079"/>
      <w:bookmarkStart w:id="152" w:name="_Toc500265614"/>
      <w:bookmarkStart w:id="153" w:name="_Toc500265974"/>
      <w:bookmarkStart w:id="154" w:name="_Toc500265705"/>
      <w:bookmarkStart w:id="155" w:name="_Toc500348109"/>
      <w:bookmarkStart w:id="156" w:name="_Toc500349115"/>
      <w:bookmarkStart w:id="157" w:name="_Toc500349634"/>
      <w:bookmarkStart w:id="158" w:name="_Toc500412259"/>
      <w:bookmarkStart w:id="159" w:name="_Toc500414530"/>
      <w:bookmarkStart w:id="160" w:name="_Toc500414812"/>
      <w:bookmarkStart w:id="161" w:name="_Toc500414902"/>
      <w:bookmarkStart w:id="162" w:name="_Toc500422587"/>
      <w:bookmarkStart w:id="163" w:name="_Toc500435621"/>
      <w:bookmarkStart w:id="164" w:name="_Toc500436363"/>
      <w:bookmarkStart w:id="165" w:name="_Toc500436454"/>
      <w:bookmarkStart w:id="166" w:name="_Toc500437302"/>
      <w:bookmarkStart w:id="167" w:name="_Toc500437532"/>
      <w:bookmarkStart w:id="168" w:name="_Toc500440899"/>
      <w:bookmarkStart w:id="169" w:name="_Toc500490146"/>
      <w:bookmarkStart w:id="170" w:name="_Toc500494948"/>
      <w:bookmarkStart w:id="171" w:name="_Toc500495172"/>
      <w:bookmarkStart w:id="172" w:name="_Toc500495872"/>
      <w:bookmarkStart w:id="173" w:name="_Toc500498669"/>
      <w:bookmarkStart w:id="174" w:name="_Toc500498760"/>
      <w:bookmarkStart w:id="175" w:name="_Toc500499848"/>
      <w:bookmarkStart w:id="176" w:name="_Toc500499939"/>
      <w:bookmarkStart w:id="177" w:name="_Toc504064368"/>
      <w:bookmarkStart w:id="178" w:name="_Toc504064752"/>
      <w:bookmarkStart w:id="179" w:name="_Toc504065667"/>
      <w:bookmarkStart w:id="180" w:name="_Toc504148599"/>
      <w:bookmarkStart w:id="181" w:name="_Toc504149630"/>
      <w:bookmarkStart w:id="182" w:name="_Toc504151526"/>
      <w:bookmarkStart w:id="183" w:name="_Toc504151874"/>
      <w:bookmarkStart w:id="184" w:name="_Toc504153906"/>
      <w:bookmarkStart w:id="185" w:name="_Toc504472209"/>
      <w:bookmarkStart w:id="186" w:name="_Toc504491444"/>
      <w:bookmarkStart w:id="187" w:name="_Toc504495147"/>
      <w:bookmarkStart w:id="188" w:name="_Toc504497077"/>
      <w:bookmarkStart w:id="189" w:name="_Toc504497173"/>
      <w:bookmarkStart w:id="190" w:name="_Toc504499759"/>
      <w:bookmarkStart w:id="191" w:name="_Toc504501776"/>
      <w:bookmarkStart w:id="192" w:name="_Toc504579067"/>
      <w:bookmarkStart w:id="193" w:name="_Toc504580224"/>
      <w:bookmarkStart w:id="194" w:name="_Toc504587982"/>
      <w:bookmarkStart w:id="195" w:name="_Toc504588913"/>
      <w:bookmarkStart w:id="196" w:name="_Toc504641993"/>
      <w:bookmarkStart w:id="197" w:name="_Toc504644088"/>
      <w:bookmarkStart w:id="198" w:name="_Toc504645672"/>
      <w:bookmarkStart w:id="199" w:name="_Toc504648447"/>
      <w:bookmarkStart w:id="200" w:name="_Toc504650421"/>
      <w:bookmarkStart w:id="201" w:name="_Toc504654454"/>
      <w:bookmarkStart w:id="202" w:name="_Toc504655983"/>
      <w:bookmarkStart w:id="203" w:name="_Toc504661127"/>
      <w:bookmarkStart w:id="204" w:name="_Toc504661382"/>
      <w:bookmarkStart w:id="205" w:name="_Toc504662458"/>
      <w:bookmarkStart w:id="206" w:name="_Toc504669585"/>
      <w:bookmarkStart w:id="207" w:name="_Toc504670586"/>
      <w:bookmarkStart w:id="208" w:name="_Toc504729891"/>
      <w:bookmarkStart w:id="209" w:name="_Toc504732857"/>
      <w:bookmarkStart w:id="210" w:name="_Toc504735964"/>
      <w:bookmarkStart w:id="211" w:name="_Toc504736314"/>
      <w:bookmarkStart w:id="212" w:name="_Toc504741102"/>
      <w:bookmarkStart w:id="213" w:name="_Toc504748371"/>
      <w:r>
        <w:rPr>
          <w:noProof/>
        </w:rPr>
        <w:t>Kun kehitetää</w:t>
      </w:r>
      <w:r>
        <w:rPr>
          <w:noProof/>
        </w:rPr>
        <w:t>n tehokas ryhmäkannemekanismi, joka perustuu nykyiseen kieltokannedirektiiviin ja kunnioittaa jäsenvaltioiden oikeudellisia perinteitä, suojataan kuluttajien yhteisiä etuja kaikkialla unionissa. Tämä vahvistaa kuluttajien luottamusta vähittäiskaupan sisäma</w:t>
      </w:r>
      <w:r>
        <w:rPr>
          <w:noProof/>
        </w:rPr>
        <w:t>rkkinoihin, myös sähköisen kaupankäynnin alalla, sekä kannustaa yrityksiä noudattamaan unionin lainsäädäntöä. Jos jäsenvaltiot toimivat kukin erikseen, seurauksena on todennäköisesti yhä suurempi hajanaisuus. Tämä puolestaan edistää kehitystä, jossa kulutt</w:t>
      </w:r>
      <w:r>
        <w:rPr>
          <w:noProof/>
        </w:rPr>
        <w:t>ajia ja elinkeinonharjoittajia kohdellaan eriarvoisesti sisämarkkinoilla ja kuluttajien mahdollisuudet saada hyvitystä ovat eritasoisia eri puolilla EU:ta. Sen sijaan ehdotetunlaisilla unionin tason säädöksillä, joiden mukaan oikeutetut yksiköt voivat nost</w:t>
      </w:r>
      <w:r>
        <w:rPr>
          <w:noProof/>
        </w:rPr>
        <w:t>aa edustajakanteita, suojataan kaikkia eurooppalaisia kuluttajia paremmin ja kannustetaan yrityksiä noudattamaan sääntöjä paremmin. Näin lisätään rajat ylittävää tavara- ja palvelukauppaa.</w:t>
      </w:r>
    </w:p>
    <w:p w:rsidR="00D03C46" w:rsidRDefault="00BD37FC">
      <w:pPr>
        <w:rPr>
          <w:noProof/>
        </w:rPr>
      </w:pPr>
      <w:r>
        <w:rPr>
          <w:noProof/>
        </w:rPr>
        <w:lastRenderedPageBreak/>
        <w:t>Kuluttajansuojaa koskevasta yhteistyöstä annetulla asetuksella puut</w:t>
      </w:r>
      <w:r>
        <w:rPr>
          <w:noProof/>
        </w:rPr>
        <w:t>uttiin julkisen täytäntöönpanon valvonnan osalta laajamittaisiin rikkomisiin siten, että asetuksessa luotiin menettelylliset kehykset kansallisten valvontaviranomaisten väliselle yhteistyölle. Yksityisen täytäntöönpanon valvonnan alalla kaikkien jäsenvalti</w:t>
      </w:r>
      <w:r>
        <w:rPr>
          <w:noProof/>
        </w:rPr>
        <w:t>oiden kuluttajien käytössä ei kuitenkaan vielä ole toimivia välineitä hyvityksen vaatimiseksi. On havaittu, että jäsenvaltioiden kesken on merkittäviä eroja sen suhteen, kuinka tuloksellisesti kieltokannedirektiivi toimii. Tämä edellyttää EU:n toimia, vars</w:t>
      </w:r>
      <w:r>
        <w:rPr>
          <w:noProof/>
        </w:rPr>
        <w:t xml:space="preserve">inkin kun tilanteella on rajat ylittäviä vaikutuksia. Myös tämänhetkiset kansalliset kollektiiviset hyvitysmekanismit vaihtelevat huomattavasti sen suhteen, kuinka tuloksellisia ne ovat ja miten ne toimivat. Yhdeksässä jäsenvaltiossa ei ole vielä lainkaan </w:t>
      </w:r>
      <w:r>
        <w:rPr>
          <w:noProof/>
        </w:rPr>
        <w:t>tällaisia mekanismeja. Kun unionin tasolla määritellään yhteinen järjestelmä, jossa edustajakanteiden avulla voidaan vaatia kielto- ja hyvitysmääräyksiä kuluttajien yhteisten etujen suojaamiseksi, varmistetaan, että unionin oikeuden rikkomiset, jotka johtu</w:t>
      </w:r>
      <w:r>
        <w:rPr>
          <w:noProof/>
        </w:rPr>
        <w:t>vat kotimaisista tai rajat ylittävistä liiketoimista, käsitellään tehokkaasti ja tuloksellisesti. EU:n sisällä toimivat elinkeinonharjoittajat toteuttavat yhä useammin EU:n laajuisia kaupallisia strategioita. Tämä syventää ongelman EU-ulottuvuutta, sillä r</w:t>
      </w:r>
      <w:r>
        <w:rPr>
          <w:noProof/>
        </w:rPr>
        <w:t>iski siitä, että joukkovahinkotilanteet vaikuttavat samanaikaisesti kuluttajiin useissa jäsenvaltioissa, kasvaa.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noProof/>
        </w:rPr>
        <w:t xml:space="preserve"> </w:t>
      </w:r>
    </w:p>
    <w:p w:rsidR="00D03C46" w:rsidRDefault="00BD37FC">
      <w:pPr>
        <w:pStyle w:val="ManualHeading2"/>
        <w:rPr>
          <w:rFonts w:eastAsia="Arial Unicode MS"/>
          <w:noProof/>
          <w:u w:color="000000"/>
          <w:bdr w:val="nil"/>
        </w:rPr>
      </w:pPr>
      <w:r>
        <w:rPr>
          <w:noProof/>
        </w:rPr>
        <w:t>•</w:t>
      </w:r>
      <w:r>
        <w:rPr>
          <w:noProof/>
        </w:rPr>
        <w:tab/>
        <w:t>Suhteellisuusperiaate</w:t>
      </w:r>
    </w:p>
    <w:p w:rsidR="00D03C46" w:rsidRDefault="00BD37FC">
      <w:pPr>
        <w:spacing w:before="100" w:beforeAutospacing="1" w:after="100" w:afterAutospacing="1"/>
        <w:rPr>
          <w:rFonts w:eastAsia="Times New Roman"/>
          <w:noProof/>
        </w:rPr>
      </w:pPr>
      <w:r>
        <w:rPr>
          <w:noProof/>
        </w:rPr>
        <w:t>Ehdotus rajoittuu tiukasti siihen, mikä on tarpeen ehdotuksen tavoitteiden saavuttamiseksi. Ehdotuksessa ei säädetä ka</w:t>
      </w:r>
      <w:r>
        <w:rPr>
          <w:noProof/>
        </w:rPr>
        <w:t>ikista edustajakanteisiin liittyvistä seikoista vaan ainoastaan tietyistä keskeisistä näkökohdista, jotka ovat tarpeen edustajakanteisiin liittyvän järjestelmän luomiseksi ja joita on täydennettävä erityisillä kansallisen tason menettelysäännöillä. Ehdotet</w:t>
      </w:r>
      <w:r>
        <w:rPr>
          <w:noProof/>
        </w:rPr>
        <w:t xml:space="preserve">ussa toimessa kunnioitetaan jäsenvaltioiden oikeusperinteitä, sillä ehdotuksella ei korvata nykyisiä kansallisia mekanismeja. Sen sijaan ehdotuksessa säädetään uudesta erityisestä edustajakannemekanismista. Näin varmistetaan, että kaikilla kuluttajilla on </w:t>
      </w:r>
      <w:r>
        <w:rPr>
          <w:noProof/>
        </w:rPr>
        <w:t>käytettävissään ainakin yksi mekanismi, jonka menettelytavat ovat pääosin samat kaikissa jäsenvaltioissa.</w:t>
      </w:r>
    </w:p>
    <w:p w:rsidR="00D03C46" w:rsidRDefault="00BD37FC">
      <w:pPr>
        <w:pStyle w:val="ManualHeading2"/>
        <w:rPr>
          <w:rFonts w:eastAsia="Arial Unicode MS"/>
          <w:noProof/>
          <w:u w:color="000000"/>
          <w:bdr w:val="nil"/>
        </w:rPr>
      </w:pPr>
      <w:r>
        <w:rPr>
          <w:noProof/>
        </w:rPr>
        <w:t>•</w:t>
      </w:r>
      <w:r>
        <w:rPr>
          <w:noProof/>
        </w:rPr>
        <w:tab/>
        <w:t>Toimintatavan valinta</w:t>
      </w:r>
    </w:p>
    <w:p w:rsidR="00D03C46" w:rsidRDefault="00BD37FC">
      <w:pPr>
        <w:pBdr>
          <w:top w:val="nil"/>
          <w:left w:val="nil"/>
          <w:bottom w:val="nil"/>
          <w:right w:val="nil"/>
          <w:between w:val="nil"/>
          <w:bar w:val="nil"/>
        </w:pBdr>
        <w:spacing w:before="0" w:after="240"/>
        <w:rPr>
          <w:rFonts w:eastAsia="Arial Unicode MS"/>
          <w:noProof/>
        </w:rPr>
      </w:pPr>
      <w:r>
        <w:rPr>
          <w:noProof/>
        </w:rPr>
        <w:t>Ainoa soveltuva väline, jolla voidaan puuttua prosessioikeuskysymyksiin edellä mainittujen tavoitteiden saavuttamiseksi, on di</w:t>
      </w:r>
      <w:r>
        <w:rPr>
          <w:noProof/>
        </w:rPr>
        <w:t>rektiivi. Tilanne oli sama kieltokannedirektiivin osalta.</w:t>
      </w:r>
    </w:p>
    <w:p w:rsidR="00D03C46" w:rsidRDefault="00BD37FC">
      <w:pPr>
        <w:pStyle w:val="ManualHeading1"/>
        <w:rPr>
          <w:noProof/>
        </w:rPr>
      </w:pPr>
      <w:r>
        <w:rPr>
          <w:noProof/>
        </w:rPr>
        <w:t>3.</w:t>
      </w:r>
      <w:r>
        <w:rPr>
          <w:noProof/>
        </w:rPr>
        <w:tab/>
        <w:t>JÄLKIARVIOINTIEN, SIDOSRYHMIEN KUULEMISTEN JA VAIKUTUSTENARVIOINTIEN TULOKSET</w:t>
      </w:r>
    </w:p>
    <w:p w:rsidR="00D03C46" w:rsidRDefault="00BD37FC">
      <w:pPr>
        <w:pStyle w:val="ManualHeading2"/>
        <w:rPr>
          <w:rFonts w:eastAsia="Arial Unicode MS"/>
          <w:noProof/>
          <w:u w:color="000000"/>
          <w:bdr w:val="nil"/>
        </w:rPr>
      </w:pPr>
      <w:r>
        <w:rPr>
          <w:noProof/>
        </w:rPr>
        <w:t>•</w:t>
      </w:r>
      <w:r>
        <w:rPr>
          <w:noProof/>
        </w:rPr>
        <w:tab/>
        <w:t>Jälkiarvioinnit/toimivuustarkastukset</w:t>
      </w:r>
    </w:p>
    <w:p w:rsidR="00D03C46" w:rsidRDefault="00BD37FC">
      <w:pPr>
        <w:pBdr>
          <w:top w:val="nil"/>
          <w:left w:val="nil"/>
          <w:bottom w:val="nil"/>
          <w:right w:val="nil"/>
          <w:between w:val="nil"/>
          <w:bar w:val="nil"/>
        </w:pBdr>
        <w:spacing w:after="240"/>
        <w:rPr>
          <w:noProof/>
        </w:rPr>
      </w:pPr>
      <w:r>
        <w:rPr>
          <w:noProof/>
        </w:rPr>
        <w:t>Vuonna 2008 annetussa kieltokannedirektiivin soveltamista koskevassa kertomuk</w:t>
      </w:r>
      <w:r>
        <w:rPr>
          <w:noProof/>
        </w:rPr>
        <w:t>sessa</w:t>
      </w:r>
      <w:r>
        <w:rPr>
          <w:rStyle w:val="FootnoteReference"/>
          <w:noProof/>
        </w:rPr>
        <w:footnoteReference w:id="22"/>
      </w:r>
      <w:r>
        <w:rPr>
          <w:noProof/>
          <w:vertAlign w:val="superscript"/>
        </w:rPr>
        <w:t xml:space="preserve"> </w:t>
      </w:r>
      <w:r>
        <w:rPr>
          <w:noProof/>
        </w:rPr>
        <w:t xml:space="preserve"> todettiin, että kieltokannemenettelyä oli käytetty jossain määrin menestyksekkäästi kansallisissa rikkomistapauksissa mutta että tulokset olivat vähäisempiä rajat ylittävien rikkomisten torjumisessa. Tämä johtui lähinnä siitä, että oikeutetuilla yk</w:t>
      </w:r>
      <w:r>
        <w:rPr>
          <w:noProof/>
        </w:rPr>
        <w:t>siköillä ei ollut riittävästi rahoitusta ja asiantuntemusta, jotta ne olisivat kyenneet erilaisten menettelyiden hoitamiseen eri jäsenvaltioissa. Vuoden 2012 kertomuksessa</w:t>
      </w:r>
      <w:r>
        <w:rPr>
          <w:rStyle w:val="FootnoteReference"/>
          <w:noProof/>
        </w:rPr>
        <w:footnoteReference w:id="23"/>
      </w:r>
      <w:r>
        <w:rPr>
          <w:noProof/>
        </w:rPr>
        <w:t xml:space="preserve"> todettiin, että vaikka kieltokanteilla oli rajoituksensa, niistä oli apua kuluttaji</w:t>
      </w:r>
      <w:r>
        <w:rPr>
          <w:noProof/>
        </w:rPr>
        <w:t xml:space="preserve">en etujen suojaamisessa. Niihin liittyi </w:t>
      </w:r>
      <w:r>
        <w:rPr>
          <w:noProof/>
        </w:rPr>
        <w:lastRenderedPageBreak/>
        <w:t>huomattavia mahdollisuuksia, kunhan havaitut ongelmat saataisiin poistetuksi. Epäkohtia olivat erityisesti oikeudenkäyntien kalleus ja pitkä kesto, menettelytapojen mutkikkuus sekä kieltotuomioiden suhteellisen rajal</w:t>
      </w:r>
      <w:r>
        <w:rPr>
          <w:noProof/>
        </w:rPr>
        <w:t>liset vaikutukset ja niiden täytäntöönpanon valvonnan vaikeus. Nämä ongelmat olivat vieläkin selvempiä rajat ylittävien kieltokanteiden osalta.</w:t>
      </w:r>
    </w:p>
    <w:p w:rsidR="00D03C46" w:rsidRDefault="00BD37FC">
      <w:pPr>
        <w:pBdr>
          <w:top w:val="nil"/>
          <w:left w:val="nil"/>
          <w:bottom w:val="nil"/>
          <w:right w:val="nil"/>
          <w:between w:val="nil"/>
          <w:bar w:val="nil"/>
        </w:pBdr>
        <w:spacing w:after="240"/>
        <w:rPr>
          <w:noProof/>
        </w:rPr>
      </w:pPr>
      <w:r>
        <w:rPr>
          <w:noProof/>
        </w:rPr>
        <w:t>Vuonna 2017 tehdyssä EU:n kuluttaja- ja markkinointilainsäädännön toimivuustarkastuksessa</w:t>
      </w:r>
      <w:r>
        <w:rPr>
          <w:rStyle w:val="FootnoteReference"/>
          <w:noProof/>
        </w:rPr>
        <w:footnoteReference w:id="24"/>
      </w:r>
      <w:r>
        <w:rPr>
          <w:noProof/>
        </w:rPr>
        <w:t xml:space="preserve"> arvioitiin kattavasti</w:t>
      </w:r>
      <w:r>
        <w:rPr>
          <w:noProof/>
        </w:rPr>
        <w:t xml:space="preserve"> myös kieltokannedirektiiviä. Arvioinnin kohteena olivat direktiivin vaikuttavuus, tehokkuus, johdonmukaisuus, merkityksellisyys ja EU:n tason lisäarvo. Tuloksia selostetaan seuraavassa.</w:t>
      </w:r>
    </w:p>
    <w:p w:rsidR="00D03C46" w:rsidRDefault="00BD37FC">
      <w:pPr>
        <w:pStyle w:val="ListBullet1"/>
        <w:rPr>
          <w:noProof/>
        </w:rPr>
      </w:pPr>
      <w:r>
        <w:rPr>
          <w:b/>
          <w:noProof/>
        </w:rPr>
        <w:t>Vaikuttavuus</w:t>
      </w:r>
    </w:p>
    <w:p w:rsidR="00D03C46" w:rsidRDefault="00BD37FC">
      <w:pPr>
        <w:spacing w:after="0"/>
        <w:rPr>
          <w:noProof/>
        </w:rPr>
      </w:pPr>
      <w:r>
        <w:rPr>
          <w:noProof/>
        </w:rPr>
        <w:t>Toimivuustarkastuksessa vahvistui käsitys, että kieltokannedirektiivi on tarpeellinen osa EU:n säännösten kokonaisuutta, jolla kuluttajalainsäädännön täytäntöönpanoa valvotaan. Direktiivi soveltuu edelleen täytäntöönpanon valvonnan välineeksi, jonka avulla</w:t>
      </w:r>
      <w:r>
        <w:rPr>
          <w:noProof/>
        </w:rPr>
        <w:t xml:space="preserve"> voidaan lopettaa kuluttajien yhteisiä etuja vahingoittavat elinkeinonharjoittajien rikkomiset. Näin on erityisesti siitä syystä, että talous digitalisoituu ja globalisoituu ja sen myötä joukkovahinkotilanteiden riski kaikkialla EU:ssa kasvaa. Kieltokannem</w:t>
      </w:r>
      <w:r>
        <w:rPr>
          <w:noProof/>
        </w:rPr>
        <w:t>enettelyä käytetään kuitenkin edelleen liian vähän. Sen vaikuttavuutta haittaavat esimerkiksi menettelyn kalleus ja monimutkaisuus samalla kun siitä koituvat hyödyt vahinkoa kärsineille kuluttajille saattavat olla vähäisiä. Arvioinnissa kävi ilmi, että dir</w:t>
      </w:r>
      <w:r>
        <w:rPr>
          <w:noProof/>
        </w:rPr>
        <w:t xml:space="preserve">ektiivin vaikuttavuutta olisi lisättävä esimerkiksi yhdenmukaistamalla kieltokannemenettelyä sekä laajentamalla menettelyn soveltamisalaa suurempaan joukkoon sellaisia EU:n säädöksiä, joilla on merkitystä kuluttajien yhteisten etujen suojaamisen kannalta. </w:t>
      </w:r>
      <w:r>
        <w:rPr>
          <w:noProof/>
        </w:rPr>
        <w:t>Muutoksilla olisi parannettava oikeussuojan saatavuutta, pienennettävä oikeutettujen yksiköiden kuluja näiden suojatessa kuluttajien yhteisiä etuja sekä lisättävä kieltokanteiden pelotevaikutusta. Kieltokannedirektiiviä olisi myös muutettava siten, että si</w:t>
      </w:r>
      <w:r>
        <w:rPr>
          <w:noProof/>
        </w:rPr>
        <w:t>itä olisi enemmän hyötyä vahinkoa kärsineille kuluttajille. Näin on siitä huolimatta, että jo tällä hetkellä jäsenvaltioiden on tarvittaessa toteutettava toimenpiteitä, joilla pyritään poistamaan direktiivin soveltamisalaan kuuluvien rikkomisten jatkuvat v</w:t>
      </w:r>
      <w:r>
        <w:rPr>
          <w:noProof/>
        </w:rPr>
        <w:t>aikutukset. Aina ei ole selvää, onko myös kuluttajille määrättävä hyvitys sellainen direktiivin mukainen toimenpide, jolla pyritään poistamaan rikkomisen jatkuvat vaikutukset. Tätä epävarmuutta pidetään yleisesti pääasiallisena syynä siihen, että direktiiv</w:t>
      </w:r>
      <w:r>
        <w:rPr>
          <w:noProof/>
        </w:rPr>
        <w:t xml:space="preserve">in vaikuttavuus on riittämätön. Kuluttajat eivät voi luottaa kieltomääräykseen saadakseen hyvitystä, vaan heidän on sen sijaan nostettava hyvityskanne samoin perustein ja esitettävä rikkomista koskeva näyttö uudelleen. </w:t>
      </w:r>
    </w:p>
    <w:p w:rsidR="00D03C46" w:rsidRDefault="00BD37FC">
      <w:pPr>
        <w:spacing w:after="0"/>
        <w:rPr>
          <w:noProof/>
        </w:rPr>
      </w:pPr>
      <w:r>
        <w:rPr>
          <w:noProof/>
        </w:rPr>
        <w:t>Toimivuustarkastus osoitti, että yks</w:t>
      </w:r>
      <w:r>
        <w:rPr>
          <w:noProof/>
        </w:rPr>
        <w:t>iköllistä hyvitystä hakevilla eurooppalaisilla kuluttajilla on vastassaan samat esteet nyt kuin 10 vuotta sitten. Näitä esteitä ovat muun muassa seuraavat: oikeudenkäynnit kestävät liian pitkään; todennäköisyys hyvityksen saamisesta mielletään pieneksi; ai</w:t>
      </w:r>
      <w:r>
        <w:rPr>
          <w:noProof/>
        </w:rPr>
        <w:t>emmin esitetyt vaatimukset eivät ole tuottaneet tuloksia; kuluttajat eivät tunne oikeuksiaan tai eivät tiedä, missä ja miten vaatimuksia voi esittää; kuluttajat voivat tuntea haluttomuutta prosessin käynnistämiseen. Oikeustapauksen lopputulosta ei ole pakk</w:t>
      </w:r>
      <w:r>
        <w:rPr>
          <w:noProof/>
        </w:rPr>
        <w:t>o julkistaa, joten kuluttajat eivät saa tietoa rikkomisista. Kun kielteistä julkisuutta ei ole, pelko maineen menettämisestä ei myöskään estä elinkeinonharjoittajia rikkomasta sääntöjä. Kieltokanteita ei useinkaan hyödynnetä rajat ylittävissä rikkomisissa,</w:t>
      </w:r>
      <w:r>
        <w:rPr>
          <w:noProof/>
        </w:rPr>
        <w:t xml:space="preserve"> eivätkä eri jäsenvaltioiden oikeutetut yksiköt tee riittävästi yhteistyötä keskenään vaihtaakseen parhaita käytäntöjä tai kehittääkseen yhteisiä strategioita laajamittaisten rikkomisten torjumiseksi. </w:t>
      </w:r>
    </w:p>
    <w:p w:rsidR="00D03C46" w:rsidRDefault="00BD37FC">
      <w:pPr>
        <w:pStyle w:val="ListBullet1"/>
        <w:rPr>
          <w:b/>
          <w:noProof/>
          <w:sz w:val="23"/>
          <w:szCs w:val="23"/>
        </w:rPr>
      </w:pPr>
      <w:r>
        <w:rPr>
          <w:b/>
          <w:noProof/>
        </w:rPr>
        <w:t>Tehokkuus</w:t>
      </w:r>
    </w:p>
    <w:p w:rsidR="00D03C46" w:rsidRDefault="00BD37FC">
      <w:pPr>
        <w:autoSpaceDE w:val="0"/>
        <w:autoSpaceDN w:val="0"/>
        <w:adjustRightInd w:val="0"/>
        <w:spacing w:after="0"/>
        <w:rPr>
          <w:noProof/>
        </w:rPr>
      </w:pPr>
      <w:r>
        <w:rPr>
          <w:noProof/>
        </w:rPr>
        <w:lastRenderedPageBreak/>
        <w:t>Kieltokannedirektiivillä ei aseteta erityisi</w:t>
      </w:r>
      <w:r>
        <w:rPr>
          <w:noProof/>
        </w:rPr>
        <w:t xml:space="preserve">ä velvoitteita sääntöjä noudattaville elinkeinonharjoittajille, sillä direktiivin tavoitteena on lopettaa unionin aineellista oikeutta rikkovat elinkeinonharjoittajien toimet. Kieltokanteesta ei myöskään aiheudu kuluja yksittäisille kuluttajille, sillä he </w:t>
      </w:r>
      <w:r>
        <w:rPr>
          <w:noProof/>
        </w:rPr>
        <w:t>eivät ole osapuolina oikeutetun yksikön käynnistämissä oikeudenkäynneissä. Päinvastoin se, että oikeutetun yksikön nostamilla ryhmäkanteilla lopetetaan rikkomisia ja estetään tulevia rikkomisia, hyödyttää kaikkia kuluttajia tapauksissa, joissa rikkomisilla</w:t>
      </w:r>
      <w:r>
        <w:rPr>
          <w:noProof/>
        </w:rPr>
        <w:t xml:space="preserve"> on laaja-alaisia vaikutuksia mutta joissa yksittäiset kuluttajat eivät eri syistä vie tapauksia oikeuteen, esimerkiksi siitä syystä, että he eivät tunne oikeuksiaan, heillä ei ole varaa oikeudenkäyntiin tai he tuntevat haluttomuutta prosessin käynnistämis</w:t>
      </w:r>
      <w:r>
        <w:rPr>
          <w:noProof/>
        </w:rPr>
        <w:t>een. Toimivuustarkastuksessa todettiin, että niiden kulujen lisäksi, jotka aiheutuvat aineellisten sääntöjen noudattamisesta, direktiivistä ei koidu kuluja sääntöjä noudattaville elinkeinonharjoittajille. Ainoat lisäkulut voisivat syntyä perusteettomien ka</w:t>
      </w:r>
      <w:r>
        <w:rPr>
          <w:noProof/>
        </w:rPr>
        <w:t>nteiden vuoksi. Toimivuustarkastuksessa ei kuitenkaan tullut esiin viitteitä siitä, että EU:n oikeutetut yksiköt olisivat nostaneet perusteettomia kanteita kieltokannedirektiivin nojalla.</w:t>
      </w:r>
    </w:p>
    <w:p w:rsidR="00D03C46" w:rsidRDefault="00BD37FC">
      <w:pPr>
        <w:pStyle w:val="ListBullet1"/>
        <w:rPr>
          <w:b/>
          <w:noProof/>
        </w:rPr>
      </w:pPr>
      <w:r>
        <w:rPr>
          <w:b/>
          <w:noProof/>
        </w:rPr>
        <w:t>Johdonmukaisuus</w:t>
      </w:r>
    </w:p>
    <w:p w:rsidR="00D03C46" w:rsidRDefault="00BD37FC">
      <w:pPr>
        <w:pBdr>
          <w:top w:val="nil"/>
          <w:left w:val="nil"/>
          <w:bottom w:val="nil"/>
          <w:right w:val="nil"/>
          <w:between w:val="nil"/>
          <w:bar w:val="nil"/>
        </w:pBdr>
        <w:spacing w:after="240"/>
        <w:rPr>
          <w:noProof/>
        </w:rPr>
      </w:pPr>
      <w:r>
        <w:rPr>
          <w:noProof/>
        </w:rPr>
        <w:t>Toimivuustarkastuksessa vahvistui käsitys, että kiel</w:t>
      </w:r>
      <w:r>
        <w:rPr>
          <w:noProof/>
        </w:rPr>
        <w:t>tokannedirektiivin soveltamisalaan piiriin olisi sisällytettävä enemmän sellaista EU:n lainsäädäntöä, jolla on merkitystä kuluttajansuojan kannalta. Vähintäänkin kieltokannedirektiivin soveltamisala olisi sovitettava yhteen kuluttajansuojaa koskevasta yhte</w:t>
      </w:r>
      <w:r>
        <w:rPr>
          <w:noProof/>
        </w:rPr>
        <w:t>istyöstä annetun asetuksen soveltamisalan kanssa. Näin direktiivistä tulisi johdonmukaisempi niiden muiden kieltokannemenettelyiden kanssa, joista EU:n tasolla on säädetty.</w:t>
      </w:r>
    </w:p>
    <w:p w:rsidR="00D03C46" w:rsidRDefault="00BD37FC">
      <w:pPr>
        <w:pStyle w:val="ListBullet1"/>
        <w:rPr>
          <w:b/>
          <w:noProof/>
        </w:rPr>
      </w:pPr>
      <w:r>
        <w:rPr>
          <w:b/>
          <w:noProof/>
        </w:rPr>
        <w:t>Merkityksellisyys</w:t>
      </w:r>
    </w:p>
    <w:p w:rsidR="00D03C46" w:rsidRDefault="00BD37FC">
      <w:pPr>
        <w:pBdr>
          <w:top w:val="nil"/>
          <w:left w:val="nil"/>
          <w:bottom w:val="nil"/>
          <w:right w:val="nil"/>
          <w:between w:val="nil"/>
          <w:bar w:val="nil"/>
        </w:pBdr>
        <w:spacing w:after="240"/>
        <w:rPr>
          <w:noProof/>
        </w:rPr>
      </w:pPr>
      <w:r>
        <w:rPr>
          <w:noProof/>
        </w:rPr>
        <w:t>Kerätyt tiedot ja sidosryhmien kuulemiset ovat vahvistaneet käsit</w:t>
      </w:r>
      <w:r>
        <w:rPr>
          <w:noProof/>
        </w:rPr>
        <w:t>ystä, että kieltokannedirektiivi on edelleen merkityksellinen. Sen tavoitteet ja sisältö ovat johdonmukaisia markkinoiden kehityksen ja kulutuskäyttäytymisessä tällä hetkellä ilmenevien tarpeiden ja trendien kanssa. Arviointi osoitti, että kuluttajansuojaa</w:t>
      </w:r>
      <w:r>
        <w:rPr>
          <w:noProof/>
        </w:rPr>
        <w:t xml:space="preserve"> ja sisämarkkinoiden yhdentymistä koskevat tavoitteet ovat edelleen erittäin merkityksellisiä. </w:t>
      </w:r>
    </w:p>
    <w:p w:rsidR="00D03C46" w:rsidRDefault="00BD37FC">
      <w:pPr>
        <w:pStyle w:val="ListBullet1"/>
        <w:rPr>
          <w:b/>
          <w:noProof/>
        </w:rPr>
      </w:pPr>
      <w:r>
        <w:rPr>
          <w:b/>
          <w:noProof/>
        </w:rPr>
        <w:t>EU:n lisäarvo</w:t>
      </w:r>
    </w:p>
    <w:p w:rsidR="00D03C46" w:rsidRDefault="00BD37FC">
      <w:pPr>
        <w:pBdr>
          <w:top w:val="nil"/>
          <w:left w:val="nil"/>
          <w:bottom w:val="nil"/>
          <w:right w:val="nil"/>
          <w:between w:val="nil"/>
          <w:bar w:val="nil"/>
        </w:pBdr>
        <w:spacing w:after="240"/>
        <w:rPr>
          <w:noProof/>
        </w:rPr>
      </w:pPr>
      <w:r>
        <w:rPr>
          <w:noProof/>
        </w:rPr>
        <w:t>Toimivuustarkastuksessa kävi ilmi, että kuluttajansuojan taso olisi alhaisempi monissa jäsenvaltioissa, ellei EU:ssa olisi säädetty velvollisuutta</w:t>
      </w:r>
      <w:r>
        <w:rPr>
          <w:noProof/>
        </w:rPr>
        <w:t xml:space="preserve"> ottaa käyttöön kieltokannemenettely, jolla kuluttajien yhteisiä etuja suojataan ja kuluttajalainsäädännön täytäntöönpanoa valvotaan kollektiivisesti. Sidosryhmät ovat vahvistaneet, että kieltokannedirektiivi on tuottanut lisäarvoa sekä jäsenvaltioissa, jo</w:t>
      </w:r>
      <w:r>
        <w:rPr>
          <w:noProof/>
        </w:rPr>
        <w:t>issa kieltokannemenettely on otettu käyttöön ensimmäisen kerran, että jäsenvaltioissa, joissa olemassa olevia järjestelmiä on parannettu direktiivin antamisen jälkeen. Vaikka joissakin jäsenvaltioissa oli jo käytössä kieltokannemenettelyitä tietyntyyppisis</w:t>
      </w:r>
      <w:r>
        <w:rPr>
          <w:noProof/>
        </w:rPr>
        <w:t>sä asioissa, esimerkiksi sellaisten rikkomisten osalta, jotka liittyivät sopimattomista kaupallisista menettelyistä annettuun lakiin tai kohtuuttomiin sopimusehtoihin, kyseisten jäsenvaltioiden lait eivät kattaneet kaikkia kuluttajalainsäädännön osa-alueit</w:t>
      </w:r>
      <w:r>
        <w:rPr>
          <w:noProof/>
        </w:rPr>
        <w:t>a, jotka nyt sisältyvät direktiivin liitteessä I olevaan luetteloon.</w:t>
      </w:r>
    </w:p>
    <w:p w:rsidR="00D03C46" w:rsidRDefault="00BD37FC">
      <w:pPr>
        <w:rPr>
          <w:rFonts w:eastAsia="Times New Roman"/>
          <w:noProof/>
        </w:rPr>
      </w:pPr>
      <w:r>
        <w:rPr>
          <w:noProof/>
        </w:rPr>
        <w:t>Ryhmäkannekertomuksessa todettiin lisäksi, että</w:t>
      </w:r>
      <w:r>
        <w:rPr>
          <w:noProof/>
          <w:color w:val="000000"/>
        </w:rPr>
        <w:t xml:space="preserve"> </w:t>
      </w:r>
      <w:r>
        <w:rPr>
          <w:noProof/>
        </w:rPr>
        <w:t>komission</w:t>
      </w:r>
      <w:r>
        <w:rPr>
          <w:noProof/>
          <w:color w:val="000000"/>
        </w:rPr>
        <w:t xml:space="preserve"> suositus vuodelta 2013 muodosti mittapuun kollektiivisten hyvitysvaatimusten eurooppalaiselle mallille. Kertomuksessa katsottiin </w:t>
      </w:r>
      <w:r>
        <w:rPr>
          <w:noProof/>
          <w:color w:val="000000"/>
        </w:rPr>
        <w:t xml:space="preserve">kuitenkin myös, että suosituksen jatkotoimina oli hyväksytty vain vähän </w:t>
      </w:r>
      <w:r>
        <w:rPr>
          <w:noProof/>
          <w:color w:val="000000"/>
        </w:rPr>
        <w:lastRenderedPageBreak/>
        <w:t>lainsäädäntöä.</w:t>
      </w:r>
      <w:r>
        <w:rPr>
          <w:rStyle w:val="FootnoteReference"/>
          <w:noProof/>
          <w:color w:val="000000"/>
        </w:rPr>
        <w:footnoteReference w:id="25"/>
      </w:r>
      <w:r>
        <w:rPr>
          <w:noProof/>
          <w:color w:val="000000"/>
        </w:rPr>
        <w:t xml:space="preserve"> Näin ollen oikeussuojan saatavuuden parantamismahdollisuuksia ei ole vielä läheskään täysin hyödynnetty. Vaikka suositus onkin luonteeltaan horisontaalinen ja siinä ote</w:t>
      </w:r>
      <w:r>
        <w:rPr>
          <w:noProof/>
          <w:color w:val="000000"/>
        </w:rPr>
        <w:t>taan huomioon eri alat, joilla joukkovahinkotilanteita voi esiintyä,</w:t>
      </w:r>
      <w:r>
        <w:rPr>
          <w:noProof/>
        </w:rPr>
        <w:t xml:space="preserve"> EU:n laajuisen kollektiivisen hyvitysmekanismin puuttumisella on erityistä käytännön merkitystä juuri kuluttajansuojan kannalta. Tämä on käynyt ilmi </w:t>
      </w:r>
      <w:r>
        <w:rPr>
          <w:noProof/>
          <w:color w:val="000000"/>
        </w:rPr>
        <w:t>konkreettisissa tapauksissa, esimerkik</w:t>
      </w:r>
      <w:r>
        <w:rPr>
          <w:noProof/>
          <w:color w:val="000000"/>
        </w:rPr>
        <w:t xml:space="preserve">si Dieselgate-tapauksessa. </w:t>
      </w:r>
      <w:r>
        <w:rPr>
          <w:noProof/>
        </w:rPr>
        <w:t>Euroopan komissio on ilmoittanut, että se aikoo tämän arvioinnin jatkotoimena erityisesti lujittaa kieltokannedirektiiviä täytäntöönpanon valvonnan ja hyvitysmenettelyiden näkökulmasta.</w:t>
      </w:r>
    </w:p>
    <w:p w:rsidR="00D03C46" w:rsidRDefault="00BD37FC">
      <w:pPr>
        <w:pStyle w:val="ManualHeading2"/>
        <w:rPr>
          <w:rFonts w:eastAsia="Arial Unicode MS"/>
          <w:noProof/>
          <w:u w:color="000000"/>
          <w:bdr w:val="nil"/>
        </w:rPr>
      </w:pPr>
      <w:r>
        <w:rPr>
          <w:noProof/>
        </w:rPr>
        <w:t>•</w:t>
      </w:r>
      <w:r>
        <w:rPr>
          <w:noProof/>
        </w:rPr>
        <w:tab/>
        <w:t>Sidosryhmien kuuleminen</w:t>
      </w:r>
    </w:p>
    <w:p w:rsidR="00D03C46" w:rsidRDefault="00BD37FC">
      <w:pPr>
        <w:rPr>
          <w:noProof/>
        </w:rPr>
      </w:pPr>
      <w:r>
        <w:rPr>
          <w:noProof/>
        </w:rPr>
        <w:t>Ehdotettu direkti</w:t>
      </w:r>
      <w:r>
        <w:rPr>
          <w:noProof/>
        </w:rPr>
        <w:t xml:space="preserve">ivi perustuu laajoihin kuulemisiin, joita toteutettiin toimivuustarkastuksen yhteydessä vuosina 2016 ja 2017, sekä vuonna 2017 toteutettuun kannanottopyyntöön, joka koski kollektiivisia oikeussuojakeinoja. Lisäksi </w:t>
      </w:r>
      <w:r>
        <w:rPr>
          <w:rStyle w:val="None"/>
          <w:noProof/>
        </w:rPr>
        <w:t>tämän direktiivin valmistelun yhteydessä t</w:t>
      </w:r>
      <w:r>
        <w:rPr>
          <w:rStyle w:val="None"/>
          <w:noProof/>
        </w:rPr>
        <w:t>oteutetussa vaikutustenarvioinnissa on kuultu</w:t>
      </w:r>
      <w:r>
        <w:rPr>
          <w:noProof/>
        </w:rPr>
        <w:t xml:space="preserve"> kohdennetusti erilaisia jäsenvaltioiden viranomaisten, oikeusalan ammattilaisten, kuluttajajärjestöjen ja elinkeinoelämän järjestöjen muodostamia verkostoja.</w:t>
      </w:r>
    </w:p>
    <w:p w:rsidR="00D03C46" w:rsidRDefault="00BD37FC">
      <w:pPr>
        <w:rPr>
          <w:noProof/>
        </w:rPr>
      </w:pPr>
      <w:r>
        <w:rPr>
          <w:noProof/>
        </w:rPr>
        <w:t>Kohdennetuissa kuulemisissa useimmat sidosryhmät, el</w:t>
      </w:r>
      <w:r>
        <w:rPr>
          <w:noProof/>
        </w:rPr>
        <w:t>inkeinoelämän järjestöjä lukuun ottamatta, yleisesti kannattivat ehdotettuja muutoksia, joilla pyrittiin lisäämään kuluttajien yhteisten etujen suojaamiseksi nostettujen kanteiden vaikuttavuutta. Erityisesti jäsenvaltioiden viranomaiset ja kuluttajajärjest</w:t>
      </w:r>
      <w:r>
        <w:rPr>
          <w:noProof/>
        </w:rPr>
        <w:t>öt kannattivat sitä, että kieltokannedirektiiviin sisällytetään uusia välineitä hyvityksen saamiseksi. Erilaisia näkemyksiä esitettiin siitä, voisivatko liike-elämän organisaatiot toimia oikeutettuina yksiköinä. Enemmistö sidosryhmistä totesi, että ehdotet</w:t>
      </w:r>
      <w:r>
        <w:rPr>
          <w:noProof/>
        </w:rPr>
        <w:t xml:space="preserve">uilla muutoksilla ehkäistäisiin EU:n lainsäädännön rikkomisia ja vähennettäisiin kuluttajien menetyksiä joukkovahinkotilanteissa. Alustavaan vaikutustenarviointiin antamassaan palautteessa yritysten ja viranomaisten edustajat olivat huolissaan siitä, että </w:t>
      </w:r>
      <w:r>
        <w:rPr>
          <w:noProof/>
        </w:rPr>
        <w:t>hyvitystä olisi mahdollista vaatia EU:n tasolla, kun taas kuluttajajärjestöt, akateemiset ja tutkimuslaitokset sekä kansalaiset yleisesti tukivat tätä. Enemmistö vastaajista oli sitä mieltä, että EU:n tasolla toteutettavissa toimissa olisi aina noudatettav</w:t>
      </w:r>
      <w:r>
        <w:rPr>
          <w:noProof/>
        </w:rPr>
        <w:t>a jäsenvaltioiden oikeudellisia perinteitä ja annettava takeet mahdollisen oikeuksien väärinkäytön varalta.</w:t>
      </w:r>
    </w:p>
    <w:p w:rsidR="00D03C46" w:rsidRDefault="00BD37FC">
      <w:pPr>
        <w:pStyle w:val="ManualHeading2"/>
        <w:rPr>
          <w:rFonts w:eastAsia="Arial Unicode MS"/>
          <w:noProof/>
          <w:u w:color="000000"/>
          <w:bdr w:val="nil"/>
        </w:rPr>
      </w:pPr>
      <w:r>
        <w:rPr>
          <w:noProof/>
        </w:rPr>
        <w:t>•</w:t>
      </w:r>
      <w:r>
        <w:rPr>
          <w:noProof/>
        </w:rPr>
        <w:tab/>
        <w:t>Asiantuntijatiedon keruu ja käyttö</w:t>
      </w:r>
    </w:p>
    <w:p w:rsidR="00D03C46" w:rsidRDefault="00BD37FC">
      <w:pPr>
        <w:pBdr>
          <w:top w:val="nil"/>
          <w:left w:val="nil"/>
          <w:bottom w:val="nil"/>
          <w:right w:val="nil"/>
          <w:between w:val="nil"/>
          <w:bar w:val="nil"/>
        </w:pBdr>
        <w:spacing w:before="0" w:after="240"/>
        <w:rPr>
          <w:rFonts w:eastAsia="Arial Unicode MS"/>
          <w:noProof/>
        </w:rPr>
      </w:pPr>
      <w:r>
        <w:rPr>
          <w:noProof/>
        </w:rPr>
        <w:t xml:space="preserve">Vuosien 2007 ja 2017 välisenä aikana komissio ja ulkopuoliset toimeksisaajat ovat tehneet useita kyselyjä, </w:t>
      </w:r>
      <w:r>
        <w:rPr>
          <w:noProof/>
        </w:rPr>
        <w:t>kuulemisia ja tutkimuksia, joissa on selvitetty kieltokannedirektiivin soveltamista, EU:n kuluttajalainsäädännössä kuluttajille annettavaa prosessioikeudellista suojaa sekä kollektiivisten hyvitysmenetelmien toimivuutta EU:ssa. Viimeksi näitä asioita tutki</w:t>
      </w:r>
      <w:r>
        <w:rPr>
          <w:noProof/>
        </w:rPr>
        <w:t>ttiin vuoden 2013 suosituksen täytäntöönpanon yhteydessä.</w:t>
      </w:r>
    </w:p>
    <w:p w:rsidR="00D03C46" w:rsidRDefault="00BD37FC">
      <w:pPr>
        <w:pBdr>
          <w:top w:val="nil"/>
          <w:left w:val="nil"/>
          <w:bottom w:val="nil"/>
          <w:right w:val="nil"/>
          <w:between w:val="nil"/>
          <w:bar w:val="nil"/>
        </w:pBdr>
        <w:spacing w:before="0" w:after="240"/>
        <w:rPr>
          <w:rFonts w:eastAsia="Arial Unicode MS"/>
          <w:noProof/>
        </w:rPr>
      </w:pPr>
      <w:r>
        <w:rPr>
          <w:noProof/>
        </w:rPr>
        <w:t>Selvitysten tulokset on otettu huomioon tässä säädösehdotuksessa, jolla pyritään vahvistamaan kuluttajien kollektiivisten etujen suojaa ja parantamaan mahdollisuuksia hyvityksen saamiseen.</w:t>
      </w:r>
    </w:p>
    <w:p w:rsidR="00D03C46" w:rsidRDefault="00BD37FC">
      <w:pPr>
        <w:pStyle w:val="ManualHeading2"/>
        <w:rPr>
          <w:rFonts w:eastAsia="Arial Unicode MS"/>
          <w:noProof/>
          <w:u w:color="000000"/>
          <w:bdr w:val="nil"/>
        </w:rPr>
      </w:pPr>
      <w:r>
        <w:rPr>
          <w:noProof/>
        </w:rPr>
        <w:lastRenderedPageBreak/>
        <w:t>•</w:t>
      </w:r>
      <w:r>
        <w:rPr>
          <w:noProof/>
        </w:rPr>
        <w:tab/>
        <w:t>Vaikutu</w:t>
      </w:r>
      <w:r>
        <w:rPr>
          <w:noProof/>
        </w:rPr>
        <w:t>stenarviointi</w:t>
      </w:r>
    </w:p>
    <w:p w:rsidR="00D03C46" w:rsidRDefault="00BD37FC">
      <w:pPr>
        <w:rPr>
          <w:noProof/>
        </w:rPr>
      </w:pPr>
      <w:r>
        <w:rPr>
          <w:noProof/>
        </w:rPr>
        <w:t>Ehdotuksesta tehtiin vaikutustenarviointi</w:t>
      </w:r>
      <w:r>
        <w:rPr>
          <w:rStyle w:val="FootnoteReference"/>
          <w:noProof/>
        </w:rPr>
        <w:footnoteReference w:id="26"/>
      </w:r>
      <w:r>
        <w:rPr>
          <w:noProof/>
        </w:rPr>
        <w:t>. Sääntelyntarkastelulautakunta antoi 12. tammikuuta 2018 ensiksi kielteisen lausunnon, jossa se kommentoi vaikutustenarviointia kattavasti. Lautakunta antoi 9. helmikuuta 2018 myönteisen lausunnon</w:t>
      </w:r>
      <w:r>
        <w:rPr>
          <w:rStyle w:val="FootnoteReference"/>
          <w:noProof/>
        </w:rPr>
        <w:footnoteReference w:id="27"/>
      </w:r>
      <w:r>
        <w:rPr>
          <w:noProof/>
        </w:rPr>
        <w:t xml:space="preserve"> j</w:t>
      </w:r>
      <w:r>
        <w:rPr>
          <w:noProof/>
        </w:rPr>
        <w:t>a esitti lisähuomautuksia uudesta vaikutustenarvioinnista, jossa alkuperäistä versiota oli tarkistettu merkittävästi. Vaikutustenarvioinnin liitteessä I selostetaan, miten sääntelyntarkastelulautakunnan huomautukset otettiin huomioon. Lautakunnan ensimmäis</w:t>
      </w:r>
      <w:r>
        <w:rPr>
          <w:noProof/>
        </w:rPr>
        <w:t xml:space="preserve">en huomautuksen mukaan vaikutustenarvioinnissa ei esitetä riittäviä syitä, joiden vuoksi kollektiivisia hyvitysmenetelmiä koskeva EU:n tason lainsäädäntö on tarpeellinen. Useita vaikutustenarvioinnin kohtia tarkistettiin, jotta toimien tarpeellisuus olisi </w:t>
      </w:r>
      <w:r>
        <w:rPr>
          <w:noProof/>
        </w:rPr>
        <w:t>osoitettu paremmin. Tällöin viitattiin useisiin joukkovahinkotilanteisiin, joissa eurooppalaiset kuluttajat eivät olleet saaneet hyvitystä. Komissio on kerännyt asiasta näyttöä 15 vuoden ajan, muun muassa valmistellessaan vuonna 2008 julkaistua vihreää kir</w:t>
      </w:r>
      <w:r>
        <w:rPr>
          <w:noProof/>
        </w:rPr>
        <w:t xml:space="preserve">jaa kuluttajan kollektiivisista oikeussuojakeinoista ja vuonna 2008 julkaistua valkoista kirjaa yhteisön kilpailuoikeuden rikkomisesta johtuvista vahingonkorvauskanteista. Selvitysten mukaan kuluttajansuoja on riittämätön siitä syystä, että kollektiiviset </w:t>
      </w:r>
      <w:r>
        <w:rPr>
          <w:noProof/>
        </w:rPr>
        <w:t>hyvitysmekanismit puuttuvat. Vaikutustenarvioinnissa tuotiin aiempaa korostetummin esiin havainnot, jotka komissio oli tehnyt vuonna 2018 laatimassaan kertomuksessa vuoden 2013 suosituksen täytäntöönpanosta, ja etenkin se, että suosituksella oli onnistuttu</w:t>
      </w:r>
      <w:r>
        <w:rPr>
          <w:noProof/>
        </w:rPr>
        <w:t xml:space="preserve"> parantamaan monien jäsenvaltioiden tilannetta vain vähän. Lisäksi tuotiin painokkaammin esiin suositus, jonka Euroopan parlamentti oli antanut vuonna 2017 autoalan päästömittauksia käsittelevän tutkimuksen johdosta. Lisätietona mainittiin, että niiden jäs</w:t>
      </w:r>
      <w:r>
        <w:rPr>
          <w:noProof/>
        </w:rPr>
        <w:t>envaltion viranomaisten lukumäärä, jotka olivat kohdennetuissa kuulemisissa kannattaneet hyvitysmekanismien lisäämistä kieltokannedirektiiviin, oli 21. Lisäksi tarkennettiin kuvauksia siitä, kuinka paljon jäsenvaltioiden olisi muutettava lainsäädäntöään.</w:t>
      </w:r>
    </w:p>
    <w:p w:rsidR="00D03C46" w:rsidRDefault="00BD37FC">
      <w:pPr>
        <w:rPr>
          <w:rFonts w:eastAsia="Arial Unicode MS"/>
          <w:noProof/>
        </w:rPr>
      </w:pPr>
      <w:r>
        <w:rPr>
          <w:noProof/>
        </w:rPr>
        <w:t>V</w:t>
      </w:r>
      <w:r>
        <w:rPr>
          <w:noProof/>
        </w:rPr>
        <w:t>aikutustenarvioinnissa analysoitiin, millä tavoin sääntöjen noudattamista voitaisiin parantaa. Perusskenaarion lisäksi esillä oli kolme vaihtoehtoista mallia: 1) Ensimmäisessä vaihtoehdossa ainoastaan lisätään pelotevaikutusta ja julkisen täytäntöönpanon v</w:t>
      </w:r>
      <w:r>
        <w:rPr>
          <w:noProof/>
        </w:rPr>
        <w:t>alvonnan oikeasuhteisuutta säätämällä ankarampia seuraamuksia ja lisäämällä kieltomääräysmenettelyn vaikuttavuutta. 2) Toisessa vaihtoehdossa kuluttajille annetaan ensimmäisen vaihtoehdon toimenpiteiden lisäksi oikeus yksilöllisiin oikeussuojakeinoihin. 3)</w:t>
      </w:r>
      <w:r>
        <w:rPr>
          <w:noProof/>
        </w:rPr>
        <w:t xml:space="preserve"> Kolmannessa vaihtoehdossa lisätään kuluttajien kollektiivisia hyvitysmahdollisuuksia. Paras vaihtoehto oli kolmas vaihtoehto, jossa yhdistyisivät kaikki toimenpiteet. Tämä ehdotus perustuu kolmanteen vaihtoehtoon, jossa kieltokannemenettelyn tuloksellisuu</w:t>
      </w:r>
      <w:r>
        <w:rPr>
          <w:noProof/>
        </w:rPr>
        <w:t>tta parannetaan samalla kun kuluttajien kollektiivisia hyvitysmahdollisuuksia lisätään.</w:t>
      </w:r>
    </w:p>
    <w:p w:rsidR="00D03C46" w:rsidRDefault="00BD37FC">
      <w:pPr>
        <w:rPr>
          <w:noProof/>
        </w:rPr>
      </w:pPr>
      <w:r>
        <w:rPr>
          <w:noProof/>
        </w:rPr>
        <w:t>Ensimmäiseen vaihtoehtoon sisältyi joukko kieltokannemenettelyyn liittyviä muutoksia, jotka on otettu huomioon tässä ehdotuksessa. Vaikutustenarvioinnissa todettiin, et</w:t>
      </w:r>
      <w:r>
        <w:rPr>
          <w:noProof/>
        </w:rPr>
        <w:t>tä direktiivin tarkistamiselle ei ole toteutuskelpoisia vaihtoehtoja, sillä tarkistamisen avulla voitaisiin puuttua nykymenettelyssä havaittuihin, kaikissa aiheeseen liittyvissä kuulemisissa esiin tuotuihin tyypillisiin ongelmiin eli menettelyn kalleuteen,</w:t>
      </w:r>
      <w:r>
        <w:rPr>
          <w:noProof/>
        </w:rPr>
        <w:t xml:space="preserve"> kestoon ja mutkikkuuteen. Parhaaksi katsotussa kolmannessa vaihtoehdossa tehdään kaikki tarkistukset, jotka sisältyvät ensimmäiseen vaihtoehtoon, ja lisäksi siihen sisältyvät vahvemmat kollektiiviset hyvitysmekanismit, jotka on otettu huomioon myös tässä </w:t>
      </w:r>
      <w:r>
        <w:rPr>
          <w:noProof/>
        </w:rPr>
        <w:t>ehdotuksessa. Vaikutustenarvioinnissa todettiin, että parhaaksi katsotulla kolmannella vaihtoehdolla elinkeinonharjoittajia kannustettaisiin noudattamaan EU:n kuluttajalainsäädäntöä paremmin kuin ensimmäisellä vaihtoehdolla. Esimerkiksi sopimattomien kaupa</w:t>
      </w:r>
      <w:r>
        <w:rPr>
          <w:noProof/>
        </w:rPr>
        <w:t xml:space="preserve">llisten menettelyjen </w:t>
      </w:r>
      <w:r>
        <w:rPr>
          <w:noProof/>
        </w:rPr>
        <w:lastRenderedPageBreak/>
        <w:t>uhrien käytettävissä olevien oikeussuojakeinojen ehkäisevä vaikutus olisi suurempi kolmannessa vaihtoehdossa, sillä kuten vuoden 2017 kuluttajamarkkinoiden tulostaulu</w:t>
      </w:r>
      <w:r>
        <w:rPr>
          <w:rStyle w:val="FootnoteReference"/>
          <w:noProof/>
        </w:rPr>
        <w:footnoteReference w:id="28"/>
      </w:r>
      <w:r>
        <w:rPr>
          <w:noProof/>
        </w:rPr>
        <w:t xml:space="preserve"> vahvisti, kuluttajat käyttäisivät sopimattomia kaupallisia menettelyjä koskevassa direktiivissä olevia oikeussuojakeinoja todennäköisemmin, jos kuluttajien käytettävissä olisi lisäksi käytännöllinen kollektiivinen mekanismi, jossa oikeutettu yksikkö hoita</w:t>
      </w:r>
      <w:r>
        <w:rPr>
          <w:noProof/>
        </w:rPr>
        <w:t xml:space="preserve">isi kuluttajien asiaa näiden puolesta. Sama logiikka pätee myös kuluttajien etujen suojaamiseen ja kuluttajansuojan korkean tason varmistamiseen, jotka ovat yleisiä tavoitteita. Nämä tavoitteet saavutettaisiin parhaiten kolmannen vaihtoehdon avulla, sillä </w:t>
      </w:r>
      <w:r>
        <w:rPr>
          <w:noProof/>
        </w:rPr>
        <w:t>tällä vaihtoehdolla parannettaisiin EU:n kuluttajalainsäädännön noudattamista eniten. Vahvempien kollektiivisten hyvitysmekanismien avulla varmistettaisiin tasokkaampi kuluttajansuoja joukkovahinkotilanteissa ja vähennettäisiin kuluttajien menetyksiä. Kaik</w:t>
      </w:r>
      <w:r>
        <w:rPr>
          <w:noProof/>
        </w:rPr>
        <w:t>ki kolme vaihtoehtoa edistäisivät sisämarkkinoiden kitkatonta toimintaa, joka myös on yleistavoite, sillä kilpailu olisi tasapuolisempaa, kun sääntöjä rikkovat elinkeinonharjoittajat eivät voisi saada perusteetonta etua verrattuna sääntöjä noudattaviin eli</w:t>
      </w:r>
      <w:r>
        <w:rPr>
          <w:noProof/>
        </w:rPr>
        <w:t>nkeinonharjoittajiin. Sääntöjä noudattavat elinkeinonharjoittajat pääsisivät kuitenkin parhaaseen kokonaistulokseen kolmannen vaihtoehdon avulla, sillä vahvemmat kollektiiviset hyvitysmekanismit edistäisivät tasapuolista kilpailua, mikä olisi eduksi sääntö</w:t>
      </w:r>
      <w:r>
        <w:rPr>
          <w:noProof/>
        </w:rPr>
        <w:t>jä noudattaville elinkeinonharjoittajille.</w:t>
      </w:r>
    </w:p>
    <w:p w:rsidR="00D03C46" w:rsidRDefault="00BD37FC">
      <w:pPr>
        <w:rPr>
          <w:rFonts w:eastAsia="Arial Unicode MS"/>
          <w:noProof/>
        </w:rPr>
      </w:pPr>
      <w:r>
        <w:rPr>
          <w:noProof/>
        </w:rPr>
        <w:t>Tehokkuuden osalta on todettava, että kaikki vaihtoehdot saattaisivat aluksi aiheuttaa perehtymiskuluja mutta sääntöjä noudattaville elinkeinonharjoittajille koituisi myös säästöjä. Kuluja ja säästöjä koskevat tie</w:t>
      </w:r>
      <w:r>
        <w:rPr>
          <w:noProof/>
        </w:rPr>
        <w:t>dot kerättiin vaikutustenarviointien yhteydessä tehtyjen kuulemisten avulla, mutta melko harvat vastaajat pystyivät antamaan määrällisiä arvioita. Ensimmäisen vaihtoehdon osalta useimmat elinkeinoelämän järjestöt katsoivat, että kieltokannemenettelyn tarki</w:t>
      </w:r>
      <w:r>
        <w:rPr>
          <w:noProof/>
        </w:rPr>
        <w:t xml:space="preserve">staminen voisi lisätä vakuutusmaksuja sellaisten vaateiden vuoksi, jotka koskevat joukkovahinkotilanteita, ja että menettelyn tarkistamisen myötä direktiivin hyödyntäminen voisi lisääntyä. Kolmannessa vaihtoehdossa toteutuvat ensimmäisen vaihtoehdon kulut </w:t>
      </w:r>
      <w:r>
        <w:rPr>
          <w:noProof/>
        </w:rPr>
        <w:t>ja kollektiivisten hyvitysmekanismien kulut. Kansallisten viranomaisten arviot tuomioistuinten ja hallintoviranomaisten täytäntöönpano- ja toimintakuluista hajautuivat, mutta tällaisia kuluja ei pidetty merkittävinä. Oikeutetuilla yksiköillä oli näistä kul</w:t>
      </w:r>
      <w:r>
        <w:rPr>
          <w:noProof/>
        </w:rPr>
        <w:t>uista toisistaan poikkeavia näkemyksiä, ja niissä ennustettiin sekä kulujen lisäystä että niiden pienenemistä. Sääntöjä noudattavien elinkeinonharjoittajien osalta kolmannen vaihtoehdon kulut olisivat merkityksettömiä, ja rajat ylittävää kauppaa harjoittav</w:t>
      </w:r>
      <w:r>
        <w:rPr>
          <w:noProof/>
        </w:rPr>
        <w:t>ien elinkeinonharjoittajien kulut alenisivat kansallisten menettelyjen yhdenmukaistamisen ansiosta.</w:t>
      </w:r>
    </w:p>
    <w:p w:rsidR="00D03C46" w:rsidRDefault="00BD37FC">
      <w:pPr>
        <w:rPr>
          <w:rFonts w:eastAsia="Arial Unicode MS"/>
          <w:noProof/>
        </w:rPr>
      </w:pPr>
      <w:r>
        <w:rPr>
          <w:noProof/>
        </w:rPr>
        <w:t>Kolmas vaihtoehto on laaja-alaisin, ja siksi se myös aiheuttaa enemmän kuluja kuin muut vaihtoehdot. Toisaalta sääntöjen yhdenmukaistaminen toisi rajat ylit</w:t>
      </w:r>
      <w:r>
        <w:rPr>
          <w:noProof/>
        </w:rPr>
        <w:t>tävää kauppaa käyville elinkeinonharjoittajille säästöjä kaikissa vaihtoehdoissa. Elinkeinonharjoittajille olisi selvempää, millaisia seuraamuksia rikkomisista koituisi, ja tämän ansiosta riskinarviointiin perustuvat kulut tarkentuisivat ja alentuisivat. N</w:t>
      </w:r>
      <w:r>
        <w:rPr>
          <w:noProof/>
        </w:rPr>
        <w:t>ämä säästöt olisivat suurempia kolmannessa vaihtoehdossa, sillä sen soveltamisala on laajempi kuin muiden vaihtoehtojen. Täytäntöönpanoa valvovien viranomaisten ja tuomioistuinten kulut kaikissa vaihtoehdoissa saattaisivat lisääntyä siitä syystä, että täyt</w:t>
      </w:r>
      <w:r>
        <w:rPr>
          <w:noProof/>
        </w:rPr>
        <w:t xml:space="preserve">äntöönpanon valvontatapausten ja oikeudenkäyntien määrä voisi kasvaa. Nämä kulut tulisivat kuitenkin todennäköisesti katetuksi sitä kautta, että EU:n kuluttajalainsäädännön loukkaukset yleisesti ottaen vähenisivät ja kaikki vaihtoehdot </w:t>
      </w:r>
      <w:r>
        <w:rPr>
          <w:noProof/>
        </w:rPr>
        <w:lastRenderedPageBreak/>
        <w:t>johtaisivat sujuvamp</w:t>
      </w:r>
      <w:r>
        <w:rPr>
          <w:noProof/>
        </w:rPr>
        <w:t>iin ja tehokkaampiin menettelyihin. Tällaiset säästöt olisivat suuremmat kolmannessa vaihtoehdossa, jonka ala on laajempi ja ennaltaehkäisevä vaikutus merkittävämpi kuin muiden vaihtoehtojen.</w:t>
      </w:r>
    </w:p>
    <w:p w:rsidR="00D03C46" w:rsidRDefault="00BD37FC">
      <w:pPr>
        <w:pStyle w:val="ManualHeading2"/>
        <w:rPr>
          <w:rFonts w:eastAsia="Arial Unicode MS"/>
          <w:noProof/>
          <w:u w:color="000000"/>
          <w:bdr w:val="nil"/>
        </w:rPr>
      </w:pPr>
      <w:r>
        <w:rPr>
          <w:noProof/>
        </w:rPr>
        <w:t>•</w:t>
      </w:r>
      <w:r>
        <w:rPr>
          <w:noProof/>
        </w:rPr>
        <w:tab/>
        <w:t>Sääntelyn toimivuus ja yksinkertaistaminen</w:t>
      </w:r>
    </w:p>
    <w:p w:rsidR="00D03C46" w:rsidRDefault="00BD37FC">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Koska ehdotuksessa </w:t>
      </w:r>
      <w:r>
        <w:rPr>
          <w:noProof/>
          <w:color w:val="000000" w:themeColor="text1"/>
        </w:rPr>
        <w:t xml:space="preserve">tarkistetaan voimassa olevaa lainsäädäntöä, se kuuluu </w:t>
      </w:r>
      <w:hyperlink r:id="rId19">
        <w:r>
          <w:rPr>
            <w:rStyle w:val="Hyperlink"/>
            <w:noProof/>
            <w:color w:val="000000" w:themeColor="text1"/>
            <w:u w:val="none"/>
          </w:rPr>
          <w:t>toimivuustarkastuksen</w:t>
        </w:r>
      </w:hyperlink>
      <w:r>
        <w:rPr>
          <w:noProof/>
        </w:rPr>
        <w:t xml:space="preserve"> alaan</w:t>
      </w:r>
      <w:r>
        <w:rPr>
          <w:noProof/>
          <w:color w:val="000000" w:themeColor="text1"/>
        </w:rPr>
        <w:t>. Komissio on näin ol</w:t>
      </w:r>
      <w:r>
        <w:rPr>
          <w:noProof/>
          <w:color w:val="000000" w:themeColor="text1"/>
        </w:rPr>
        <w:t>len selvittänyt mahdollisuuksia yksinkertaistaa ja keventää hallinnollista rasitusta. Tämän ehdotuksen päätavoitteena on vahvistaa edustajakanteita kuluttajien kollektiivisten etujen suojaamiseksi. Tässä ehdotuksessa tarkoitettua unionin lainsäädäntöä sove</w:t>
      </w:r>
      <w:r>
        <w:rPr>
          <w:noProof/>
          <w:color w:val="000000" w:themeColor="text1"/>
        </w:rPr>
        <w:t>lletaan kaikkiin elinkeinonharjoittajiin, joten ehdotuksessa ei säädetä esimerkiksi mistään mikroyrityksiä koskevista poikkeuksista.</w:t>
      </w:r>
    </w:p>
    <w:p w:rsidR="00D03C46" w:rsidRDefault="00BD37FC">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Puutteellisten tietojen vuoksi yksinkertaistamistoimia ei ole arvioitu määrällisesti. Analyysi on kuitenkin osoittanut, ett</w:t>
      </w:r>
      <w:r>
        <w:rPr>
          <w:noProof/>
          <w:color w:val="000000" w:themeColor="text1"/>
        </w:rPr>
        <w:t xml:space="preserve">ä koska ehdotukseen sisältyy takeita väärinkäytön varalta ja koska oikeutetut yksiköt, joille annetaan oikeus nostaa edustajakanteita, käydään tarkasti läpi, sääntöjä noudattavien elinkeinonharjoittajien kulujen ei odoteta kasvavan merkittävästi ehdotetun </w:t>
      </w:r>
      <w:r>
        <w:rPr>
          <w:noProof/>
          <w:color w:val="000000" w:themeColor="text1"/>
        </w:rPr>
        <w:t>säädöksen vuoksi. Lisäksi elinkeinonharjoittajien oikeusvarmuus rikkomistapauksissa paranisi, ja tosiasia- ja oikeuskysymykset, jotka ovat yhteisiä saman rikkomisen piiriin kuuluville kuluttajille, olisi mahdollista ratkaista yhdellä edustajakanteella. Raj</w:t>
      </w:r>
      <w:r>
        <w:rPr>
          <w:noProof/>
          <w:color w:val="000000" w:themeColor="text1"/>
        </w:rPr>
        <w:t>at ylittävää kauppaa käyvien elinkeinonharjoittajien kulut alenisivat siitä syystä, että kansalliset menettelyt, joiden avulla suojataan kuluttajien yhteisiä etuja, yhdenmukaistuisivat. Edustajakanteiden vahvistamisen avulla olisi lisäksi mahdollista luoda</w:t>
      </w:r>
      <w:r>
        <w:rPr>
          <w:noProof/>
          <w:color w:val="000000" w:themeColor="text1"/>
        </w:rPr>
        <w:t xml:space="preserve"> tasapuolisemmat toimintaedellytykset elinkeinonharjoittajille.</w:t>
      </w:r>
    </w:p>
    <w:p w:rsidR="00D03C46" w:rsidRDefault="00BD37FC">
      <w:pPr>
        <w:pStyle w:val="ManualHeading2"/>
        <w:rPr>
          <w:rFonts w:eastAsia="Arial Unicode MS"/>
          <w:noProof/>
          <w:u w:color="000000"/>
          <w:bdr w:val="nil"/>
        </w:rPr>
      </w:pPr>
      <w:r>
        <w:rPr>
          <w:noProof/>
        </w:rPr>
        <w:t>•</w:t>
      </w:r>
      <w:r>
        <w:rPr>
          <w:noProof/>
        </w:rPr>
        <w:tab/>
        <w:t>Perusoikeudet</w:t>
      </w:r>
    </w:p>
    <w:p w:rsidR="00D03C46" w:rsidRDefault="00BD37FC">
      <w:pPr>
        <w:autoSpaceDE w:val="0"/>
        <w:autoSpaceDN w:val="0"/>
        <w:adjustRightInd w:val="0"/>
        <w:spacing w:after="0"/>
        <w:rPr>
          <w:noProof/>
        </w:rPr>
      </w:pPr>
      <w:r>
        <w:rPr>
          <w:noProof/>
        </w:rPr>
        <w:t>Ehdotetussa direktiivissä kunnioitetaan perusoikeuksia ja noudatetaan Euroopan unionin perusoikeuskirjassa tunnustettuja periaatteita, ja direktiiviä on tulkittava ja sovellett</w:t>
      </w:r>
      <w:r>
        <w:rPr>
          <w:noProof/>
        </w:rPr>
        <w:t xml:space="preserve">ava näiden oikeuksien ja periaatteiden mukaisesti. </w:t>
      </w:r>
    </w:p>
    <w:p w:rsidR="00D03C46" w:rsidRDefault="00BD37FC">
      <w:pPr>
        <w:autoSpaceDE w:val="0"/>
        <w:autoSpaceDN w:val="0"/>
        <w:adjustRightInd w:val="0"/>
        <w:spacing w:after="0"/>
        <w:rPr>
          <w:noProof/>
        </w:rPr>
      </w:pPr>
      <w:r>
        <w:rPr>
          <w:noProof/>
        </w:rPr>
        <w:t xml:space="preserve">Ehdotuksella pyritään erityisesti varmistamaan korkeatasoinen kuluttajansuoja (perusoikeuskirjan 38 artikla). </w:t>
      </w:r>
    </w:p>
    <w:p w:rsidR="00D03C46" w:rsidRDefault="00BD37FC">
      <w:pPr>
        <w:autoSpaceDE w:val="0"/>
        <w:autoSpaceDN w:val="0"/>
        <w:adjustRightInd w:val="0"/>
        <w:spacing w:after="0"/>
        <w:rPr>
          <w:noProof/>
        </w:rPr>
      </w:pPr>
      <w:r>
        <w:rPr>
          <w:noProof/>
        </w:rPr>
        <w:t>Ehdotuksen myötä kuluttajien on myös helpompaa hyödyntää perusoikeuskirjan 47 artiklassa tark</w:t>
      </w:r>
      <w:r>
        <w:rPr>
          <w:noProof/>
        </w:rPr>
        <w:t>oitettua oikeuttaan tehokkaisiin oikeussuojakeinoihin, sillä ehdotetun edustajakannemallin avulla edistetään kuluttajien etujen toteutumista. Edustajakannemallin avulla voidaan erityisesti ehkäistä tilanteita, joissa yksittäiset kuluttajat luopuvat hyvityk</w:t>
      </w:r>
      <w:r>
        <w:rPr>
          <w:noProof/>
        </w:rPr>
        <w:t>sen vaatimisesta tuomioistuimessa esimerkiksi suurien oikeudenkäyntikulujen pelossa (näin voi käydä erityisesti silloin kun vaateet ovat arvoltaan vähäisiä). Samalla on todettava, että ehdotetulla mallilla ei mitenkään estetä yksittäisiä kuluttajia nostama</w:t>
      </w:r>
      <w:r>
        <w:rPr>
          <w:noProof/>
        </w:rPr>
        <w:t>sta kanteita tuomioistuimessa, mikä on perusoikeuskirjan 47 artiklan vaatimusten mukaista. Lisäksi ehdotuksessa annetaan jäsenvaltioille velvollisuus varmistaa, että sellaisen vanhentumisajan kuluminen, jota unionin tai kansallisessa lainsäädännössä sovell</w:t>
      </w:r>
      <w:r>
        <w:rPr>
          <w:noProof/>
        </w:rPr>
        <w:t xml:space="preserve">etaan kuluttajan kanneoikeuteen hyvitysasiassa, lykkääntyy tai keskeytyy edustajakanteen vuoksi. </w:t>
      </w:r>
    </w:p>
    <w:p w:rsidR="00D03C46" w:rsidRDefault="00BD37FC">
      <w:pPr>
        <w:autoSpaceDE w:val="0"/>
        <w:autoSpaceDN w:val="0"/>
        <w:adjustRightInd w:val="0"/>
        <w:spacing w:after="0"/>
        <w:rPr>
          <w:noProof/>
        </w:rPr>
      </w:pPr>
      <w:r>
        <w:rPr>
          <w:noProof/>
        </w:rPr>
        <w:t>Ehdotuksessa tasapainotetaan kuluttajien yhteiset edut ja elinkeinonharjoittajien oikeudet edustajakanteiden käsittelyssä sekä otetaan täysimääräisesti huomio</w:t>
      </w:r>
      <w:r>
        <w:rPr>
          <w:noProof/>
        </w:rPr>
        <w:t>on elinkeinovapauteen liittyvät vaatimukset (perusoikeuskirjan 16 artikla).</w:t>
      </w:r>
    </w:p>
    <w:p w:rsidR="00D03C46" w:rsidRDefault="00BD37FC">
      <w:pPr>
        <w:pStyle w:val="ManualHeading1"/>
        <w:rPr>
          <w:noProof/>
        </w:rPr>
      </w:pPr>
      <w:r>
        <w:rPr>
          <w:noProof/>
        </w:rPr>
        <w:t>4.</w:t>
      </w:r>
      <w:r>
        <w:rPr>
          <w:noProof/>
        </w:rPr>
        <w:tab/>
        <w:t>TALOUSARVIOVAIKUTUKSET</w:t>
      </w:r>
    </w:p>
    <w:p w:rsidR="00D03C46" w:rsidRDefault="00BD37FC">
      <w:pPr>
        <w:pBdr>
          <w:top w:val="nil"/>
          <w:left w:val="nil"/>
          <w:bottom w:val="nil"/>
          <w:right w:val="nil"/>
          <w:between w:val="nil"/>
          <w:bar w:val="nil"/>
        </w:pBdr>
        <w:spacing w:before="0" w:after="240"/>
        <w:rPr>
          <w:rFonts w:eastAsia="Arial Unicode MS"/>
          <w:noProof/>
        </w:rPr>
      </w:pPr>
      <w:r>
        <w:rPr>
          <w:noProof/>
        </w:rPr>
        <w:t>Direktiiviehdotuksen mukaan jäsenvaltiot ja komissio tukevat ja edistävät oikeutettujen yksiköiden yhteistyötä sekä sellaisten parhaiden käytäntöjen ja ko</w:t>
      </w:r>
      <w:r>
        <w:rPr>
          <w:noProof/>
        </w:rPr>
        <w:t xml:space="preserve">kemusten vaihtamista ja </w:t>
      </w:r>
      <w:r>
        <w:rPr>
          <w:noProof/>
        </w:rPr>
        <w:lastRenderedPageBreak/>
        <w:t>levittämistä, jotka koskevat kotimaisten ja rajat ylittävien rikkomisten poistamista. Tämä lisää komission työtä ja edellyttää arviolta yhden kokoaikaisen virkamiehen työpanosta, joka saadaan käyttöön kohdentamalla uudelleen jo olem</w:t>
      </w:r>
      <w:r>
        <w:rPr>
          <w:noProof/>
        </w:rPr>
        <w:t>assa olevia henkilöresursseja.</w:t>
      </w:r>
    </w:p>
    <w:p w:rsidR="00D03C46" w:rsidRDefault="00BD37FC">
      <w:pPr>
        <w:pBdr>
          <w:top w:val="nil"/>
          <w:left w:val="nil"/>
          <w:bottom w:val="nil"/>
          <w:right w:val="nil"/>
          <w:between w:val="nil"/>
          <w:bar w:val="nil"/>
        </w:pBdr>
        <w:spacing w:before="0" w:after="240"/>
        <w:rPr>
          <w:rFonts w:eastAsia="Arial Unicode MS"/>
          <w:noProof/>
        </w:rPr>
      </w:pPr>
      <w:r>
        <w:rPr>
          <w:noProof/>
        </w:rPr>
        <w:t xml:space="preserve">Lisäkulut, jotka aiheutuvat oikeutettujen yksiköiden valmiuksien kohentamisesta sekä koordinointitoimista, voidaan kattaa kauden 2014–2020 perusoikeus-, tasa-arvo- ja kansalaisuusohjelmasta. </w:t>
      </w:r>
      <w:r>
        <w:rPr>
          <w:rStyle w:val="None"/>
          <w:noProof/>
        </w:rPr>
        <w:t>Vastaavanlaisia rahoitusmahdollisu</w:t>
      </w:r>
      <w:r>
        <w:rPr>
          <w:rStyle w:val="None"/>
          <w:noProof/>
        </w:rPr>
        <w:t>uksia voidaan sisällyttää myös</w:t>
      </w:r>
      <w:r>
        <w:rPr>
          <w:noProof/>
        </w:rPr>
        <w:t xml:space="preserve"> seuraavaan ohjelmaan, jota toteutetaan seuraavan monivuotisen rahoituskehyksen aikana. Tarkemmat tiedot on esitetty tähän direktiiviehdotukseen liitetyssä rahoitusselvityksessä.</w:t>
      </w:r>
    </w:p>
    <w:p w:rsidR="00D03C46" w:rsidRDefault="00BD37FC">
      <w:pPr>
        <w:pStyle w:val="ManualHeading1"/>
        <w:rPr>
          <w:noProof/>
        </w:rPr>
      </w:pPr>
      <w:r>
        <w:rPr>
          <w:noProof/>
        </w:rPr>
        <w:t>5.</w:t>
      </w:r>
      <w:r>
        <w:rPr>
          <w:noProof/>
        </w:rPr>
        <w:tab/>
        <w:t>LISÄTIEDOT</w:t>
      </w:r>
    </w:p>
    <w:p w:rsidR="00D03C46" w:rsidRDefault="00BD37FC">
      <w:pPr>
        <w:pStyle w:val="ManualHeading2"/>
        <w:rPr>
          <w:rFonts w:eastAsia="Arial Unicode MS"/>
          <w:noProof/>
          <w:u w:color="000000"/>
          <w:bdr w:val="nil"/>
        </w:rPr>
      </w:pPr>
      <w:r>
        <w:rPr>
          <w:noProof/>
        </w:rPr>
        <w:t>•</w:t>
      </w:r>
      <w:r>
        <w:rPr>
          <w:noProof/>
        </w:rPr>
        <w:tab/>
        <w:t>Täytäntöönpanosuunnitelmat sekä</w:t>
      </w:r>
      <w:r>
        <w:rPr>
          <w:noProof/>
        </w:rPr>
        <w:t xml:space="preserve"> seuranta-, arviointi- ja raportointijärjestelyt</w:t>
      </w:r>
    </w:p>
    <w:p w:rsidR="00D03C46" w:rsidRDefault="00BD37FC">
      <w:pPr>
        <w:pBdr>
          <w:top w:val="nil"/>
          <w:left w:val="nil"/>
          <w:bottom w:val="nil"/>
          <w:right w:val="nil"/>
          <w:between w:val="nil"/>
          <w:bar w:val="nil"/>
        </w:pBdr>
        <w:spacing w:before="0" w:after="240"/>
        <w:rPr>
          <w:rFonts w:eastAsia="Arial Unicode MS"/>
          <w:noProof/>
        </w:rPr>
      </w:pPr>
      <w:r>
        <w:rPr>
          <w:noProof/>
        </w:rPr>
        <w:t xml:space="preserve">Direktiiviehdotuksen mukaan komission on tehtävä määräaikaisia arviointeja ehdotuksen vaikutuksesta. Komissio seuraa, kuinka oikeutetut yksiköt hyödyntävät direktiivin mukaisia edustajakanteita eri puolilla </w:t>
      </w:r>
      <w:r>
        <w:rPr>
          <w:noProof/>
        </w:rPr>
        <w:t>unionia.</w:t>
      </w:r>
    </w:p>
    <w:p w:rsidR="00D03C46" w:rsidRDefault="00BD37FC">
      <w:pPr>
        <w:pStyle w:val="ManualHeading2"/>
        <w:rPr>
          <w:rFonts w:eastAsia="Arial Unicode MS"/>
          <w:noProof/>
          <w:u w:color="000000"/>
          <w:bdr w:val="nil"/>
        </w:rPr>
      </w:pPr>
      <w:r>
        <w:rPr>
          <w:noProof/>
        </w:rPr>
        <w:t>•</w:t>
      </w:r>
      <w:r>
        <w:rPr>
          <w:noProof/>
        </w:rPr>
        <w:tab/>
        <w:t>Selittävät asiakirjat</w:t>
      </w:r>
    </w:p>
    <w:p w:rsidR="00D03C46" w:rsidRDefault="00BD37FC">
      <w:pPr>
        <w:pBdr>
          <w:top w:val="nil"/>
          <w:left w:val="nil"/>
          <w:bottom w:val="nil"/>
          <w:right w:val="nil"/>
          <w:between w:val="nil"/>
          <w:bar w:val="nil"/>
        </w:pBdr>
        <w:spacing w:before="0" w:after="240"/>
        <w:rPr>
          <w:rFonts w:eastAsia="Arial Unicode MS"/>
          <w:noProof/>
        </w:rPr>
      </w:pPr>
      <w:r>
        <w:rPr>
          <w:noProof/>
        </w:rPr>
        <w:t>Tämän direktiivin saattaminen osaksi kansallista lainsäädäntöä edellyttää kohdennettuja muutoksia asiaa koskeviin kansallisiin sääntöihin. Direktiiviehdotuksessa säädetään tietyistä keskeisistä seikoista, ja sitä on täydenn</w:t>
      </w:r>
      <w:r>
        <w:rPr>
          <w:noProof/>
        </w:rPr>
        <w:t>ettävä useilla kansallisen tason menettelysäännöillä. Niinpä jotta komissio voisi valvoa, että saattaminen osaksi kansallista lainsäädäntöä on toteutettu asianmukaisesti, ei riitä, että jäsenvaltiot toimittavat täytäntöönpanosäännösten tekstin, sillä kansa</w:t>
      </w:r>
      <w:r>
        <w:rPr>
          <w:noProof/>
        </w:rPr>
        <w:t>llisen lain mukaista järjestelmää, joka on syntynyt direktiivin täytäntöönpanon seurauksena, voi olla tarpeen arvioida myös yleisesti. Näistä syistä jäsenvaltioiden olisi toimitettava komissiolle myös selittäviä asiakirjoja, joissa osoitetaan, millä kansal</w:t>
      </w:r>
      <w:r>
        <w:rPr>
          <w:noProof/>
        </w:rPr>
        <w:t>lisen lainsäädännön olemassa olevilla tai uusilla säännöksillä ehdotetussa direktiivissä säädetyt yksittäiset toimenpiteet on tarkoitus panna täytäntöön.</w:t>
      </w:r>
    </w:p>
    <w:p w:rsidR="00D03C46" w:rsidRDefault="00BD37FC">
      <w:pPr>
        <w:pStyle w:val="ManualHeading2"/>
        <w:rPr>
          <w:rFonts w:eastAsia="Arial Unicode MS"/>
          <w:noProof/>
          <w:u w:color="000000"/>
          <w:bdr w:val="nil"/>
        </w:rPr>
      </w:pPr>
      <w:r>
        <w:rPr>
          <w:noProof/>
        </w:rPr>
        <w:t>•</w:t>
      </w:r>
      <w:r>
        <w:rPr>
          <w:noProof/>
        </w:rPr>
        <w:tab/>
        <w:t xml:space="preserve">Ehdotukseen sisältyvien säännösten yksityiskohtaiset selitykset </w:t>
      </w:r>
    </w:p>
    <w:p w:rsidR="00D03C46" w:rsidRDefault="00BD37FC">
      <w:pPr>
        <w:spacing w:before="100" w:beforeAutospacing="1" w:after="100" w:afterAutospacing="1"/>
        <w:rPr>
          <w:noProof/>
        </w:rPr>
      </w:pPr>
      <w:r>
        <w:rPr>
          <w:noProof/>
        </w:rPr>
        <w:t>Direktiivin</w:t>
      </w:r>
      <w:r>
        <w:rPr>
          <w:b/>
          <w:noProof/>
        </w:rPr>
        <w:t xml:space="preserve"> 1 artiklassa</w:t>
      </w:r>
      <w:r>
        <w:rPr>
          <w:noProof/>
        </w:rPr>
        <w:t xml:space="preserve"> täsmennetä</w:t>
      </w:r>
      <w:r>
        <w:rPr>
          <w:noProof/>
        </w:rPr>
        <w:t>än direktiivin kohde. Tämän direktiivin (kuten sitä edeltäneen direktiivin 2009/22/EY) tarkoituksena on varmistaa, että oikeutetut yksiköt voivat nostaa edustajakanteita, joilla pyritään suojaamaan kuluttajien yhteisiä etuja. Artiklassa tehdään selväksi, e</w:t>
      </w:r>
      <w:r>
        <w:rPr>
          <w:noProof/>
        </w:rPr>
        <w:t>ttä jäsenvaltiot voivat asettaa käytettäväksi muitakin menettelyllisiä keinoja, joilla pyritään suojaamaan kuluttajien yhteisiä etuja kansallisella tasolla.</w:t>
      </w:r>
    </w:p>
    <w:p w:rsidR="00D03C46" w:rsidRDefault="00BD37FC">
      <w:pPr>
        <w:spacing w:before="100" w:beforeAutospacing="1" w:after="100" w:afterAutospacing="1"/>
        <w:rPr>
          <w:noProof/>
        </w:rPr>
      </w:pPr>
      <w:r>
        <w:rPr>
          <w:noProof/>
        </w:rPr>
        <w:t xml:space="preserve">Direktiivin </w:t>
      </w:r>
      <w:r>
        <w:rPr>
          <w:b/>
          <w:noProof/>
        </w:rPr>
        <w:t>2 artiklassa</w:t>
      </w:r>
      <w:r>
        <w:rPr>
          <w:noProof/>
        </w:rPr>
        <w:t xml:space="preserve"> täsmennetään direktiivin soveltamisala viittaamalla liitteessä I lueteltui</w:t>
      </w:r>
      <w:r>
        <w:rPr>
          <w:noProof/>
        </w:rPr>
        <w:t>hin unionin säädöksiin, joissa on säännöksiä elinkeinonharjoittajan ja kuluttajan välisestä suhteesta ja jotka näin ollen ovat tärkeitä kuluttajien yhteisten etujen suojaamisen kannalta. Näin ollen direktiivin soveltamisalaan kuuluvat kaikki liitteessä I l</w:t>
      </w:r>
      <w:r>
        <w:rPr>
          <w:noProof/>
        </w:rPr>
        <w:t>ueteltujen unionin säädösten rikkomiset, joihin elinkeinonharjoittajat ovat syyllistyneet ja jotka vahingoittavat tai voivat vahingoittaa kuluttajien yhteisiä etuja eri aloilla, kuten rahoituspalvelu-, energia-, televiestintä-, terveys- ja ympäristöalalla.</w:t>
      </w:r>
      <w:r>
        <w:rPr>
          <w:noProof/>
        </w:rPr>
        <w:t xml:space="preserve"> Direktiivin soveltamisalaan kuuluu erityisesti nykyisen kieltokannedirektiivin kattama unionin lainsäädäntö, ja direktiivin soveltamisala on mukautettu kuluttajansuojaa koskevasta yhteistyöstä annetun tarkistetun asetuksen (EU) 2017/2394 soveltamisalan ka</w:t>
      </w:r>
      <w:r>
        <w:rPr>
          <w:noProof/>
        </w:rPr>
        <w:t>nssa. Asetuksella (EU) 2017/2394 vahvistetaan rajat ylittävää julkista täytäntöönpanon valvontaa ja annetaan komissiolle mahdollisuus käynnistää ja koordinoida yhteisiä täytäntöönpanon valvontatoimia, joilla puututaan EU:n laajuisiin rikkomisiin. Asetukses</w:t>
      </w:r>
      <w:r>
        <w:rPr>
          <w:noProof/>
        </w:rPr>
        <w:t xml:space="preserve">sa ei kuitenkaan myönnetä oikeutta hyvitykseen sellaisille kuluttajille, </w:t>
      </w:r>
      <w:r>
        <w:rPr>
          <w:noProof/>
        </w:rPr>
        <w:lastRenderedPageBreak/>
        <w:t>jotka ovat kärsineet vahinkoa tällaisten rajat ylittävien rikkomisten vuoksi. Näin ollen tässä direktiivissä säädetyt toimenpiteet, jotka liittyvät kuluttajien yksilölliseen ja kollek</w:t>
      </w:r>
      <w:r>
        <w:rPr>
          <w:noProof/>
        </w:rPr>
        <w:t>tiiviseen hyvitykseen, täydentävät tarkistettua asetusta, ja tämän direktiivin pyrkimyksenä on lisätä asetuksen vaikuttavuutta. Komissio pyrkii varmistamaan, että direktiivin soveltamisala pysyy ajan tasalla. Niinpä kun tulevaisuudessa annetaan uutta union</w:t>
      </w:r>
      <w:r>
        <w:rPr>
          <w:noProof/>
        </w:rPr>
        <w:t>in lainsäädäntöä, jolla säännellään elinkeinonharjoittajan ja kuluttajan välistä suhdetta, komissio kiinnittää erityistä huomiota siihen, olisiko uuteen lainsäädäntöön sisällytettävä säännöksiä, joilla muutetaan liitettä I. Direktiivin soveltamisalaan kiin</w:t>
      </w:r>
      <w:r>
        <w:rPr>
          <w:noProof/>
        </w:rPr>
        <w:t>nitetään erityistä huomiota myös, kun komissio tekee direktiiviä koskevan arvioinnin.</w:t>
      </w:r>
    </w:p>
    <w:p w:rsidR="00D03C46" w:rsidRDefault="00BD37FC">
      <w:pPr>
        <w:spacing w:before="100" w:beforeAutospacing="1" w:after="100" w:afterAutospacing="1"/>
        <w:rPr>
          <w:noProof/>
        </w:rPr>
      </w:pPr>
      <w:r>
        <w:rPr>
          <w:noProof/>
        </w:rPr>
        <w:t xml:space="preserve">Direktiivin </w:t>
      </w:r>
      <w:r>
        <w:rPr>
          <w:b/>
          <w:noProof/>
        </w:rPr>
        <w:t>3 artiklassa</w:t>
      </w:r>
      <w:r>
        <w:rPr>
          <w:noProof/>
        </w:rPr>
        <w:t xml:space="preserve"> määritellään direktiivin kannalta tarpeelliset käsitteet: kuluttaja, elinkeinonharjoittaja, kuluttajien yhteiset edut, edustajakanne, elinkeinonh</w:t>
      </w:r>
      <w:r>
        <w:rPr>
          <w:noProof/>
        </w:rPr>
        <w:t>arjoittajan menettely ja lainvoimainen päätös.</w:t>
      </w:r>
    </w:p>
    <w:p w:rsidR="00D03C46" w:rsidRDefault="00BD37FC">
      <w:pPr>
        <w:spacing w:before="100" w:beforeAutospacing="1" w:after="100" w:afterAutospacing="1"/>
        <w:rPr>
          <w:noProof/>
        </w:rPr>
      </w:pPr>
      <w:r>
        <w:rPr>
          <w:noProof/>
        </w:rPr>
        <w:t xml:space="preserve">Direktiivin </w:t>
      </w:r>
      <w:r>
        <w:rPr>
          <w:b/>
          <w:noProof/>
        </w:rPr>
        <w:t>4 artiklassa</w:t>
      </w:r>
      <w:r>
        <w:rPr>
          <w:noProof/>
        </w:rPr>
        <w:t xml:space="preserve"> vahvistetaan vaatimukset, jotka oikeutetun yksikön on täytettävä voidakseen nostaa direktiivissä tarkoitettuja edustajakanteita, sekä jäsenvaltioiden velvoitteet, jotka liittyvät oikeutettujen yksiköiden nimeämiseen. Oikeutettujen yksiköiden on täytettävä</w:t>
      </w:r>
      <w:r>
        <w:rPr>
          <w:noProof/>
        </w:rPr>
        <w:t xml:space="preserve"> tietyt vaatimukset: ne eivät saa tavoitella voittoa, ja niiden oikeutetun edun mukaista on oltava sen varmistaminen, että unionin ao. lainsäädäntöä noudatetaan. Koska erityisesti kuluttajajärjestöjä ja riippumattomia julkisia elimiä voidaan nimetä oikeute</w:t>
      </w:r>
      <w:r>
        <w:rPr>
          <w:noProof/>
        </w:rPr>
        <w:t>tuiksi yksiköiksi, tässä säännöksessä annetaan jäsenvaltioille myös mahdollisuus päättää, millaisia direktiivin mukaisia toimenpiteitä tietyn tyyppinen oikeutettu yksikkö tai tietty oikeutettu yksikkö voi kanteessaan vaatia.</w:t>
      </w:r>
    </w:p>
    <w:p w:rsidR="00D03C46" w:rsidRDefault="00BD37FC">
      <w:pPr>
        <w:spacing w:before="100" w:beforeAutospacing="1" w:after="100" w:afterAutospacing="1"/>
        <w:rPr>
          <w:noProof/>
        </w:rPr>
      </w:pPr>
      <w:r>
        <w:rPr>
          <w:noProof/>
        </w:rPr>
        <w:t xml:space="preserve">Direktiivin </w:t>
      </w:r>
      <w:r>
        <w:rPr>
          <w:b/>
          <w:noProof/>
        </w:rPr>
        <w:t>5 artiklassa</w:t>
      </w:r>
      <w:r>
        <w:rPr>
          <w:noProof/>
        </w:rPr>
        <w:t xml:space="preserve"> säädet</w:t>
      </w:r>
      <w:r>
        <w:rPr>
          <w:noProof/>
        </w:rPr>
        <w:t>ään, mitä toimenpiteitä edustajakanteessa voidaan direktiivin nojalla vaatia. Näihin toimenpiteisiin voi kuulua kieltomääräys väliaikaisena toimenpiteenä, kieltomääräys rikkomisen toteamiseksi sekä toimenpiteitä, joilla pyritään poistamaan rikkomisten jatk</w:t>
      </w:r>
      <w:r>
        <w:rPr>
          <w:noProof/>
        </w:rPr>
        <w:t xml:space="preserve">uvat vaikutukset (esimerkiksi hyvitysmääräykset). Oikeutetut yksiköt voivat vaatia edellä mainittuja toimenpiteitä yhdellä edustajakanteella. </w:t>
      </w:r>
    </w:p>
    <w:p w:rsidR="00D03C46" w:rsidRDefault="00BD37FC">
      <w:pPr>
        <w:spacing w:before="100" w:beforeAutospacing="1" w:after="100" w:afterAutospacing="1"/>
        <w:rPr>
          <w:noProof/>
        </w:rPr>
      </w:pPr>
      <w:r>
        <w:rPr>
          <w:noProof/>
        </w:rPr>
        <w:t xml:space="preserve">Direktiivin </w:t>
      </w:r>
      <w:r>
        <w:rPr>
          <w:b/>
          <w:noProof/>
        </w:rPr>
        <w:t>6 artiklassa</w:t>
      </w:r>
      <w:r>
        <w:rPr>
          <w:noProof/>
        </w:rPr>
        <w:t xml:space="preserve"> vahvistetaan sellaisia edustajakanteita koskevat menettelytavat, joissa vaaditaan direkt</w:t>
      </w:r>
      <w:r>
        <w:rPr>
          <w:noProof/>
        </w:rPr>
        <w:t>iivin mukaista hyvitysmääräystä rikkomisten jatkuvien vaikutusten poistamiseksi. Yleissääntönä on, että hyvitysmääräyksen vaatiminen on mahdollistettava. Monimutkaisissa tapauksissa jäsenvaltiot voivat poikkeuksellisesti päättää, että tuomioistuimilla ja h</w:t>
      </w:r>
      <w:r>
        <w:rPr>
          <w:noProof/>
        </w:rPr>
        <w:t>allintoviranomaisilla on valtuudet antaa hyvitysmääräyksen sijaan vahvistustuomio, jossa todetaan, että elinkeinonharjoittaja on hyvitysvelvollinen suhteessa rikkomisen vuoksi vahinkoa kärsineisiin kuluttajiin. On kuitenkin kahdentyyppisiä tapauksia, joiss</w:t>
      </w:r>
      <w:r>
        <w:rPr>
          <w:noProof/>
        </w:rPr>
        <w:t>a ei pitäisi olla mahdollista antaa vahvistustuomiota, vaan tuomioistuimen tai hallintoviranomaisen olisi annettava hyvitysmääräys. Tilanne on tämä ensinnäkin silloin kun elinkeinonharjoittajan saman menettelyn kohteiksi joutuneet kuluttajat ovat yksilöitä</w:t>
      </w:r>
      <w:r>
        <w:rPr>
          <w:noProof/>
        </w:rPr>
        <w:t xml:space="preserve">vissä ja heidän kärsimänsä vahingot ovat tietyn ajanjakson tai hankinnan osalta keskenään vertailukelpoisia. Kyse voi olla esimerkiksi pitkäkestoisista kuluttajasopimuksista. Toinen tapaustyyppi koskee arvoltaan vähäisiä tapauksia. Tällöin kuluttajat ovat </w:t>
      </w:r>
      <w:r>
        <w:rPr>
          <w:noProof/>
        </w:rPr>
        <w:t>kärsineet niin vähäisen yksilöllisen vahingon, että olisi kohtuutonta vaatia hyvityksen jakamista takaisin kyseisille kuluttajille. Näissä molemmissa tapauksissa tarvitaan myös erityisiä menettelysääntöjä. Toisessa tapaustyypissä jäsenvaltioiden ei pitäisi</w:t>
      </w:r>
      <w:r>
        <w:rPr>
          <w:noProof/>
        </w:rPr>
        <w:t xml:space="preserve"> vaatia kuluttajien valtuutusta edustajakanteelle, vaan hyvityksenä saadut varat olisi suunnattava yleiseen tarkoitukseen, joka palvelee kuluttajien yhteisiä etuja, esimerkiksi tiedotuskampanjoihin.   </w:t>
      </w:r>
    </w:p>
    <w:p w:rsidR="00D03C46" w:rsidRDefault="00BD37FC">
      <w:pPr>
        <w:spacing w:before="100" w:beforeAutospacing="1" w:after="100" w:afterAutospacing="1"/>
        <w:rPr>
          <w:noProof/>
        </w:rPr>
      </w:pPr>
      <w:r>
        <w:rPr>
          <w:noProof/>
        </w:rPr>
        <w:lastRenderedPageBreak/>
        <w:t xml:space="preserve">Direktiivin </w:t>
      </w:r>
      <w:r>
        <w:rPr>
          <w:b/>
          <w:noProof/>
        </w:rPr>
        <w:t>7 artiklassa</w:t>
      </w:r>
      <w:r>
        <w:rPr>
          <w:noProof/>
        </w:rPr>
        <w:t xml:space="preserve"> edellytetään, että oikeutetut</w:t>
      </w:r>
      <w:r>
        <w:rPr>
          <w:noProof/>
        </w:rPr>
        <w:t xml:space="preserve"> yksiköt ovat täysin avoimia rahoituslähteidensä suhteen. Tämä koskee toimintaa yleensä mutta myös erityisesti yksittäisiä edustajakanteita, joiden avulla vaaditaan hyvitystä. Näin tuomioistuimen tai hallintoviranomaisen on mahdollista arvioida, onko rahoi</w:t>
      </w:r>
      <w:r>
        <w:rPr>
          <w:noProof/>
        </w:rPr>
        <w:t>ttajana toimivan kolmannen osapuolen ja oikeutetun yksikön välillä eturistiriita. Lisäksi näin voidaan välttää perusteettomia oikeudenkäyntejä esimerkiksi kilpailijoiden välillä. On myös mahdollista arvioida, onko rahoittajana toimivalla kolmannella osapuo</w:t>
      </w:r>
      <w:r>
        <w:rPr>
          <w:noProof/>
        </w:rPr>
        <w:t xml:space="preserve">lella riittävät resurssit, jotta se voi täyttää rahoitukselliset sitoumuksensa oikeutettua yksikköä kohtaan, jos kanne hylätään. </w:t>
      </w:r>
    </w:p>
    <w:p w:rsidR="00D03C46" w:rsidRDefault="00BD37FC">
      <w:pPr>
        <w:spacing w:before="100" w:beforeAutospacing="1" w:after="100" w:afterAutospacing="1"/>
        <w:rPr>
          <w:noProof/>
        </w:rPr>
      </w:pPr>
      <w:r>
        <w:rPr>
          <w:noProof/>
        </w:rPr>
        <w:t xml:space="preserve">Direktiivin </w:t>
      </w:r>
      <w:r>
        <w:rPr>
          <w:b/>
          <w:noProof/>
        </w:rPr>
        <w:t>8 artiklassa</w:t>
      </w:r>
      <w:r>
        <w:rPr>
          <w:noProof/>
        </w:rPr>
        <w:t xml:space="preserve"> vahvistetaan säännöt, jotka koskevat direktiivin mukaisia kollektiivisia sovintoratkaisuja. Jäsenvalt</w:t>
      </w:r>
      <w:r>
        <w:rPr>
          <w:noProof/>
        </w:rPr>
        <w:t>iot voivat säätää menettelystä, jossa tuomioistuimella tai hallintoviranomaisella on valtuudet hyväksyä oikeutetun yksikön ja rikkomiseen väitetysti syyllistyneen elinkeinonharjoittajan saavuttama kollektiivinen sovintoratkaisu ennen kuin saman elinkeinonh</w:t>
      </w:r>
      <w:r>
        <w:rPr>
          <w:noProof/>
        </w:rPr>
        <w:t>arjoittajan samoja menettelyjä koskevaa edustajakannetta aletaan käsitellä saman jäsenvaltion tuomioistuimessa tai hallintoviranomaisessa. Jos edustajakanne on jo vireillä, asiaa käsittelevän tuomioistuimen tai hallintoviranomaisen olisi aina voitava kehot</w:t>
      </w:r>
      <w:r>
        <w:rPr>
          <w:noProof/>
        </w:rPr>
        <w:t>taa osapuolia pyrkimään sovintoratkaisuun hyvitysasiassa. Jos jäsenvaltio päättää, että monimutkaisissa tapauksissa, jotka eivät kuulu 6 artiklan 3 kohdassa nimenomaisesti mainittuihin kahteen tapaustyyppiin, on sallittua antaa vahvistustuomio sääntöjä rik</w:t>
      </w:r>
      <w:r>
        <w:rPr>
          <w:noProof/>
        </w:rPr>
        <w:t>koneen elinkeinonharjoittajan vastuusta kuluttajia kohtaan, tällaisen vahvistustuomion antavan tuomioistuimen tai hallintoviranomaisen on aina mahdollista kehottaa edustajakanteen osapuolia pyrkimään hyvitysasiassa sovintoratkaisuun. Tuomioistuin tai halli</w:t>
      </w:r>
      <w:r>
        <w:rPr>
          <w:noProof/>
        </w:rPr>
        <w:t>ntoviranomainen tarkastaa kollektiiviset sovintoratkaisut kaikissa edellä mainituissa tapauksissa, jotta sovintojen lain- ja oikeudenmukaisuus varmistetaan. Kuluttajat, joita hyväksytty kollektiivinen sovintoratkaisu koskee, voivat aina hyväksyä tai hylätä</w:t>
      </w:r>
      <w:r>
        <w:rPr>
          <w:noProof/>
        </w:rPr>
        <w:t xml:space="preserve"> sovintoratkaisussa esitetyn hyvityksen. </w:t>
      </w:r>
    </w:p>
    <w:p w:rsidR="00D03C46" w:rsidRDefault="00BD37FC">
      <w:pPr>
        <w:spacing w:before="100" w:beforeAutospacing="1" w:after="100" w:afterAutospacing="1"/>
        <w:rPr>
          <w:b/>
          <w:noProof/>
        </w:rPr>
      </w:pPr>
      <w:r>
        <w:rPr>
          <w:noProof/>
        </w:rPr>
        <w:t xml:space="preserve">Sääntöjä rikkoneen elinkeinonharjoittajan on direktiivin </w:t>
      </w:r>
      <w:r>
        <w:rPr>
          <w:b/>
          <w:noProof/>
        </w:rPr>
        <w:t>9 artiklan</w:t>
      </w:r>
      <w:r>
        <w:rPr>
          <w:noProof/>
        </w:rPr>
        <w:t xml:space="preserve"> mukaan ilmoitettava asianmukaisella tavalla ao. kuluttajille lainvoimaisista kieltomääräyksistä, lainvoimaisista päätöksistä, joissa määrätyillä t</w:t>
      </w:r>
      <w:r>
        <w:rPr>
          <w:noProof/>
        </w:rPr>
        <w:t>oimenpiteillä (mukaan lukien hyvitysmääräykset) poistetaan rikkomisten jatkuvat vaikutukset, sekä tarvittaessa vahvistustuomioista, jotka koskevat elinkeinonharjoittajan vastuuta suhteessa kuluttajiin, ja lainvoimaisista päätöksistä, joilla hyväksytään täm</w:t>
      </w:r>
      <w:r>
        <w:rPr>
          <w:noProof/>
        </w:rPr>
        <w:t xml:space="preserve">än direktiivin mukaiset kollektiiviset sovintoratkaisut. Tällä säännöksellä varmistetaan, että kuluttajat saavat tiedon lainsäädännön rikkomisesta ja mahdollisuudesta saada hyvitystä.   </w:t>
      </w:r>
    </w:p>
    <w:p w:rsidR="00D03C46" w:rsidRDefault="00BD37FC">
      <w:pPr>
        <w:autoSpaceDE w:val="0"/>
        <w:autoSpaceDN w:val="0"/>
        <w:adjustRightInd w:val="0"/>
        <w:spacing w:before="0" w:after="0"/>
        <w:rPr>
          <w:noProof/>
        </w:rPr>
      </w:pPr>
      <w:r>
        <w:rPr>
          <w:noProof/>
        </w:rPr>
        <w:t xml:space="preserve">Direktiivin </w:t>
      </w:r>
      <w:r>
        <w:rPr>
          <w:b/>
          <w:noProof/>
        </w:rPr>
        <w:t>10 artiklassa</w:t>
      </w:r>
      <w:r>
        <w:rPr>
          <w:noProof/>
        </w:rPr>
        <w:t xml:space="preserve"> säädetään siitä, miten lainvoimaiset päätök</w:t>
      </w:r>
      <w:r>
        <w:rPr>
          <w:noProof/>
        </w:rPr>
        <w:t>set, joissa on vahvistettu direktiivin soveltamisalaan kuuluvan unionin lainsäädännön rikkominen, vaikuttavat kotimaisiin ja rajat ylittäviin hyvityskanteisiin. Tämän säännöksen mukaan lainvoimaiset päätökset, jotka tuomioistuin tai hallintoviranomainen on</w:t>
      </w:r>
      <w:r>
        <w:rPr>
          <w:noProof/>
        </w:rPr>
        <w:t xml:space="preserve"> antanut julkista täytäntöönpanon valvontaa koskevassa asiassa, lainvoimaiset kieltomääräykset, joissa unionin lainsäädännön rikkominen on vahvistettu, tai tämän direktiivin mukaisesti nostettuihin edustajakanteisiin annetut vahvistustuomiot, joissa on tod</w:t>
      </w:r>
      <w:r>
        <w:rPr>
          <w:noProof/>
        </w:rPr>
        <w:t>ettu elinkeinonharjoittajan vastuu suhteessa rikkomisesta kärsineisiin kuluttajiin, ovat todistusvoimaisia käsiteltäessä myöhempiä hyvityskanteita. Hyvityskanteet voivat olla kuluttajien yksilöllisiä kanteita, tämän direktiivin mukaisia edustajakanteita ta</w:t>
      </w:r>
      <w:r>
        <w:rPr>
          <w:noProof/>
        </w:rPr>
        <w:t>i kansallisten sääntöjen mukaan käytettävissä olevia muita kollektiivisia hyvityskanteita. Jos päätös, jossa todetaan rikkominen, on saavuttanut lainvoiman, sitä olisi pidettävä kiistattomana näyttönä, kun samassa jäsenvaltiossa myöhemmin käsitellään samaa</w:t>
      </w:r>
      <w:r>
        <w:rPr>
          <w:noProof/>
        </w:rPr>
        <w:t xml:space="preserve"> rikkomista koskevaa hyvityskannetta. Näin kaikki osapuolet, tuomioistuinlaitos mukaan lukien, välttävät oikeudellista epävarmuutta ja tarpeettomia kuluja. </w:t>
      </w:r>
      <w:r>
        <w:rPr>
          <w:noProof/>
        </w:rPr>
        <w:lastRenderedPageBreak/>
        <w:t>Samoista syistä rajat ylittävissä tapauksissa lainvoimaiset päätökset, jotka tuomioistuin tai hallin</w:t>
      </w:r>
      <w:r>
        <w:rPr>
          <w:noProof/>
        </w:rPr>
        <w:t>toviranomainen on antanut julkista täytäntöönpanon valvontaa koskevassa asiassa, sekä lainvoimaiset kieltomääräykset, joissa unionin lainsäädännön rikkominen on vahvistettu, muodostavat kumottavissa olevan olettaman siitä, että unionin lainsäädännön rikkom</w:t>
      </w:r>
      <w:r>
        <w:rPr>
          <w:noProof/>
        </w:rPr>
        <w:t>inen on tapahtunut. Tällaista vaikutusta ei ole tarkoitus antaa vahvistustuomioille, joissa on todettu elinkeinonharjoittajan vastuu suhteessa rikkomisesta kärsineisiin kuluttajiin, sillä vastuuta koskevat kansalliset säännöt voivat vaihdella merkittävästi</w:t>
      </w:r>
      <w:r>
        <w:rPr>
          <w:noProof/>
        </w:rPr>
        <w:t xml:space="preserve"> eri puolilla EU:ta.</w:t>
      </w:r>
    </w:p>
    <w:p w:rsidR="00D03C46" w:rsidRDefault="00BD37FC">
      <w:pPr>
        <w:spacing w:before="100" w:beforeAutospacing="1" w:after="100" w:afterAutospacing="1"/>
        <w:rPr>
          <w:noProof/>
        </w:rPr>
      </w:pPr>
      <w:r>
        <w:rPr>
          <w:noProof/>
        </w:rPr>
        <w:t xml:space="preserve">Direktiivin </w:t>
      </w:r>
      <w:r>
        <w:rPr>
          <w:b/>
          <w:noProof/>
        </w:rPr>
        <w:t>11 artiklassa</w:t>
      </w:r>
      <w:r>
        <w:rPr>
          <w:noProof/>
        </w:rPr>
        <w:t xml:space="preserve"> säädetään siitä, että edustajakanne lykkää hyvityskanteen vanhentumisajan kulumista. Artikla täydentää säännöksiä, jotka koskevat direktiivin mukaisten edustajakanteiden yhteydessä annettujen, rikkomisen vahvi</w:t>
      </w:r>
      <w:r>
        <w:rPr>
          <w:noProof/>
        </w:rPr>
        <w:t>stavien lainvoimaisten kieltomääräysten vaikutuksia, ja antaa kuluttajille, jotka ovat kärsineet vahinkoa rikkomisen vuoksi, kohtuullisen mahdollisuuden vaatia hyvitystä joko sellaisen edustajakanteen avulla, joka on nostettu tämän direktiivin mukaisesti h</w:t>
      </w:r>
      <w:r>
        <w:rPr>
          <w:noProof/>
        </w:rPr>
        <w:t>eidän puolestaan, tai yksilöllisellä kanteella.</w:t>
      </w:r>
    </w:p>
    <w:p w:rsidR="00D03C46" w:rsidRDefault="00BD37FC">
      <w:pPr>
        <w:spacing w:before="100" w:beforeAutospacing="1" w:after="100" w:afterAutospacing="1"/>
        <w:rPr>
          <w:noProof/>
        </w:rPr>
      </w:pPr>
      <w:r>
        <w:rPr>
          <w:noProof/>
        </w:rPr>
        <w:t xml:space="preserve">Direktiivin </w:t>
      </w:r>
      <w:r>
        <w:rPr>
          <w:b/>
          <w:noProof/>
        </w:rPr>
        <w:t>12 artiklassa</w:t>
      </w:r>
      <w:r>
        <w:rPr>
          <w:noProof/>
        </w:rPr>
        <w:t xml:space="preserve"> taataan menettelyn tarkoituksenmukaisuus oikeudenkäynnin kaikissa vaiheissa. Sen mukaan jäsenvaltioiden on varmistettava, että kaikki edustajakanteet käsitellään tarkoituksenmukaises</w:t>
      </w:r>
      <w:r>
        <w:rPr>
          <w:noProof/>
        </w:rPr>
        <w:t>ti ja että edustajakanteet, joissa vaaditaan väliaikaista kieltomääräystä, käsitellään nopeutetussa menettelyssä. Artiklalla varmistetaan, että jos edustajakanteessa tarkoitettu elinkeinonharjoittajan menettely voi aiheuttaa lisävahinkoja, nämä voidaan est</w:t>
      </w:r>
      <w:r>
        <w:rPr>
          <w:noProof/>
        </w:rPr>
        <w:t xml:space="preserve">ää niin nopeasti kuin mahdollista. </w:t>
      </w:r>
    </w:p>
    <w:p w:rsidR="00D03C46" w:rsidRDefault="00BD37FC">
      <w:pPr>
        <w:spacing w:before="100" w:beforeAutospacing="1" w:after="100" w:afterAutospacing="1"/>
        <w:rPr>
          <w:noProof/>
        </w:rPr>
      </w:pPr>
      <w:r>
        <w:rPr>
          <w:noProof/>
        </w:rPr>
        <w:t xml:space="preserve">Direktiivin </w:t>
      </w:r>
      <w:r>
        <w:rPr>
          <w:b/>
          <w:noProof/>
        </w:rPr>
        <w:t>13 artiklassa</w:t>
      </w:r>
      <w:r>
        <w:rPr>
          <w:noProof/>
        </w:rPr>
        <w:t xml:space="preserve"> säädetään, että edustajakannetta käsittelevä tuomioistuin tai hallintoviranomainen voi edustajakanteen nostaneen oikeutetun yksikön pyynnöstä määrätä vastaajana olevan elinkeinonharjoittajan ant</w:t>
      </w:r>
      <w:r>
        <w:rPr>
          <w:noProof/>
        </w:rPr>
        <w:t>amaan hallussaan olevaa, käsiteltävään asiaan liittyvää todistusaineistoa. Jotta rikkominen sekä syy-yhteys rikkomisen ja vahingon välillä voitaisiin vahvistaa ja jotta kuluttajille rikkomisesta aiheutuvien vahinkojen määrä voitaisiin selvittää, on analyso</w:t>
      </w:r>
      <w:r>
        <w:rPr>
          <w:noProof/>
        </w:rPr>
        <w:t>itava</w:t>
      </w:r>
      <w:r>
        <w:rPr>
          <w:b/>
          <w:noProof/>
        </w:rPr>
        <w:t xml:space="preserve"> </w:t>
      </w:r>
      <w:r>
        <w:rPr>
          <w:noProof/>
        </w:rPr>
        <w:t>tosiseikkoja ja taloudellisia näkökohtia. Osa rikkomiseen liittyvästä todistusaineistosta, jonka oikeutettu yksikkö tarvitsee</w:t>
      </w:r>
      <w:r>
        <w:rPr>
          <w:b/>
          <w:noProof/>
        </w:rPr>
        <w:t xml:space="preserve"> </w:t>
      </w:r>
      <w:r>
        <w:rPr>
          <w:noProof/>
        </w:rPr>
        <w:t xml:space="preserve">näyttääkseen kanteensa toteen, voi olla vastaajan hallussa, eikä oikeutettu yksikkö saa sitä käyttöönsä. Vastaajalla olevaa </w:t>
      </w:r>
      <w:r>
        <w:rPr>
          <w:noProof/>
        </w:rPr>
        <w:t>aineistoa voidaan tarvita myös, jotta kuluttajille voidaan antaa tieto heitä koskevasta meneillään olevasta edustajakanteesta. Tällä artiklalla varmistetaan, että oikeutetulla yksiköllä on kaikissa jäsenvaltioissa käytettävissään tietty vähimmäismäärä tiet</w:t>
      </w:r>
      <w:r>
        <w:rPr>
          <w:noProof/>
        </w:rPr>
        <w:t>oa kanteen toteennäyttämiseksi sekä tiedon antamiseksi kuluttajille heitä koskevasta meneillään olevasta edustajakanteesta. Samalla direktiivissä on kuitenkin vältetty ottamasta käyttöön liian laajaa ja liian suuria kuluja aiheuttavaa esittämisvelvollisuut</w:t>
      </w:r>
      <w:r>
        <w:rPr>
          <w:noProof/>
        </w:rPr>
        <w:t>ta, joka voisi rasittaa vastaajia aiheettomasti ja aiheuttaa väärinkäytösten vaaran. Tuomioistuimen tai hallintoviranomaisen tehtävänä on aina valvoa tarkasti vastaajan esittämisvelvollisuuden tarpeellisuutta, laajuutta ja oikeasuhteisuutta.</w:t>
      </w:r>
    </w:p>
    <w:p w:rsidR="00D03C46" w:rsidRDefault="00BD37FC">
      <w:pPr>
        <w:spacing w:before="100" w:beforeAutospacing="1" w:after="100" w:afterAutospacing="1"/>
        <w:rPr>
          <w:noProof/>
        </w:rPr>
      </w:pPr>
      <w:r>
        <w:rPr>
          <w:noProof/>
        </w:rPr>
        <w:t xml:space="preserve">Direktiivin </w:t>
      </w:r>
      <w:r>
        <w:rPr>
          <w:b/>
          <w:noProof/>
        </w:rPr>
        <w:t>14</w:t>
      </w:r>
      <w:r>
        <w:rPr>
          <w:b/>
          <w:noProof/>
        </w:rPr>
        <w:t xml:space="preserve"> artiklassa</w:t>
      </w:r>
      <w:r>
        <w:rPr>
          <w:noProof/>
        </w:rPr>
        <w:t xml:space="preserve"> taataan tehokkaat, varoittavat ja oikeasuhteiset seuraamukset siltä varalta, että vastaajana oleva elinkeinonharjoittaja ei noudata tuomioistuimen tai hallintoviranomaisen edustajakanteeseen antamaa lainvoimaista päätöstä. Seuraamuksina määrätä</w:t>
      </w:r>
      <w:r>
        <w:rPr>
          <w:noProof/>
        </w:rPr>
        <w:t xml:space="preserve">än sakkoja kaikissa jäsenvaltioissa. Sakot ovat tärkeitä, sillä ne kannustavat vastaajana olevia elinkeinonharjoittajia muuttamaan toimintansa nopeasti lainvoimaisten kielto- ja hyvitysmääräysten sekä hyväksyttyjen sovintoratkaisujen mukaisiksi. </w:t>
      </w:r>
    </w:p>
    <w:p w:rsidR="00D03C46" w:rsidRDefault="00BD37FC">
      <w:pPr>
        <w:rPr>
          <w:rFonts w:eastAsia="Calibri"/>
          <w:noProof/>
        </w:rPr>
      </w:pPr>
      <w:r>
        <w:rPr>
          <w:noProof/>
        </w:rPr>
        <w:t>Direktiiv</w:t>
      </w:r>
      <w:r>
        <w:rPr>
          <w:noProof/>
        </w:rPr>
        <w:t xml:space="preserve">in </w:t>
      </w:r>
      <w:r>
        <w:rPr>
          <w:b/>
          <w:noProof/>
        </w:rPr>
        <w:t>15 artiklassa</w:t>
      </w:r>
      <w:r>
        <w:rPr>
          <w:noProof/>
        </w:rPr>
        <w:t xml:space="preserve"> vahvistetaan säännöt, jotka koskevat oikeutetuille yksiköille annettavaa tukea. Säännöksellä varmistetaan, että menettelyjen aiheuttamat kulut eivät estä oikeutettuja yksiköitä nostamasta tämän direktiivin mukaisia edustajakanteita. Oikeud</w:t>
      </w:r>
      <w:r>
        <w:rPr>
          <w:noProof/>
        </w:rPr>
        <w:t xml:space="preserve">enkäyntikuluista ei saisi muodostua liiallista estettä sille, että oikeutetut yksiköt </w:t>
      </w:r>
      <w:r>
        <w:rPr>
          <w:noProof/>
        </w:rPr>
        <w:lastRenderedPageBreak/>
        <w:t>yleisen edun mukaisesti suojaavat kuluttajien yhteisiä etuja. Säännöksessä määrätään jäsenvaltiot ja Euroopan komissio tukemaan ja edistämään oikeutettujen yksiköiden väl</w:t>
      </w:r>
      <w:r>
        <w:rPr>
          <w:noProof/>
        </w:rPr>
        <w:t>istä yhteistyötä ja kokemusten vaihtoa. Näin pyritään lisäämään edustajakanteiden hyödyntämistä sellaisten rikkomisten torjumiseksi, joilla on rajat ylittäviä vaikutuksia.</w:t>
      </w:r>
    </w:p>
    <w:p w:rsidR="00D03C46" w:rsidRDefault="00BD37FC">
      <w:pPr>
        <w:spacing w:before="100" w:beforeAutospacing="1" w:after="100" w:afterAutospacing="1"/>
        <w:rPr>
          <w:noProof/>
        </w:rPr>
      </w:pPr>
      <w:r>
        <w:rPr>
          <w:noProof/>
        </w:rPr>
        <w:t xml:space="preserve">Direktiivin </w:t>
      </w:r>
      <w:r>
        <w:rPr>
          <w:b/>
          <w:noProof/>
        </w:rPr>
        <w:t>16 artiklassa</w:t>
      </w:r>
      <w:r>
        <w:rPr>
          <w:noProof/>
        </w:rPr>
        <w:t xml:space="preserve"> on rajat ylittäviä edustajakanteita koskevat säännöt. Niil</w:t>
      </w:r>
      <w:r>
        <w:rPr>
          <w:noProof/>
        </w:rPr>
        <w:t>lä varmistetaan, että jäsenvaltiot tunnustavat vastavuoroisesti muiden jäsenvaltioiden etukäteen nimeämien oikeutettujen yksiköiden kanneoikeuden, jolloin yhdessä jäsenvaltiossa nimetty oikeutettu yksikkö voi nostaa edustajakanteen toisessa jäsenvaltiossa.</w:t>
      </w:r>
      <w:r>
        <w:rPr>
          <w:noProof/>
        </w:rPr>
        <w:t xml:space="preserve"> Lisäksi säännöksellä mahdollistetaan se, että eri jäsenvaltioiden oikeutetut yksiköt voivat nostaa yhteisen edustajakanteen yhdessä ja samassa foorumissa, joka on asiaa koskevien unionin ja kansallisten sääntöjen mukaan toimivaltainen. </w:t>
      </w:r>
    </w:p>
    <w:p w:rsidR="00D03C46" w:rsidRDefault="00BD37FC">
      <w:pPr>
        <w:pBdr>
          <w:top w:val="nil"/>
          <w:left w:val="nil"/>
          <w:bottom w:val="nil"/>
          <w:right w:val="nil"/>
          <w:between w:val="nil"/>
          <w:bar w:val="nil"/>
        </w:pBdr>
        <w:spacing w:before="0" w:after="240"/>
        <w:rPr>
          <w:rFonts w:eastAsia="Arial Unicode MS"/>
          <w:noProof/>
        </w:rPr>
      </w:pPr>
      <w:r>
        <w:rPr>
          <w:noProof/>
        </w:rPr>
        <w:t xml:space="preserve">Direktiivin </w:t>
      </w:r>
      <w:r>
        <w:rPr>
          <w:b/>
          <w:noProof/>
        </w:rPr>
        <w:t xml:space="preserve">17–22 </w:t>
      </w:r>
      <w:r>
        <w:rPr>
          <w:b/>
          <w:noProof/>
        </w:rPr>
        <w:t>artiklassa</w:t>
      </w:r>
      <w:r>
        <w:rPr>
          <w:noProof/>
        </w:rPr>
        <w:t xml:space="preserve"> vahvistetaan säännökset, jotka koskevat direktiivin 2009/22/EY kumoamista, komissiolle kuuluvaa arviointi- ja raportointitehtävää, tämän direktiivin saattamista osaksi kansallista lainsäädäntöä, siirtymäsäännöksiä, voimaantuloa, ajallista sovelt</w:t>
      </w:r>
      <w:r>
        <w:rPr>
          <w:noProof/>
        </w:rPr>
        <w:t>amista ja sitä, kenelle tämä direktiivi on osoitettu.</w:t>
      </w:r>
    </w:p>
    <w:p w:rsidR="00D03C46" w:rsidRDefault="00D03C46">
      <w:pPr>
        <w:spacing w:before="0" w:after="0"/>
        <w:jc w:val="left"/>
        <w:rPr>
          <w:noProof/>
        </w:rPr>
        <w:sectPr w:rsidR="00D03C46" w:rsidSect="00BD37FC">
          <w:footerReference w:type="default" r:id="rId20"/>
          <w:footerReference w:type="first" r:id="rId21"/>
          <w:pgSz w:w="11907" w:h="16839"/>
          <w:pgMar w:top="1134" w:right="1417" w:bottom="1134" w:left="1417" w:header="709" w:footer="709" w:gutter="0"/>
          <w:cols w:space="708"/>
          <w:docGrid w:linePitch="360"/>
        </w:sectPr>
      </w:pPr>
    </w:p>
    <w:p w:rsidR="00D03C46" w:rsidRDefault="00BD37FC" w:rsidP="00BD37FC">
      <w:pPr>
        <w:pStyle w:val="Rfrenceinterinstitutionnelle"/>
        <w:rPr>
          <w:noProof/>
        </w:rPr>
      </w:pPr>
      <w:r w:rsidRPr="00BD37FC">
        <w:lastRenderedPageBreak/>
        <w:t>2018/0089 (COD)</w:t>
      </w:r>
    </w:p>
    <w:p w:rsidR="00D03C46" w:rsidRDefault="00BD37FC">
      <w:pPr>
        <w:pStyle w:val="Statut"/>
        <w:rPr>
          <w:noProof/>
        </w:rPr>
      </w:pPr>
      <w:r>
        <w:rPr>
          <w:noProof/>
        </w:rPr>
        <w:t>Ehdotus</w:t>
      </w:r>
    </w:p>
    <w:p w:rsidR="00D03C46" w:rsidRDefault="00BD37FC">
      <w:pPr>
        <w:pStyle w:val="Typedudocument"/>
        <w:rPr>
          <w:noProof/>
        </w:rPr>
      </w:pPr>
      <w:r>
        <w:rPr>
          <w:noProof/>
        </w:rPr>
        <w:t>EUROOPAN PARLAMENTIN JA NEUVOSTON DIREKTIIVI</w:t>
      </w:r>
    </w:p>
    <w:p w:rsidR="00D03C46" w:rsidRDefault="00BD37FC">
      <w:pPr>
        <w:pStyle w:val="Titreobjet"/>
        <w:rPr>
          <w:noProof/>
        </w:rPr>
      </w:pPr>
      <w:r>
        <w:rPr>
          <w:noProof/>
        </w:rPr>
        <w:t xml:space="preserve">kuluttajien yhteisten etujen suojaamiseksi nostettavista edustajakanteista sekä direktiivin 2009/22/EY kumoamisesta </w:t>
      </w:r>
    </w:p>
    <w:p w:rsidR="00D03C46" w:rsidRDefault="00BD37FC">
      <w:pPr>
        <w:pStyle w:val="IntrtEEE"/>
        <w:rPr>
          <w:noProof/>
        </w:rPr>
      </w:pPr>
      <w:r>
        <w:rPr>
          <w:noProof/>
        </w:rPr>
        <w:t>(ETA:n kannalta merkityksellinen teksti)</w:t>
      </w:r>
    </w:p>
    <w:p w:rsidR="00D03C46" w:rsidRDefault="00BD37FC">
      <w:pPr>
        <w:pStyle w:val="Institutionquiagit"/>
        <w:rPr>
          <w:noProof/>
        </w:rPr>
      </w:pPr>
      <w:r>
        <w:rPr>
          <w:noProof/>
        </w:rPr>
        <w:t>EUROOPAN PARLAMENTTI JA EUROOPAN UNIONIN NEUVOSTO, jotka</w:t>
      </w:r>
    </w:p>
    <w:p w:rsidR="00D03C46" w:rsidRDefault="00BD37FC">
      <w:pPr>
        <w:rPr>
          <w:noProof/>
        </w:rPr>
      </w:pPr>
      <w:r>
        <w:rPr>
          <w:noProof/>
        </w:rPr>
        <w:t>ottavat huomioon Euroopan unionin toiminn</w:t>
      </w:r>
      <w:r>
        <w:rPr>
          <w:noProof/>
        </w:rPr>
        <w:t>asta tehdyn sopimuksen ja erityisesti sen 114 artiklan,</w:t>
      </w:r>
    </w:p>
    <w:p w:rsidR="00D03C46" w:rsidRDefault="00BD37FC">
      <w:pPr>
        <w:rPr>
          <w:noProof/>
        </w:rPr>
      </w:pPr>
      <w:r>
        <w:rPr>
          <w:noProof/>
        </w:rPr>
        <w:t>ottavat huomioon Euroopan komission ehdotuksen,</w:t>
      </w:r>
    </w:p>
    <w:p w:rsidR="00D03C46" w:rsidRDefault="00BD37FC">
      <w:pPr>
        <w:rPr>
          <w:noProof/>
        </w:rPr>
      </w:pPr>
      <w:r>
        <w:rPr>
          <w:noProof/>
        </w:rPr>
        <w:t>sen jälkeen kun esitys lainsäätämisjärjestyksessä hyväksyttäväksi säädökseksi on toimitettu kansallisille parlamenteille,</w:t>
      </w:r>
    </w:p>
    <w:p w:rsidR="00D03C46" w:rsidRDefault="00BD37FC">
      <w:pPr>
        <w:rPr>
          <w:noProof/>
        </w:rPr>
      </w:pPr>
      <w:r>
        <w:rPr>
          <w:noProof/>
        </w:rPr>
        <w:t>ottavat huomioon Euroopan talo</w:t>
      </w:r>
      <w:r>
        <w:rPr>
          <w:noProof/>
        </w:rPr>
        <w:t>us- ja sosiaalikomitean lausunnon</w:t>
      </w:r>
      <w:r>
        <w:rPr>
          <w:rStyle w:val="FootnoteReference"/>
          <w:noProof/>
        </w:rPr>
        <w:footnoteReference w:id="29"/>
      </w:r>
      <w:r>
        <w:rPr>
          <w:noProof/>
        </w:rPr>
        <w:t xml:space="preserve">, </w:t>
      </w:r>
    </w:p>
    <w:p w:rsidR="00D03C46" w:rsidRDefault="00BD37FC">
      <w:pPr>
        <w:rPr>
          <w:noProof/>
        </w:rPr>
      </w:pPr>
      <w:r>
        <w:rPr>
          <w:noProof/>
        </w:rPr>
        <w:t>noudattavat tavallista lainsäätämisjärjestystä,</w:t>
      </w:r>
    </w:p>
    <w:p w:rsidR="00D03C46" w:rsidRDefault="00BD37FC">
      <w:pPr>
        <w:rPr>
          <w:noProof/>
        </w:rPr>
      </w:pPr>
      <w:r>
        <w:rPr>
          <w:noProof/>
        </w:rPr>
        <w:t>sekä katsovat seuraavaa:</w:t>
      </w:r>
    </w:p>
    <w:p w:rsidR="00D03C46" w:rsidRDefault="00BD37FC">
      <w:pPr>
        <w:pStyle w:val="ManualConsidrant"/>
        <w:rPr>
          <w:noProof/>
        </w:rPr>
      </w:pPr>
      <w:r>
        <w:t>(1)</w:t>
      </w:r>
      <w:r>
        <w:tab/>
      </w:r>
      <w:r>
        <w:rPr>
          <w:noProof/>
        </w:rPr>
        <w:t>Tämän direktiivin tarkoituksena on antaa oikeutetuille yksiköille, jotka edustavat kuluttajien yhteisiä etuja, mahdollisuus nostaa edustajakan</w:t>
      </w:r>
      <w:r>
        <w:rPr>
          <w:noProof/>
        </w:rPr>
        <w:t>teita ja näin hankkia oikeussuojaa unionin oikeuden säännösten rikkomista vastaan. Oikeutettujen yksiköiden olisi voitava pyytää rikkomisen lopettamista tai kieltämistä sekä sen vahvistamista, että rikkominen on tapahtunut. Lisäksi olisi voitava vaatia kan</w:t>
      </w:r>
      <w:r>
        <w:rPr>
          <w:noProof/>
        </w:rPr>
        <w:t xml:space="preserve">sallisen lainsäädännön mukaan saatavilla olevaa hyvitystä, kuten vahingonkorvausta, tavaran korjausta tai hinnanalennusta. </w:t>
      </w:r>
    </w:p>
    <w:p w:rsidR="00D03C46" w:rsidRDefault="00BD37FC">
      <w:pPr>
        <w:pStyle w:val="ManualConsidrant"/>
        <w:rPr>
          <w:noProof/>
        </w:rPr>
      </w:pPr>
      <w:r>
        <w:t>(2)</w:t>
      </w:r>
      <w:r>
        <w:tab/>
      </w:r>
      <w:r>
        <w:rPr>
          <w:noProof/>
        </w:rPr>
        <w:t>Oikeutetuille yksiköille annetaan Euroopan parlamentin ja neuvoston direktiivissä 2009/22/EY</w:t>
      </w:r>
      <w:r>
        <w:rPr>
          <w:rStyle w:val="FootnoteReference"/>
          <w:noProof/>
        </w:rPr>
        <w:footnoteReference w:id="30"/>
      </w:r>
      <w:r>
        <w:rPr>
          <w:noProof/>
        </w:rPr>
        <w:t xml:space="preserve"> mahdollisuus nostaa edustajakantei</w:t>
      </w:r>
      <w:r>
        <w:rPr>
          <w:noProof/>
        </w:rPr>
        <w:t>ta, joilla pyritään ensisijaisesti lopettamaan ja kieltämään kuluttajien yhteisiä etuja vahingoittavia unionin oikeuden rikkomisia. Direktiivillä 2009/22/EY ei ole kuitenkaan puututtu riittävästi ongelmiin, jotka liittyvät kuluttajalainsäädännön täytäntöön</w:t>
      </w:r>
      <w:r>
        <w:rPr>
          <w:noProof/>
        </w:rPr>
        <w:t>panon valvontaan. Jotta pelotteet, joilla pyritään estämään elinkeinonharjoittajan lainvastaisia menettelyjä, toimisivat paremmin ja jotta kuluttajille aiheutuvia haittoja kyettäisiin vähentämään, on tarpeen vahvistaa mekanismia, jolla suojataan kuluttajie</w:t>
      </w:r>
      <w:r>
        <w:rPr>
          <w:noProof/>
        </w:rPr>
        <w:t>n yhteisiä etuja. Direktiivi 2009/22/EY, jota on muutettu lukuisia kertoja, olisi selkeyden vuoksi korvattava.</w:t>
      </w:r>
    </w:p>
    <w:p w:rsidR="00D03C46" w:rsidRDefault="00BD37FC">
      <w:pPr>
        <w:pStyle w:val="ManualConsidrant"/>
        <w:rPr>
          <w:noProof/>
        </w:rPr>
      </w:pPr>
      <w:r>
        <w:t>(3)</w:t>
      </w:r>
      <w:r>
        <w:tab/>
      </w:r>
      <w:r>
        <w:rPr>
          <w:noProof/>
        </w:rPr>
        <w:t>Kuluttajien yhteiset edut voitaisiin suojata vaikuttavasti ja tehokkaasti edustajakanteen avulla. Oikeutetut yksiköt voisivat edustajakanteel</w:t>
      </w:r>
      <w:r>
        <w:rPr>
          <w:noProof/>
        </w:rPr>
        <w:t xml:space="preserve">la varmistaa unionin lainsäädännön asianomaisten säännösten noudattamisen. Ajaessaan yksilöllisiä kanteita kuluttajat voivat olla epävarmoja oikeuksistaan ja käytettävissään olevista menettelyllisistä mekanismeista, he saattavat tuntea haluttomuutta panna </w:t>
      </w:r>
      <w:r>
        <w:rPr>
          <w:noProof/>
        </w:rPr>
        <w:t xml:space="preserve">kanteita vireille ja ennakoidut </w:t>
      </w:r>
      <w:r>
        <w:rPr>
          <w:noProof/>
        </w:rPr>
        <w:lastRenderedPageBreak/>
        <w:t>kulut saattavat ylittää yksilöllisen kanteen avulla saatavat tuotot. Edustajakanteiden avulla tällaiset kuluttajien kohtaamat hankaluudet voitaisiin välttää.</w:t>
      </w:r>
    </w:p>
    <w:p w:rsidR="00D03C46" w:rsidRDefault="00BD37FC">
      <w:pPr>
        <w:pStyle w:val="ManualConsidrant"/>
        <w:rPr>
          <w:noProof/>
        </w:rPr>
      </w:pPr>
      <w:r>
        <w:t>(4)</w:t>
      </w:r>
      <w:r>
        <w:tab/>
      </w:r>
      <w:r>
        <w:rPr>
          <w:noProof/>
        </w:rPr>
        <w:t>On tärkeää varmistaa tarvittava tasapaino oikeussuojan saatavuuden ja sellaisten menettelyllisten takeiden välillä, joilla estetään perusteettomat oikeudenkäynnit ja niiden aiheuttama tarpeeton haitta yritystoiminnalle sisämarkkinoilla. Jotta edustajakante</w:t>
      </w:r>
      <w:r>
        <w:rPr>
          <w:noProof/>
        </w:rPr>
        <w:t>iden väärinkäyttö estettäisiin, olisi vältettävä esimerkiksi rankaisevia vahingonkorvauksia sekä sitä, että oikeus nostaa kanne vahinkoa kärsineiden kuluttajien puolesta ei lainkaan vanhenisi. Samoin olisi vahvistettava selkeät säännöt eräistä menettelylli</w:t>
      </w:r>
      <w:r>
        <w:rPr>
          <w:noProof/>
        </w:rPr>
        <w:t xml:space="preserve">sistä seikoista, kuten oikeutettujen yksiköiden nimeämisestä, kyseisten yksiköiden rahoituksen alkuperästä sekä niiden tietojen luonteesta, jotka on esitettävä edustajakanteen tueksi. Tällä direktiivillä ei ole tarkoitus vaikuttaa kansallisiin sääntöihin, </w:t>
      </w:r>
      <w:r>
        <w:rPr>
          <w:noProof/>
        </w:rPr>
        <w:t xml:space="preserve">jotka koskevat oikeudenkäyntikulujen jakautumista.   </w:t>
      </w:r>
    </w:p>
    <w:p w:rsidR="00D03C46" w:rsidRDefault="00BD37FC">
      <w:pPr>
        <w:pStyle w:val="ManualConsidrant"/>
        <w:rPr>
          <w:noProof/>
          <w:szCs w:val="20"/>
        </w:rPr>
      </w:pPr>
      <w:r>
        <w:t>(5)</w:t>
      </w:r>
      <w:r>
        <w:tab/>
      </w:r>
      <w:r>
        <w:rPr>
          <w:noProof/>
        </w:rPr>
        <w:t>Rikkomisilla, jotka vaikuttavat kuluttajien yhteisiin etuihin, on usein rajat ylittäviä vaikutuksia. Jos käytettävissä olevat edustajakanteet olisivat tehokkaampia ja vaikuttavampia kaikkialla union</w:t>
      </w:r>
      <w:r>
        <w:rPr>
          <w:noProof/>
        </w:rPr>
        <w:t xml:space="preserve">issa, kuluttajien luottamus sisämarkkinoihin vahvistuisi ja kuluttajilla olisi paremmat mahdollisuudet hyödyntää oikeuksiaan. </w:t>
      </w:r>
    </w:p>
    <w:p w:rsidR="00D03C46" w:rsidRDefault="00BD37FC">
      <w:pPr>
        <w:pStyle w:val="ManualConsidrant"/>
        <w:rPr>
          <w:noProof/>
        </w:rPr>
      </w:pPr>
      <w:r>
        <w:t>(6)</w:t>
      </w:r>
      <w:r>
        <w:tab/>
      </w:r>
      <w:r>
        <w:rPr>
          <w:noProof/>
        </w:rPr>
        <w:t>Tällä direktiivillä olisi katettava useita eri aloja, kuten tietosuoja-, rahoituspalvelu-, matkustus- ja matkailu-, energia-,</w:t>
      </w:r>
      <w:r>
        <w:rPr>
          <w:noProof/>
        </w:rPr>
        <w:t xml:space="preserve"> televiestintä- ja ympäristöala. Direktiivin olisi katettava sellaisten unionin oikeuden säännösten rikkominen, joilla suojataan kuluttajien etuja, riippumatta siitä, puhutaanko kyseisessä unionin lainsäädännössä kuluttajista vai matkailijoista, käyttäjist</w:t>
      </w:r>
      <w:r>
        <w:rPr>
          <w:noProof/>
        </w:rPr>
        <w:t>ä, asiakkaista, piensijoittajista, yksityisasiakkaista tai muista vastaavista. Unionin oikeuden muoto ja laajuus muuttuvat nopeasti. Jotta asianmukainen puuttuminen rikkomisiin varmistettaisiin, olisi aina kun hyväksytään sellainen uusi unionin säädös, jol</w:t>
      </w:r>
      <w:r>
        <w:rPr>
          <w:noProof/>
        </w:rPr>
        <w:t>la on merkitystä kuluttajien yhteisten etujen suojaamisen kannalta, harkittava, muutetaanko tämän direktiivin liitettä siten, että uusi säädös sisällytetään siihen.</w:t>
      </w:r>
    </w:p>
    <w:p w:rsidR="00D03C46" w:rsidRDefault="00BD37FC">
      <w:pPr>
        <w:pStyle w:val="ManualConsidrant"/>
        <w:rPr>
          <w:noProof/>
        </w:rPr>
      </w:pPr>
      <w:r>
        <w:t>(7)</w:t>
      </w:r>
      <w:r>
        <w:tab/>
      </w:r>
      <w:r>
        <w:rPr>
          <w:noProof/>
        </w:rPr>
        <w:t>Komissio on antanut ehdotuksen Euroopan parlamentin ja neuvoston asetukseksi matkustaji</w:t>
      </w:r>
      <w:r>
        <w:rPr>
          <w:noProof/>
        </w:rPr>
        <w:t>lle heidän lennolle pääsynsä epäämisen sekä lentojen peruuttamisen tai pitkäaikaisen viivästymisen johdosta annettavaa korvausta ja apua koskevista yhteisistä säännöistä annetun asetuksen (EY) N:o 261/2004 ja matkustajien ja heidän matkatavaroidensa ilmaku</w:t>
      </w:r>
      <w:r>
        <w:rPr>
          <w:noProof/>
        </w:rPr>
        <w:t>ljetusta koskevasta lentoliikenteen harjoittajien korvausvastuusta 9 päivänä lokakuuta 1997 annetun neuvoston asetuksen (EY) N:o 2027/97 muuttamisesta</w:t>
      </w:r>
      <w:r>
        <w:rPr>
          <w:rStyle w:val="FootnoteReference"/>
          <w:noProof/>
        </w:rPr>
        <w:footnoteReference w:id="31"/>
      </w:r>
      <w:r>
        <w:rPr>
          <w:noProof/>
        </w:rPr>
        <w:t>. Komissio on antanut myös ehdotuksen Euroopan parlamentin ja neuvoston asetukseksi rautatieliikenteen ma</w:t>
      </w:r>
      <w:r>
        <w:rPr>
          <w:noProof/>
        </w:rPr>
        <w:t>tkustajien oikeuksista ja velvollisuuksista</w:t>
      </w:r>
      <w:r>
        <w:rPr>
          <w:rStyle w:val="FootnoteReference"/>
          <w:noProof/>
        </w:rPr>
        <w:footnoteReference w:id="32"/>
      </w:r>
      <w:r>
        <w:rPr>
          <w:noProof/>
        </w:rPr>
        <w:t>. Näin ollen on aiheellista säätää, että viimeistään vuoden kuluttua tämän direktiivin voimaantulosta komissio arvioi, tarjoavatko lento- ja rautatiematkustajien oikeuksia koskevat unionin säännöt riittävän tasoi</w:t>
      </w:r>
      <w:r>
        <w:rPr>
          <w:noProof/>
        </w:rPr>
        <w:t>sen kuluttajansuojan, joka vastaa tässä direktiivissä säädettyä suojaa. Arviointinsa perusteella komissio tekee tarvittavat johtopäätökset tämän direktiivin soveltamisalasta.</w:t>
      </w:r>
    </w:p>
    <w:p w:rsidR="00D03C46" w:rsidRDefault="00BD37FC">
      <w:pPr>
        <w:pStyle w:val="ManualConsidrant"/>
        <w:rPr>
          <w:noProof/>
        </w:rPr>
      </w:pPr>
      <w:r>
        <w:t>(8)</w:t>
      </w:r>
      <w:r>
        <w:tab/>
      </w:r>
      <w:r>
        <w:rPr>
          <w:noProof/>
        </w:rPr>
        <w:t>Tämä direktiivi pohjautuu direktiiviin 2009/22/EY, ja sen olisi katettava sek</w:t>
      </w:r>
      <w:r>
        <w:rPr>
          <w:noProof/>
        </w:rPr>
        <w:t xml:space="preserve">ä kotimaiset että rajat ylittävät rikkomiset erityisesti silloin kun kuluttajat, joihin rikkominen kohdistuu, asuvat yhdessä tai useammassa muussa jäsenvaltiossa kuin siinä jäsenvaltiossa, jossa sääntöjä rikkoneella elinkeinonharjoittajalla on kotipaikka. </w:t>
      </w:r>
      <w:r>
        <w:rPr>
          <w:noProof/>
        </w:rPr>
        <w:t xml:space="preserve">Direktiivin olisi katettava myös rikkomiset, jotka ovat päättyneet ennen </w:t>
      </w:r>
      <w:r>
        <w:rPr>
          <w:noProof/>
        </w:rPr>
        <w:lastRenderedPageBreak/>
        <w:t>edustajakanteen tulemista vireille tai ennen sen vireilläolon päättymistä, sillä edelleenkin voi olla tarpeen estää elinkeinonharjoittajan tietyn menettelyn toistuminen, osoittaa mene</w:t>
      </w:r>
      <w:r>
        <w:rPr>
          <w:noProof/>
        </w:rPr>
        <w:t>ttelyn rikkomisluonne sekä helpottaa hyvityksen saamista kuluttajille.</w:t>
      </w:r>
    </w:p>
    <w:p w:rsidR="00D03C46" w:rsidRDefault="00BD37FC">
      <w:pPr>
        <w:pStyle w:val="ManualConsidrant"/>
        <w:rPr>
          <w:noProof/>
        </w:rPr>
      </w:pPr>
      <w:r>
        <w:t>(9)</w:t>
      </w:r>
      <w:r>
        <w:tab/>
      </w:r>
      <w:r>
        <w:rPr>
          <w:noProof/>
        </w:rPr>
        <w:t>Tällä direktiivillä ei pitäisi luoda sellaisia kansainvälistä yksityisoikeutta koskevia sääntöjä, jotka koskevat tuomioistuimen toimivaltaa, tuomioiden tunnustamista ja täytäntöönpa</w:t>
      </w:r>
      <w:r>
        <w:rPr>
          <w:noProof/>
        </w:rPr>
        <w:t>noa tai sovellettavaa lainsäädäntöä. Nykyisiä unionin oikeuden säännöksiä sovelletaan tässä direktiivissä tarkoitettuihin edustajakanteisiin.</w:t>
      </w:r>
    </w:p>
    <w:p w:rsidR="00D03C46" w:rsidRDefault="00BD37FC">
      <w:pPr>
        <w:pStyle w:val="ManualConsidrant"/>
        <w:rPr>
          <w:noProof/>
        </w:rPr>
      </w:pPr>
      <w:r>
        <w:t>(10)</w:t>
      </w:r>
      <w:r>
        <w:tab/>
      </w:r>
      <w:r>
        <w:rPr>
          <w:noProof/>
        </w:rPr>
        <w:t>Ainoastaan oikeutetut yksiköt voivat nostaa edustajakanteita, joten sen varmistamiseksi, että kuluttajien yht</w:t>
      </w:r>
      <w:r>
        <w:rPr>
          <w:noProof/>
        </w:rPr>
        <w:t xml:space="preserve">eiset edut tulevat asianmukaisesti otetuiksi huomioon, oikeutettujen yksiköiden olisi täytettävä tässä direktiivissä vahvistetut vaatimukset. Ne olisi perustettava asianmukaisesti siten, että perustamisessa noudatetaan jäsenvaltion lakeja. Laissa voi olla </w:t>
      </w:r>
      <w:r>
        <w:rPr>
          <w:noProof/>
        </w:rPr>
        <w:t>esimerkiksi vaatimuksia, jotka koskevat jäsenten lukumäärää, tai yksikön pysyvyyttä. Lisäksi laissa voidaan vaatia avoimuutta yksikön rakenteeseen liittyvien keskeisten seikkojen, kuten yksikön perustamisasiakirjojen, johtamisrakenteen, tavoitteiden ja työ</w:t>
      </w:r>
      <w:r>
        <w:rPr>
          <w:noProof/>
        </w:rPr>
        <w:t>skentelymenetelmien suhteen. Oikeutettujen yksiköiden olisi myös oltava voittoa tavoittelemattomia, ja niiden oikeutetun edun mukaista olisi oltava sen varmistaminen, että asiaan liittyvää unionin lainsäädäntöä noudatetaan. Näitä kriteereitä olisi sovellet</w:t>
      </w:r>
      <w:r>
        <w:rPr>
          <w:noProof/>
        </w:rPr>
        <w:t>tava sekä etukäteen nimettyihin oikeutettuihin yksiköihin että erikseen tiettyä kannetta ajamaan perustettuihin oikeutettuihin yksiköihin.</w:t>
      </w:r>
    </w:p>
    <w:p w:rsidR="00D03C46" w:rsidRDefault="00BD37FC">
      <w:pPr>
        <w:pStyle w:val="ManualConsidrant"/>
        <w:rPr>
          <w:noProof/>
        </w:rPr>
      </w:pPr>
      <w:r>
        <w:t>(11)</w:t>
      </w:r>
      <w:r>
        <w:tab/>
      </w:r>
      <w:r>
        <w:rPr>
          <w:noProof/>
        </w:rPr>
        <w:t>Erityisesti riippumattomat julkiset elimet ja kuluttajajärjestöt pyrkivät varmistamaan unionin kuluttajalainsääd</w:t>
      </w:r>
      <w:r>
        <w:rPr>
          <w:noProof/>
        </w:rPr>
        <w:t>ännön noudattamisen, joten niillä on hyvät edellytykset toimia oikeutettuina yksiköinä. Koska näillä toimijoilla on käytössään erityyppisiä tietolähteitä, jotka koskevat elinkeinonharjoittajien menettelyjä kuluttajia kohtaan, ja koska niiden toiminnan pain</w:t>
      </w:r>
      <w:r>
        <w:rPr>
          <w:noProof/>
        </w:rPr>
        <w:t>opisteet ovat erilaisia, jäsenvaltioiden olisi voitava vapaasti päättää, minkä tyyppisiä toimenpiteitä kukin näistä oikeutetuista yksiköistä voi edustajakanteissaan vaatia.</w:t>
      </w:r>
    </w:p>
    <w:p w:rsidR="00D03C46" w:rsidRDefault="00BD37FC">
      <w:pPr>
        <w:pStyle w:val="ManualConsidrant"/>
        <w:rPr>
          <w:noProof/>
        </w:rPr>
      </w:pPr>
      <w:r>
        <w:t>(12)</w:t>
      </w:r>
      <w:r>
        <w:tab/>
      </w:r>
      <w:r>
        <w:rPr>
          <w:noProof/>
        </w:rPr>
        <w:t xml:space="preserve">Koska kuluttajien yhteisiä etuja voidaan suojata vaikuttavasti ja tehokkaasti </w:t>
      </w:r>
      <w:r>
        <w:rPr>
          <w:noProof/>
        </w:rPr>
        <w:t>sekä tuomioistuin- että hallintomenettelyssä, jäsenvaltioiden harkintaan on jätetty, voidaanko edustajakanteita nostaa kummassakin menettelyssä vai vain toisessa. Huomioon voidaan tällöin ottaa, minkä oikeudenalan säännöksiä asiassa sovelletaan tai mistä t</w:t>
      </w:r>
      <w:r>
        <w:rPr>
          <w:noProof/>
        </w:rPr>
        <w:t>alouden alasta on kyse. Näillä säännöksillä ei rajoiteta Euroopan unionin perusoikeuskirjan 47 artiklan mukaista oikeutta tehokkaisiin oikeussuojakeinoihin. Näin ollen jäsenvaltioiden on varmistettava, että kuluttajilla ja yrityksillä on todelliset mahdoll</w:t>
      </w:r>
      <w:r>
        <w:rPr>
          <w:noProof/>
        </w:rPr>
        <w:t>isuudet hakea muutosta tuomioistuimessa kaikkiin sellaisiin hallinnollisiin päätöksiin, jotka on tehty tämän direktiivin täytäntöönpanemiseksi annettujen kansallisten säännösten nojalla. Lisäksi osapuolten on voitava pyytää riidanalaisen päätöksen täytäntö</w:t>
      </w:r>
      <w:r>
        <w:rPr>
          <w:noProof/>
        </w:rPr>
        <w:t>önpanon lykkäystä kansallisen lainsäädännön mukaisesti.</w:t>
      </w:r>
    </w:p>
    <w:p w:rsidR="00D03C46" w:rsidRDefault="00BD37FC">
      <w:pPr>
        <w:pStyle w:val="ManualConsidrant"/>
        <w:rPr>
          <w:noProof/>
        </w:rPr>
      </w:pPr>
      <w:r>
        <w:t>(13)</w:t>
      </w:r>
      <w:r>
        <w:tab/>
      </w:r>
      <w:r>
        <w:rPr>
          <w:noProof/>
        </w:rPr>
        <w:t>Jotta edustajakanteisiin liittyvää menettelyä voitaisiin tehostaa, oikeutetuilla yksiköillä olisi oltava mahdollisuus hakea eri toimenpiteitä yhdellä tai useammalla edustajakanteella. Kanteessa o</w:t>
      </w:r>
      <w:r>
        <w:rPr>
          <w:noProof/>
        </w:rPr>
        <w:t>lisi voitava vaatia muun muassa seuraavia toimenpiteitä: väliaikaiset toimenpiteet elinkeinonharjoittajan parhaillaan noudattaman menettelyn lopettamiseksi tai sellaisen menettelyn kieltämiseksi, jota ei ole vielä noudatettu mutta jossa on vaarana, että ku</w:t>
      </w:r>
      <w:r>
        <w:rPr>
          <w:noProof/>
        </w:rPr>
        <w:t>luttajille aiheutuu vakavaa tai peruuttamatonta vahinkoa; toimenpiteet, joissa vahvistetaan, että elinkeinonharjoittajan menettelyssä on kyse lain rikkomisesta, ja joissa tarvittaessa lopetetaan menettely tai kielletään se vastaisuudessa; sekä toimenpiteet</w:t>
      </w:r>
      <w:r>
        <w:rPr>
          <w:noProof/>
        </w:rPr>
        <w:t xml:space="preserve">, hyvitykset mukaan lukien, rikkomuksien jatkuvien vaikutusten poistamiseksi. Jos vireille pannaan vain yksi kanne, oikeutettujen </w:t>
      </w:r>
      <w:r>
        <w:rPr>
          <w:noProof/>
        </w:rPr>
        <w:lastRenderedPageBreak/>
        <w:t>yksiköiden olisi voitava vaatia kaikkia toimenpiteitä yhdellä kertaa kanteen vireillepanon hetkellä tai vaihtoehtoisesti siten</w:t>
      </w:r>
      <w:r>
        <w:rPr>
          <w:noProof/>
        </w:rPr>
        <w:t>, että ensin haetaan kieltomääräys ja myöhemmin tarvittaessa hyvitysmääräys.</w:t>
      </w:r>
    </w:p>
    <w:p w:rsidR="00D03C46" w:rsidRDefault="00BD37FC">
      <w:pPr>
        <w:pStyle w:val="ManualConsidrant"/>
        <w:rPr>
          <w:noProof/>
        </w:rPr>
      </w:pPr>
      <w:r>
        <w:t>(14)</w:t>
      </w:r>
      <w:r>
        <w:tab/>
      </w:r>
      <w:r>
        <w:rPr>
          <w:noProof/>
        </w:rPr>
        <w:t>Kieltomääräyksen tavoitteena on kuluttajien yhteisten etujen suojaaminen riippumatta siitä, ovatko yksittäiset kuluttajat kärsineet todellista menetystä tai vahinkoa. Kieltom</w:t>
      </w:r>
      <w:r>
        <w:rPr>
          <w:noProof/>
        </w:rPr>
        <w:t>ääräyksissä elinkeinonharjoittajia voidaan vaatia toteuttamaan tiettyjä toimia, kuten antamaan kuluttajille tiedot, jotka aiemmin on laissa säädettyjen velvoitteiden vastaisesti jätetty antamatta. Päätöksissä, joissa vahvistetaan elinkeinonharjoittajan men</w:t>
      </w:r>
      <w:r>
        <w:rPr>
          <w:noProof/>
        </w:rPr>
        <w:t>ettelyn rikkomisluonne, ei pitäisi kiinnittää huomiota siihen, onko kyseinen menettely tahallinen tai tuottamuksellinen.</w:t>
      </w:r>
    </w:p>
    <w:p w:rsidR="00D03C46" w:rsidRDefault="00BD37FC">
      <w:pPr>
        <w:pStyle w:val="ManualConsidrant"/>
        <w:rPr>
          <w:noProof/>
        </w:rPr>
      </w:pPr>
      <w:r>
        <w:t>(15)</w:t>
      </w:r>
      <w:r>
        <w:tab/>
      </w:r>
      <w:r>
        <w:rPr>
          <w:noProof/>
        </w:rPr>
        <w:t>Kun oikeutettu yksikkö panee vireille tässä direktiivissä tarkoitetun edustajakanteen, sen olisi oltava oikeudenkäynnin asianosain</w:t>
      </w:r>
      <w:r>
        <w:rPr>
          <w:noProof/>
        </w:rPr>
        <w:t>en. Kuluttajilla, joita rikkominen koskee, olisi oltava asianmukaiset mahdollisuudet hyötyä edustajakanteen tuloksista. Tämän direktiivin nojalla annetuilla kieltomääräyksillä ei ole tarkoitus estää vahinkoa kärsineitä kuluttajia nostamasta yksilöllisiä ka</w:t>
      </w:r>
      <w:r>
        <w:rPr>
          <w:noProof/>
        </w:rPr>
        <w:t>nteita sellaisten elinkeinonharjoittajan menettelyiden vuoksi, jotka ovat kieltomääräyksen kohteena.</w:t>
      </w:r>
    </w:p>
    <w:p w:rsidR="00D03C46" w:rsidRDefault="00BD37FC">
      <w:pPr>
        <w:pStyle w:val="ManualConsidrant"/>
        <w:rPr>
          <w:noProof/>
        </w:rPr>
      </w:pPr>
      <w:r>
        <w:t>(16)</w:t>
      </w:r>
      <w:r>
        <w:tab/>
      </w:r>
      <w:r>
        <w:rPr>
          <w:noProof/>
        </w:rPr>
        <w:t>Oikeutettujen yksiköiden olisi voitava vaatia toimenpiteitä, joiden tarkoituksena on poistaa rikkomisen jatkuvat vaikutukset. Näiden toimenpiteiden ol</w:t>
      </w:r>
      <w:r>
        <w:rPr>
          <w:noProof/>
        </w:rPr>
        <w:t>isi oltava hyvitysmääräyksiä, joiden mukaan elinkeinonharjoittajan on esimerkiksi maksettava vahingonkorvausta, korjattava tai vaihdettava tavara, alennettava hintaa, purettava sopimus tai palautettava maksettu kauppahinta. Toimenpiteet olisi määrättävä ta</w:t>
      </w:r>
      <w:r>
        <w:rPr>
          <w:noProof/>
        </w:rPr>
        <w:t xml:space="preserve">rpeen mukaan, ja niiden olisi oltava kansallisen lainsäädännön mukaisia. </w:t>
      </w:r>
    </w:p>
    <w:p w:rsidR="00D03C46" w:rsidRDefault="00BD37FC">
      <w:pPr>
        <w:pStyle w:val="ManualConsidrant"/>
        <w:rPr>
          <w:noProof/>
        </w:rPr>
      </w:pPr>
      <w:r>
        <w:t>(17)</w:t>
      </w:r>
      <w:r>
        <w:tab/>
      </w:r>
      <w:r>
        <w:rPr>
          <w:noProof/>
        </w:rPr>
        <w:t>Kun kuluttajille määrätään vahingonkorvausta joukkovahinkotilanteessa, vahingonkorvauksen ei pitäisi ylittää määrää, jonka elinkeinonharjoittaja sovellettavan kansallisen tai un</w:t>
      </w:r>
      <w:r>
        <w:rPr>
          <w:noProof/>
        </w:rPr>
        <w:t>ionin lain mukaisesti olisi velvollinen maksamaan kuluttajille näille aiheutuneen todellisen vahingon perusteella. Erityisesti olisi vältettävä rankaisevia vahingonkorvauksia, jotka johtavat liiallisen vahingonkorvauksen maksamiseen kantajalle.</w:t>
      </w:r>
    </w:p>
    <w:p w:rsidR="00D03C46" w:rsidRDefault="00BD37FC">
      <w:pPr>
        <w:pStyle w:val="ManualConsidrant"/>
        <w:rPr>
          <w:noProof/>
        </w:rPr>
      </w:pPr>
      <w:r>
        <w:t>(18)</w:t>
      </w:r>
      <w:r>
        <w:tab/>
      </w:r>
      <w:r>
        <w:rPr>
          <w:noProof/>
        </w:rPr>
        <w:t>Jäsenv</w:t>
      </w:r>
      <w:r>
        <w:rPr>
          <w:noProof/>
        </w:rPr>
        <w:t>altiot voivat edellyttää, että oikeutetut yksiköt antavat hyvitystä koskevan edustajakanteen tueksi riittävästi tietoa, kuten kuvauksen kuluttajaryhmästä, jota rikkominen koskee, sekä selostuksen tosiasia- ja oikeuskysymyksistä, jotka edustajakanteen yhtey</w:t>
      </w:r>
      <w:r>
        <w:rPr>
          <w:noProof/>
        </w:rPr>
        <w:t>dessä on ratkaistava. Kanteen nostamisen ei pitäisi edellyttää sitä, että oikeutettu yksikkö yksilöi erikseen kaikki kuluttajat, joita rikkominen koskee. Käsitellessään hyvitystä koskevaa edustajakannetta tuomioistuimen tai hallintoviranomaisen olisi tarki</w:t>
      </w:r>
      <w:r>
        <w:rPr>
          <w:noProof/>
        </w:rPr>
        <w:t>stettava mahdollisimman varhaisessa oikeudenkäynnin vaiheessa, soveltuuko tapaus käsiteltäväksi edustajakanteena, kun otetaan huomioon rikkomisen luonne sekä kuluttajien kärsimien vahinkojen luonne.</w:t>
      </w:r>
    </w:p>
    <w:p w:rsidR="00D03C46" w:rsidRDefault="00BD37FC">
      <w:pPr>
        <w:pStyle w:val="ManualConsidrant"/>
        <w:rPr>
          <w:noProof/>
        </w:rPr>
      </w:pPr>
      <w:r>
        <w:t>(19)</w:t>
      </w:r>
      <w:r>
        <w:tab/>
      </w:r>
      <w:r>
        <w:rPr>
          <w:noProof/>
        </w:rPr>
        <w:t>Jäsenvaltioiden olisi voitava päättää, voiko tuomioi</w:t>
      </w:r>
      <w:r>
        <w:rPr>
          <w:noProof/>
        </w:rPr>
        <w:t>stuin tai hallintoviranomainen, joka käsittelee hyvitystä koskevaa edustajakannetta, poikkeuksellisesti antaa hyvitysmääräyksen sijaan vahvistustuomion, joka koskee elinkeinonharjoittajan hyvitysvelvollisuutta suhteessa rikkomisen vuoksi vahinkoa kärsineis</w:t>
      </w:r>
      <w:r>
        <w:rPr>
          <w:noProof/>
        </w:rPr>
        <w:t xml:space="preserve">iin kuluttajiin. Tällöin vahvistustuomio voitaisiin myöhemmin asettaa suoraan kuluttajien nostamien yksilöllisten hyvityskanteiden käsittelyn pohjaksi. Tätä mahdollisuutta olisi käytettävä ainoastaan sellaisissa asianmukaisesti perustelluissa tapauksissa, </w:t>
      </w:r>
      <w:r>
        <w:rPr>
          <w:noProof/>
        </w:rPr>
        <w:t>joissa yksilöllisen hyvityksen määrittäminen kullekin edustajakanteessa tarkoitetulle kuluttajalle olisi monimutkaista ja lisäksi edustajakanteen yhteydessä tehotonta. Vahvistustuomioita ei pitäisi antaa tilanteissa, jotka eivät ole monimutkaisia, eikä var</w:t>
      </w:r>
      <w:r>
        <w:rPr>
          <w:noProof/>
        </w:rPr>
        <w:t xml:space="preserve">sinkaan silloin kun asianomaiset kuluttajat ovat yksilöitävissä ja heidän vahinkonsa ovat tietyn ajanjakson </w:t>
      </w:r>
      <w:r>
        <w:rPr>
          <w:noProof/>
        </w:rPr>
        <w:lastRenderedPageBreak/>
        <w:t>tai hankinnan osalta keskenään vertailukelpoisia. Vastaavasti vahvistustuomioita ei pitäisi antaa, jos kunkin yksittäisen kuluttajan kärsimä vahinko</w:t>
      </w:r>
      <w:r>
        <w:rPr>
          <w:noProof/>
        </w:rPr>
        <w:t xml:space="preserve"> on niin vähäinen, että yksittäiset kuluttajat eivät todennäköisesti nostaisi yksilöllisiä hyvityskanteita. Tuomioistuimen tai hallintoviranomaisen olisi perusteltava asianmukaisesti, miksi se jonkin asian yhteydessä antaa vahvistustuomion eikä hyvitysmäär</w:t>
      </w:r>
      <w:r>
        <w:rPr>
          <w:noProof/>
        </w:rPr>
        <w:t>äystä.</w:t>
      </w:r>
    </w:p>
    <w:p w:rsidR="00D03C46" w:rsidRDefault="00BD37FC">
      <w:pPr>
        <w:pStyle w:val="ManualConsidrant"/>
        <w:rPr>
          <w:noProof/>
        </w:rPr>
      </w:pPr>
      <w:r>
        <w:t>(20)</w:t>
      </w:r>
      <w:r>
        <w:tab/>
      </w:r>
      <w:r>
        <w:rPr>
          <w:noProof/>
        </w:rPr>
        <w:t>Kun kuluttajat, joihin elinkeinonharjoittajan sama menettely kohdistuu, ovat yksilöitävissä ja heidän vahinkonsa ovat tietyn ajanjakson tai hankinnan osalta keskenään vertailukelpoisia, esimerkiksi pitkäkestoisten sopimusten tapauksessa, tuomio</w:t>
      </w:r>
      <w:r>
        <w:rPr>
          <w:noProof/>
        </w:rPr>
        <w:t>istuin tai hallintoviranomainen kykenee edustajakannetta käsitellessään määrittelemään selkeästi kuluttajaryhmän, jota rikkominen koskee. Tuomioistuin tai hallintoviranomainen voisi pyytää sääntöjä rikkonutta elinkeinonharjoittajaa toimittamaan asiaan liit</w:t>
      </w:r>
      <w:r>
        <w:rPr>
          <w:noProof/>
        </w:rPr>
        <w:t>tyviä tietoja, jotka koskevat esimerkiksi asiaan liittyvien kuluttajien henkilöllisyyttä ja elinkeinonharjoittajan noudattaman menettelyn kestoa. Näissä tapauksissa jäsenvaltiot voisivat tarkoituksenmukaisen ja tehokkaan menettelyn takaamiseksi harkita kan</w:t>
      </w:r>
      <w:r>
        <w:rPr>
          <w:noProof/>
        </w:rPr>
        <w:t>sallisen lainsäädäntönsä mukaisesti, olisiko kuluttajille annettava mahdollisuus hyötyä hyvitysmääräyksestä suoraan määräyksen antamisen jälkeen ilman että heidän tarvitsisi antaa yksilöllistä valtuutusta ennen hyvitysmääräyksen antamista.</w:t>
      </w:r>
    </w:p>
    <w:p w:rsidR="00D03C46" w:rsidRDefault="00BD37FC">
      <w:pPr>
        <w:pStyle w:val="ManualConsidrant"/>
        <w:rPr>
          <w:noProof/>
        </w:rPr>
      </w:pPr>
      <w:r>
        <w:t>(21)</w:t>
      </w:r>
      <w:r>
        <w:tab/>
      </w:r>
      <w:r>
        <w:rPr>
          <w:noProof/>
        </w:rPr>
        <w:t xml:space="preserve">Arvoltaan </w:t>
      </w:r>
      <w:r>
        <w:rPr>
          <w:noProof/>
        </w:rPr>
        <w:t xml:space="preserve">vähäisissä asioissa useimmat kuluttajat eivät todennäköisesti vaadi oikeuksiaan, sillä panostus olisi suurempi kuin yksilöllisen kanteen tuotto. Jos elinkeinonharjoittajan sama menettely kuitenkin kohdistuu moniin kuluttajiin, kokonaisvahingot voivat olla </w:t>
      </w:r>
      <w:r>
        <w:rPr>
          <w:noProof/>
        </w:rPr>
        <w:t>merkittäviä. Tällaisissa tapauksissa tuomioistuin tai viranomainen voi katsoa, että varojen jakaminen takaisin asianomaisille kuluttajille olisi kohtuutonta, esimerkiksi koska se olisi liian työlästä tai käytännössä mahdotonta. Sen vuoksi edustajakanteen a</w:t>
      </w:r>
      <w:r>
        <w:rPr>
          <w:noProof/>
        </w:rPr>
        <w:t>vulla hyvityksenä saadut varat palvelisivat paremmin kuluttajien yhteisten etujen suojaamista, ja ne olisi ohjattava johonkin kuluttaja-asiaa koskevaan yleiseen tarkoitukseen, kuten kuluttajien oikeusapurahastoon tai tiedotuskampanjoiden tai kuluttajaliikk</w:t>
      </w:r>
      <w:r>
        <w:rPr>
          <w:noProof/>
        </w:rPr>
        <w:t>eiden tukemiseen.</w:t>
      </w:r>
    </w:p>
    <w:p w:rsidR="00D03C46" w:rsidRDefault="00BD37FC">
      <w:pPr>
        <w:pStyle w:val="ManualConsidrant"/>
        <w:rPr>
          <w:noProof/>
        </w:rPr>
      </w:pPr>
      <w:r>
        <w:t>(22)</w:t>
      </w:r>
      <w:r>
        <w:tab/>
      </w:r>
      <w:r>
        <w:rPr>
          <w:noProof/>
        </w:rPr>
        <w:t>Toimenpiteitä, joiden tarkoituksena on poistaa rikkomisen jatkuvat vaikutukset, voidaan vaatia ainoastaan sellaisen lainvoimaisen päätöksen nojalla, jossa on vahvistettu, että tämän direktiivin soveltamisalaan kuuluvaa unionin lainsä</w:t>
      </w:r>
      <w:r>
        <w:rPr>
          <w:noProof/>
        </w:rPr>
        <w:t>ädäntöä on rikottu ja tällöin vahingoitettu kuluttajien yhteisiä etuja. Edustajakanteen johdosta annettu lainvoimainen kieltomääräys voi olla tällainen päätös. Toimenpiteitä, joiden tarkoituksena on poistaa rikkomisen jatkuvat vaikutukset, voidaan vaatia s</w:t>
      </w:r>
      <w:r>
        <w:rPr>
          <w:noProof/>
        </w:rPr>
        <w:t>illoin kun tuomioistuimen tai hallintoviranomaisen lainvoimainen päätös liittyy täytäntöönpanon valvontaan, joka perustuu kuluttajansuojaa koskevasta yhteistyöstä annettuun asetukseen (Euroopan parlamentin ja neuvoston asetus (EU) 2017/2394</w:t>
      </w:r>
      <w:r>
        <w:rPr>
          <w:rStyle w:val="FootnoteReference"/>
          <w:noProof/>
        </w:rPr>
        <w:footnoteReference w:id="33"/>
      </w:r>
      <w:r>
        <w:rPr>
          <w:noProof/>
        </w:rPr>
        <w:t>, annettu 12 pä</w:t>
      </w:r>
      <w:r>
        <w:rPr>
          <w:noProof/>
        </w:rPr>
        <w:t>ivänä joulukuuta 2017, kuluttajansuojalainsäädännön täytäntöönpanosta vastaavien kansallisten viranomaisten yhteistyöstä ja asetuksen (EY) N:o 2006/2004 kumoamisesta).</w:t>
      </w:r>
    </w:p>
    <w:p w:rsidR="00D03C46" w:rsidRDefault="00BD37FC">
      <w:pPr>
        <w:pStyle w:val="ManualConsidrant"/>
        <w:rPr>
          <w:noProof/>
        </w:rPr>
      </w:pPr>
      <w:r>
        <w:t>(23)</w:t>
      </w:r>
      <w:r>
        <w:tab/>
      </w:r>
      <w:r>
        <w:rPr>
          <w:noProof/>
        </w:rPr>
        <w:t>Tässä direktiivissä säädetyllä prosessioikeudellisella mekanismilla ei vaikuteta sä</w:t>
      </w:r>
      <w:r>
        <w:rPr>
          <w:noProof/>
        </w:rPr>
        <w:t>äntöihin, joiden mukaan kuluttajilla on aineellinen oikeus sopimusoikeudelliseen ja muuhun kuin sopimusoikeudelliseen hyvitykseen siinä tapauksessa, että heidän etujaan on vahingoitettu. Tällaisia hyvitysmuotoja ovat esimerkiksi oikeus vahingonkorvaukseen,</w:t>
      </w:r>
      <w:r>
        <w:rPr>
          <w:noProof/>
        </w:rPr>
        <w:t xml:space="preserve"> sopimuksen purkaminen, maksetun kauppahinnan palautus, tavaran vaihtaminen tai korjaaminen sekä hinnan alennus. Tässä direktiivissä </w:t>
      </w:r>
      <w:r>
        <w:rPr>
          <w:noProof/>
        </w:rPr>
        <w:lastRenderedPageBreak/>
        <w:t>tarkoitettu edustajakanne, jolla vaaditaan hyvitystä, voidaan nostaa ainoastaan siitä tapauksessa, että unionin tai kansall</w:t>
      </w:r>
      <w:r>
        <w:rPr>
          <w:noProof/>
        </w:rPr>
        <w:t xml:space="preserve">isessa lainsäädännössä on säädetty tällaisesta aineellisesta oikeudesta hyvitykseen. </w:t>
      </w:r>
    </w:p>
    <w:p w:rsidR="00D03C46" w:rsidRDefault="00BD37FC">
      <w:pPr>
        <w:pStyle w:val="ManualConsidrant"/>
        <w:rPr>
          <w:noProof/>
          <w:szCs w:val="24"/>
        </w:rPr>
      </w:pPr>
      <w:r>
        <w:t>(24)</w:t>
      </w:r>
      <w:r>
        <w:tab/>
      </w:r>
      <w:r>
        <w:rPr>
          <w:noProof/>
        </w:rPr>
        <w:t>Tällä direktiivillä ei korvata jäsenvaltioiden voimassa olevia kollektiivisia hyvitysmekanismeja. Direktiivissä annetaan jäsenvaltioille mahdollisuus omien oikeudell</w:t>
      </w:r>
      <w:r>
        <w:rPr>
          <w:noProof/>
        </w:rPr>
        <w:t>isten perinteidensä pohjalta harkita, olisiko tässä direktiivissä tarkoitettu edustajakanne otettava osaksi voimassa olevaa tai tulevaa kollektiivista hyvitysmekanismia vai olisiko se pidettävä näiden mekanismien vaihtoehtona. Lopputuloksen olisi kuitenkin</w:t>
      </w:r>
      <w:r>
        <w:rPr>
          <w:noProof/>
        </w:rPr>
        <w:t xml:space="preserve"> oltava tämän direktiivin sääntöjen mukainen.  </w:t>
      </w:r>
    </w:p>
    <w:p w:rsidR="00D03C46" w:rsidRDefault="00BD37FC">
      <w:pPr>
        <w:pStyle w:val="ManualConsidrant"/>
        <w:rPr>
          <w:noProof/>
        </w:rPr>
      </w:pPr>
      <w:r>
        <w:t>(25)</w:t>
      </w:r>
      <w:r>
        <w:tab/>
      </w:r>
      <w:r>
        <w:rPr>
          <w:noProof/>
        </w:rPr>
        <w:t xml:space="preserve">Oikeutettujen yksiköiden olisi oltava täysin avoimia rahoituslähteidensä suhteen. Tämä koskee toimintaa yleensä mutta myös yksittäisiä edustajakanteita, joilla haetaan hyvitystä. Näin tuomioistuimen tai </w:t>
      </w:r>
      <w:r>
        <w:rPr>
          <w:noProof/>
        </w:rPr>
        <w:t>hallintoviranomaisen on mahdollista arvioida, saattaako rahoittajana toimivan kolmannen osapuolen ja oikeutetun yksikön välillä olla eturistiriita. Lisäksi näin voidaan välttää perusteettomia oikeudenkäyntejä sekä arvioida, onko rahoittajana toimivalla kol</w:t>
      </w:r>
      <w:r>
        <w:rPr>
          <w:noProof/>
        </w:rPr>
        <w:t>mannella osapuolella riittävät resurssit, jotta se voi täyttää rahoitukselliset sitoumuksensa oikeutettua yksikköä kohtaan. Edustajakannetta käsittelevän tuomioistuimen tai hallintoviranomaisen olisi voitava oikeutetun yksikön toimittamien tietojen peruste</w:t>
      </w:r>
      <w:r>
        <w:rPr>
          <w:noProof/>
        </w:rPr>
        <w:t>ella arvioida, onko kolmannella osapuolella mahdollisuus vaikuttaa oikeutetun yksikön edustajakanteen yhteydessä tekemiin prosessipäätöksiin, sovinnot mukaan lukien. Lisäksi sen olisi voitava arvioida, antaako kolmas osapuoli rahoitusta sellaiselle hyvitys</w:t>
      </w:r>
      <w:r>
        <w:rPr>
          <w:noProof/>
        </w:rPr>
        <w:t>tä koskevalle edustajakanteelle, jossa vastaajana on rahoituksen antajan kilpailija tai jonka vastaajasta rahoituksen antaja on riippuvainen. Jos jompikumpi näistä olosuhteista voidaan vahvistaa, tuomioistuimella tai hallintoviranomaisella olisi oltava oik</w:t>
      </w:r>
      <w:r>
        <w:rPr>
          <w:noProof/>
        </w:rPr>
        <w:t>eus vaatia, että oikeutettu yksikkö kieltäytyy kyseisestä rahoituksesta. Tarvittaessa tuomioistuimen tai hallintoviranomaisen olisi myös voitava todeta, että oikeutetulla yksiköllä ei ole kanneoikeutta kyseisessä edustajakanteessa.</w:t>
      </w:r>
    </w:p>
    <w:p w:rsidR="00D03C46" w:rsidRDefault="00BD37FC">
      <w:pPr>
        <w:pStyle w:val="ManualConsidrant"/>
        <w:rPr>
          <w:noProof/>
        </w:rPr>
      </w:pPr>
      <w:r>
        <w:t>(26)</w:t>
      </w:r>
      <w:r>
        <w:tab/>
      </w:r>
      <w:r>
        <w:rPr>
          <w:noProof/>
        </w:rPr>
        <w:t>Ennen edustajakante</w:t>
      </w:r>
      <w:r>
        <w:rPr>
          <w:noProof/>
        </w:rPr>
        <w:t>en nostamista ja kaikissa kanteen käsittelyvaiheissa olisi rohkaistava tuomioistuinten ulkopuolisiin kollektiivisiin sovintoratkaisuihin, joissa vahinkoa kärsineet kuluttajat saavat hyvitystä.</w:t>
      </w:r>
    </w:p>
    <w:p w:rsidR="00D03C46" w:rsidRDefault="00BD37FC">
      <w:pPr>
        <w:pStyle w:val="ManualConsidrant"/>
        <w:rPr>
          <w:noProof/>
        </w:rPr>
      </w:pPr>
      <w:r>
        <w:t>(27)</w:t>
      </w:r>
      <w:r>
        <w:tab/>
      </w:r>
      <w:r>
        <w:rPr>
          <w:noProof/>
        </w:rPr>
        <w:t>Jäsenvaltiot voivat säätää, että kun oikeutettu yksikkö ja</w:t>
      </w:r>
      <w:r>
        <w:rPr>
          <w:noProof/>
        </w:rPr>
        <w:t xml:space="preserve"> elinkeinonharjoittaja ovat saavuttaneet sovintoratkaisun hyvityksestä, joka elinkeinonharjoittajan on annettava väitetyn laittoman menettelynsä vuoksi vahinkoa kärsineille kuluttajille, oikeutettu yksikkö ja elinkeinonharjoittaja voivat yhdessä pyytää tuo</w:t>
      </w:r>
      <w:r>
        <w:rPr>
          <w:noProof/>
        </w:rPr>
        <w:t>mioistuinta tai hallintoviranomaista hyväksymään sovintoratkaisun. Tuomioistuimen tai hallintoviranomaisen olisi tutkittava pyyntö ainoastaan, jos muita elinkeinonharjoittajan samaa menettelyä koskevia edustajakanteita ei ole vireillä. Toimivaltaisen tuomi</w:t>
      </w:r>
      <w:r>
        <w:rPr>
          <w:noProof/>
        </w:rPr>
        <w:t xml:space="preserve">oistuimen tai hallintoviranomaisen olisi tällaista kollektiivista sovintoratkaisua hyväksyessään otettava huomioon kaikkien osapuolten, mukaan lukien yksittäisten kuluttajien, edut ja oikeudet. Yksittäisille kuluttajille on annettava mahdollisuus hyväksyä </w:t>
      </w:r>
      <w:r>
        <w:rPr>
          <w:noProof/>
        </w:rPr>
        <w:t>tai hylätä tällaisen sovintoratkaisun sitovuus itseään kohtaan.</w:t>
      </w:r>
    </w:p>
    <w:p w:rsidR="00D03C46" w:rsidRDefault="00BD37FC">
      <w:pPr>
        <w:pStyle w:val="ManualConsidrant"/>
        <w:rPr>
          <w:noProof/>
        </w:rPr>
      </w:pPr>
      <w:r>
        <w:t>(28)</w:t>
      </w:r>
      <w:r>
        <w:tab/>
      </w:r>
      <w:r>
        <w:rPr>
          <w:noProof/>
        </w:rPr>
        <w:t>Tuomioistuimella ja hallintoviranomaisella olisi oltava valtuudet kehottaa sääntöjä rikkonutta elinkeinonharjoittajaa ja oikeutettua yksikköä, joka on nostanut edustajakanteen, käynnistäm</w:t>
      </w:r>
      <w:r>
        <w:rPr>
          <w:noProof/>
        </w:rPr>
        <w:t>ään neuvottelut, joiden tavoitteena on sovintoratkaisu hyvityksen myöntämisestä vahinkoa kärsineille kuluttajille. Kun päätetään, kehotetaanko osapuolia ratkaisemaan riita tuomioistuimen ulkopuolella, olisi otettava huomioon, minkä tyyppistä rikkomista kan</w:t>
      </w:r>
      <w:r>
        <w:rPr>
          <w:noProof/>
        </w:rPr>
        <w:t xml:space="preserve">ne koskee, millaisia kuluttajia asia koskee, </w:t>
      </w:r>
      <w:r>
        <w:rPr>
          <w:noProof/>
        </w:rPr>
        <w:lastRenderedPageBreak/>
        <w:t>millaista hyvitystä voitaisiin tarjota, ovatko osapuolet halukkaita sovintoratkaisuun ja onko menettely tarkoituksenmukainen.</w:t>
      </w:r>
    </w:p>
    <w:p w:rsidR="00D03C46" w:rsidRDefault="00BD37FC">
      <w:pPr>
        <w:pStyle w:val="ManualConsidrant"/>
        <w:rPr>
          <w:noProof/>
        </w:rPr>
      </w:pPr>
      <w:r>
        <w:t>(29)</w:t>
      </w:r>
      <w:r>
        <w:tab/>
      </w:r>
      <w:r>
        <w:rPr>
          <w:noProof/>
        </w:rPr>
        <w:t>Jotta yksittäisten kuluttajien olisi helpompaa saada hyvitystä sellaisen vahvist</w:t>
      </w:r>
      <w:r>
        <w:rPr>
          <w:noProof/>
        </w:rPr>
        <w:t>ustuomion perusteella, joka annetaan edustajakanteen yhteydessä elinkeinonharjoittajan hyvitysvelvollisuudesta suhteessa rikkomisen vuoksi vahinkoa kärsineisiin kuluttajiin, vahvistustuomion antaneella tuomioistuimella tai hallintoviranomaisella olisi olta</w:t>
      </w:r>
      <w:r>
        <w:rPr>
          <w:noProof/>
        </w:rPr>
        <w:t>va valtuudet kehottaa oikeutettua yksikköä ja elinkeinonharjoittajaa pyrkimään kollektiiviseen sovintoon.</w:t>
      </w:r>
    </w:p>
    <w:p w:rsidR="00D03C46" w:rsidRDefault="00BD37FC">
      <w:pPr>
        <w:pStyle w:val="ManualConsidrant"/>
        <w:rPr>
          <w:noProof/>
        </w:rPr>
      </w:pPr>
      <w:r>
        <w:t>(30)</w:t>
      </w:r>
      <w:r>
        <w:tab/>
      </w:r>
      <w:r>
        <w:rPr>
          <w:noProof/>
        </w:rPr>
        <w:t>Kaikille tuomioistuimen ulkopuolisille sovintoratkaisuille, jotka on tehty edustajakanteen yhteydessä tai jotka perustuvat lainvoimaiseen vahvist</w:t>
      </w:r>
      <w:r>
        <w:rPr>
          <w:noProof/>
        </w:rPr>
        <w:t>ustuomioon, olisi saatava asianomaisen toimivaltaisen tuomioistuimen tai hallintoviranomaisen hyväksyntä, jotta voitaisiin varmistaa sovintoratkaisun lain- ja oikeudenmukaisuus kaikkien osapuolten edut ja oikeudet huomioon ottaen. Yksittäisille kuluttajill</w:t>
      </w:r>
      <w:r>
        <w:rPr>
          <w:noProof/>
        </w:rPr>
        <w:t>e on annettava mahdollisuus hyväksyä tai hylätä tällaisen sovintoratkaisun sitovuus itseään kohtaan.</w:t>
      </w:r>
    </w:p>
    <w:p w:rsidR="00D03C46" w:rsidRDefault="00BD37FC">
      <w:pPr>
        <w:pStyle w:val="ManualConsidrant"/>
        <w:rPr>
          <w:noProof/>
        </w:rPr>
      </w:pPr>
      <w:r>
        <w:t>(31)</w:t>
      </w:r>
      <w:r>
        <w:tab/>
      </w:r>
      <w:r>
        <w:rPr>
          <w:noProof/>
        </w:rPr>
        <w:t>Jotta edustajakanne voisi menestyä, on varmistettava, että kuluttajat tietävät siitä. Kuluttajille olisi tiedotettava vireillä olevasta edustajakantee</w:t>
      </w:r>
      <w:r>
        <w:rPr>
          <w:noProof/>
        </w:rPr>
        <w:t>sta, heille olisi kerrottava, että elinkeinonharjoittajan menettelyä on pidetty lain rikkomisena, ja heille olisi annettava tieto siitä, mitä oikeuksia heillä on sen jälkeen kun rikkominen on vahvistettu ja mitä heidän on myöhemmin tehtävä erityisesti hyvi</w:t>
      </w:r>
      <w:r>
        <w:rPr>
          <w:noProof/>
        </w:rPr>
        <w:t>tyksen saamiseksi. Kun tieto rikkomisesta leviää, elinkeinonharjoittajan maine joutuu vaaraan. Tämä on tärkeä tekijä, joka voi estää elinkeinonharjoittajia rikkomasta kuluttajien oikeuksia.</w:t>
      </w:r>
    </w:p>
    <w:p w:rsidR="00D03C46" w:rsidRDefault="00BD37FC">
      <w:pPr>
        <w:pStyle w:val="ManualConsidrant"/>
        <w:rPr>
          <w:noProof/>
        </w:rPr>
      </w:pPr>
      <w:r>
        <w:t>(32)</w:t>
      </w:r>
      <w:r>
        <w:tab/>
      </w:r>
      <w:r>
        <w:rPr>
          <w:noProof/>
        </w:rPr>
        <w:t>Jotta tiedotuksella olisi vaikutusta, tietoa on annettava rii</w:t>
      </w:r>
      <w:r>
        <w:rPr>
          <w:noProof/>
        </w:rPr>
        <w:t>ttävästi ja oikeassa suhteessa tapauksen olosuhteisiin. Sääntöjä rikkoneen elinkeinonharjoittajan olisi tiedotettava asianmukaisesti kaikille asiaan liittyville kuluttajille lainvoimaisista kielto- ja hyvitysmääräyksistä, joita edustajakanteen yhteydessä o</w:t>
      </w:r>
      <w:r>
        <w:rPr>
          <w:noProof/>
        </w:rPr>
        <w:t>n annettu, sekä sovintoratkaisuista, jotka tuomioistuin tai hallintoviranomainen on hyväksynyt. Tällaiset tiedot voidaan antaa esimerkiksi elinkeinonharjoittajan verkkosivustolla, sosiaalisessa mediassa, verkossa toimivilla markkinapaikoilla tai suosituiss</w:t>
      </w:r>
      <w:r>
        <w:rPr>
          <w:noProof/>
        </w:rPr>
        <w:t>a sanomalehdissä, pelkästään sähköisesti levitettävät mukaan lukien. Jos mahdollista, tiedot olisi annettava kuluttajille henkilökohtaisesti joko sähköpostiviestillä tai paperimuotoisella kirjeellä. Vammaisille nämä tiedot olisi pyydettäessä annettava este</w:t>
      </w:r>
      <w:r>
        <w:rPr>
          <w:noProof/>
        </w:rPr>
        <w:t>ettömässä muodossa.</w:t>
      </w:r>
    </w:p>
    <w:p w:rsidR="00D03C46" w:rsidRDefault="00BD37FC">
      <w:pPr>
        <w:pStyle w:val="ManualConsidrant"/>
        <w:rPr>
          <w:noProof/>
        </w:rPr>
      </w:pPr>
      <w:r>
        <w:t>(33)</w:t>
      </w:r>
      <w:r>
        <w:tab/>
      </w:r>
      <w:r>
        <w:rPr>
          <w:noProof/>
        </w:rPr>
        <w:t xml:space="preserve">Kun tuomioistuin tai hallintoviranomainen on lainvoimaisella päätöksellä, esimerkiksi tämän direktiivin mukaisessa lainvoimaisessa kieltomääräyksessä, todennut, että rikkominen on tapahtunut, tätä johtopäätöstä, siltä osin kuin on </w:t>
      </w:r>
      <w:r>
        <w:rPr>
          <w:noProof/>
        </w:rPr>
        <w:t>kyse rikkomisen luonteesta sekä lainvoimaisessa päätöksessä vahvistetusta rikkomisen aineellisesta, henkilöllisestä, ajallisesta ja alueellisesta ulottuvuudesta, ei pitäisi ottaa uudelleen oikeudenkäynnin kohteeksi käsiteltäessä myöhemmin kannetta, joka ko</w:t>
      </w:r>
      <w:r>
        <w:rPr>
          <w:noProof/>
        </w:rPr>
        <w:t>skee saman elinkeinonharjoittajan samaa rikkomista. Noudattamalla tätä periaatetta vahvistetaan oikeusvarmuutta, vältetään epäjohdonmukaisuutta unionin oikeuden soveltamisessa sekä lisätään edustajakanteiden ja niiden jatkotoimina esitettävien mahdollisten</w:t>
      </w:r>
      <w:r>
        <w:rPr>
          <w:noProof/>
        </w:rPr>
        <w:t xml:space="preserve"> hyvitysvaatimusten vaikuttavuutta ja menettelyllistä tehokkuutta. Kun kanne, jossa vaaditaan rikkomisen jatkuvien vaikutusten poistamista, mukaan lukien hyvitystä, on nostettu muussa jäsenvaltiossa kuin siinä, jossa rikkominen on lainvoimaisella päätöksel</w:t>
      </w:r>
      <w:r>
        <w:rPr>
          <w:noProof/>
        </w:rPr>
        <w:t>lä todettu, tämän päätöksen olisi muodostettava kumottavissa oleva olettama siitä, että rikkominen on tapahtunut.</w:t>
      </w:r>
    </w:p>
    <w:p w:rsidR="00D03C46" w:rsidRDefault="00BD37FC">
      <w:pPr>
        <w:pStyle w:val="ManualConsidrant"/>
        <w:rPr>
          <w:noProof/>
        </w:rPr>
      </w:pPr>
      <w:r>
        <w:lastRenderedPageBreak/>
        <w:t>(34)</w:t>
      </w:r>
      <w:r>
        <w:tab/>
      </w:r>
      <w:r>
        <w:rPr>
          <w:noProof/>
        </w:rPr>
        <w:t>Jäsenvaltioiden olisi varmistettava, että yksilölliset hyvityskanteet voivat perustua edustajakanteen johdosta annettuun lainvoimaiseen v</w:t>
      </w:r>
      <w:r>
        <w:rPr>
          <w:noProof/>
        </w:rPr>
        <w:t>ahvistustuomioon. Tällaisia yksilöllisiä kanteita varten olisi oltava käytettävissä nopeutettuja ja yksinkertaistettuja menettelyjä.</w:t>
      </w:r>
    </w:p>
    <w:p w:rsidR="00D03C46" w:rsidRDefault="00BD37FC">
      <w:pPr>
        <w:pStyle w:val="ManualConsidrant"/>
        <w:rPr>
          <w:noProof/>
        </w:rPr>
      </w:pPr>
      <w:r>
        <w:t>(35)</w:t>
      </w:r>
      <w:r>
        <w:tab/>
      </w:r>
      <w:r>
        <w:rPr>
          <w:noProof/>
        </w:rPr>
        <w:t>Vanhentumisaikoja koskevilla kansallisilla säännöillä ei pitäisi estää sellaisten hyvityskanteiden nostamista, jotka p</w:t>
      </w:r>
      <w:r>
        <w:rPr>
          <w:noProof/>
        </w:rPr>
        <w:t xml:space="preserve">erustuvat siihen, että rikkominen on vahvistettu tämän direktiivin mukaisessa lainvoimaisessa kieltomääräyksessä tai elinkeinonharjoittajan vastuuta suhteessa vahinkoa kärsineisiin kuluttajiin koskevassa lainvoimaisessa vahvistustuomiossa. Edustajakanteen </w:t>
      </w:r>
      <w:r>
        <w:rPr>
          <w:noProof/>
        </w:rPr>
        <w:t>nostaminen lykkää tai keskeyttää hyvityskannetta koskevien vanhentumisaikojen kulumisen sellaisten kuluttajien osalta, joita edustajakanne koskee.</w:t>
      </w:r>
    </w:p>
    <w:p w:rsidR="00D03C46" w:rsidRDefault="00BD37FC">
      <w:pPr>
        <w:pStyle w:val="ManualConsidrant"/>
        <w:rPr>
          <w:noProof/>
        </w:rPr>
      </w:pPr>
      <w:r>
        <w:t>(36)</w:t>
      </w:r>
      <w:r>
        <w:tab/>
      </w:r>
      <w:r>
        <w:rPr>
          <w:noProof/>
        </w:rPr>
        <w:t>Edustajakanteet, joissa vaaditaan kieltomääräystä, olisi käsiteltävä tuomioistuimessa tarkoituksenmukais</w:t>
      </w:r>
      <w:r>
        <w:rPr>
          <w:noProof/>
        </w:rPr>
        <w:t>ta menettelyä noudattaen. Väliaikaisia kieltomääräyksiä koskevat asiat olisi aina käsiteltävä nopeutetussa menettelyssä, jotta rikkomisesta ei aiheutuisi vahinkoa tai lisävahinkoa.</w:t>
      </w:r>
    </w:p>
    <w:p w:rsidR="00D03C46" w:rsidRDefault="00BD37FC">
      <w:pPr>
        <w:pStyle w:val="ManualConsidrant"/>
        <w:rPr>
          <w:noProof/>
        </w:rPr>
      </w:pPr>
      <w:r>
        <w:t>(37)</w:t>
      </w:r>
      <w:r>
        <w:tab/>
      </w:r>
      <w:r>
        <w:rPr>
          <w:noProof/>
        </w:rPr>
        <w:t>Todisteet ovat tärkeitä, kun päätetään, rikkooko tietty elinkeinonharj</w:t>
      </w:r>
      <w:r>
        <w:rPr>
          <w:noProof/>
        </w:rPr>
        <w:t>oittajan menettely lakia, onko vaaraa rikkomisen toistumisesta, keitä kuluttajia rikkominen koskee, millainen hyvitys on määrättävä ja miten edustajakanteen piiriin kuuluville kuluttajille olisi tiedotettava vireillä olevasta oikeudenkäynnistä ja sen tulok</w:t>
      </w:r>
      <w:r>
        <w:rPr>
          <w:noProof/>
        </w:rPr>
        <w:t>sista. Tiedot kuitenkin jakautuvat yleensä epätasaisesti elinkeinonharjoittajien ja kuluttajien välillä, ja tarvittavat tiedot voivat olla yksinomaan elinkeinonharjoittajan hallussa ja näin ollen oikeutetun yksikön ulottumattomissa. Oikeutetuilla yksiköill</w:t>
      </w:r>
      <w:r>
        <w:rPr>
          <w:noProof/>
        </w:rPr>
        <w:t>ä pitäisi siksi olla oikeus pyytää toimivaltaiselta tuomioistuimelta tai hallintoviranomaiselta, että elinkeinonharjoittaja määrätään esittämään todisteet, joilla on merkitystä kanteen ajamisen kannalta tai jotka ovat tarpeen, jotta kanteesta voidaan tiedo</w:t>
      </w:r>
      <w:r>
        <w:rPr>
          <w:noProof/>
        </w:rPr>
        <w:t>ttaa asianmukaisesti kuluttajille, joita asia koskee. Oikeutetun yksikön ei tarvitsisi yksilöidä kutakin todistetta, joka elinkeinonharjoittajan on esitettävä. Edustajakannetta käsittelevän tuomioistuimen tai hallintoviranomaisen olisi arvioitava huolellis</w:t>
      </w:r>
      <w:r>
        <w:rPr>
          <w:noProof/>
        </w:rPr>
        <w:t>esti esittämisvelvollisuuden tarvetta, soveltamisalaa ja oikeasuhteisuutta. Tällöin olisi otettava huomioon kolmansien osapuolten oikeutettujen etujen suojaaminen sekä sovellettavat unionin ja kansalliset salassapitosäännöt.</w:t>
      </w:r>
    </w:p>
    <w:p w:rsidR="00D03C46" w:rsidRDefault="00BD37FC">
      <w:pPr>
        <w:pStyle w:val="ManualConsidrant"/>
        <w:rPr>
          <w:noProof/>
        </w:rPr>
      </w:pPr>
      <w:r>
        <w:t>(38)</w:t>
      </w:r>
      <w:r>
        <w:tab/>
      </w:r>
      <w:r>
        <w:rPr>
          <w:noProof/>
        </w:rPr>
        <w:t>Jotta varmistettaisiin, et</w:t>
      </w:r>
      <w:r>
        <w:rPr>
          <w:noProof/>
        </w:rPr>
        <w:t>tä edustajakanteet ovat vaikuttavia, sääntöjä rikkoneelle elinkeinonharjoittajalle on määrättävä tehokkaita, varoittavia ja oikeasuhteisia seuraamuksia edustajakanteeseen annetun lainvoimaisen päätöksen noudattamatta jättämisestä.</w:t>
      </w:r>
    </w:p>
    <w:p w:rsidR="00D03C46" w:rsidRDefault="00BD37FC">
      <w:pPr>
        <w:pStyle w:val="ManualConsidrant"/>
        <w:rPr>
          <w:noProof/>
        </w:rPr>
      </w:pPr>
      <w:r>
        <w:t>(39)</w:t>
      </w:r>
      <w:r>
        <w:tab/>
      </w:r>
      <w:r>
        <w:rPr>
          <w:noProof/>
        </w:rPr>
        <w:t>Koska edustajakantei</w:t>
      </w:r>
      <w:r>
        <w:rPr>
          <w:noProof/>
        </w:rPr>
        <w:t>lla ajetaan yleistä etua suojaamalla kuluttajien yhteisiä etuja, jäsenvaltioiden olisi varmistettava, että menettelyihin liittyvät kulut eivät estä oikeutettuja yksiköitä nostamasta tämän direktiivin mukaisia edustajakanteita.</w:t>
      </w:r>
    </w:p>
    <w:p w:rsidR="00D03C46" w:rsidRDefault="00BD37FC">
      <w:pPr>
        <w:pStyle w:val="ManualConsidrant"/>
        <w:rPr>
          <w:noProof/>
        </w:rPr>
      </w:pPr>
      <w:r>
        <w:t>(40)</w:t>
      </w:r>
      <w:r>
        <w:tab/>
      </w:r>
      <w:r>
        <w:rPr>
          <w:noProof/>
        </w:rPr>
        <w:t>Eri jäsenvaltioiden oike</w:t>
      </w:r>
      <w:r>
        <w:rPr>
          <w:noProof/>
        </w:rPr>
        <w:t>utettujen yksiköiden yhteistyö ja tietojenvaihto ovat osoittautuneet hyödyllisiksi puututtaessa rajat ylittäviin rikkomisiin. Valmiuksien kehittämistä ja yhteistyötä on tarpeellista jatkaa, ja näihin toimiin olisi saatava mukaan enemmän oikeutettuja yksikö</w:t>
      </w:r>
      <w:r>
        <w:rPr>
          <w:noProof/>
        </w:rPr>
        <w:t>itä kaikkialta unionin alueelta. Näin voitaisiin lisätä rajat ylittävien edustajakanteiden hyödyntämistä.</w:t>
      </w:r>
    </w:p>
    <w:p w:rsidR="00D03C46" w:rsidRDefault="00BD37FC">
      <w:pPr>
        <w:pStyle w:val="ManualConsidrant"/>
        <w:rPr>
          <w:rFonts w:eastAsia="Times New Roman"/>
          <w:noProof/>
        </w:rPr>
      </w:pPr>
      <w:r>
        <w:t>(41)</w:t>
      </w:r>
      <w:r>
        <w:tab/>
      </w:r>
      <w:r>
        <w:rPr>
          <w:noProof/>
        </w:rPr>
        <w:t>Jotta voitaisiin puuttua tuloksellisesti rikkomisiin, joilla on rajat ylittäviä vaikutuksia, olisi varmistettava, että jäsenvaltiot tunnustavat v</w:t>
      </w:r>
      <w:r>
        <w:rPr>
          <w:noProof/>
        </w:rPr>
        <w:t xml:space="preserve">astavuoroisesti muiden jäsenvaltioiden etukäteen nimeämien oikeutettujen yksiköiden kanneoikeuden. Tällöin yhdessä jäsenvaltiossa nimetty oikeutettu yksikkö voisi nostaa edustajakanteen </w:t>
      </w:r>
      <w:r>
        <w:rPr>
          <w:noProof/>
        </w:rPr>
        <w:lastRenderedPageBreak/>
        <w:t>toisessa jäsenvaltiossa. Lisäksi olisi oltava mahdollista, että eri jä</w:t>
      </w:r>
      <w:r>
        <w:rPr>
          <w:noProof/>
        </w:rPr>
        <w:t>senvaltioista olevat oikeutetut yksiköt nostavat yhteisen edustajakanteen yhdessä ja samassa oikeuspaikassa, joka on sovellettavien sääntöjen mukaan toimivaltainen. Yhden oikeutetun yksikön olisi tehokkuus- ja vaikuttavuussyistä voitava nostaa edustajakann</w:t>
      </w:r>
      <w:r>
        <w:rPr>
          <w:noProof/>
        </w:rPr>
        <w:t>e muiden jäsenvaltioiden kuluttajia edustavien oikeutettujen yksiköiden nimissä.</w:t>
      </w:r>
    </w:p>
    <w:p w:rsidR="00D03C46" w:rsidRDefault="00BD37FC">
      <w:pPr>
        <w:pStyle w:val="ManualConsidrant"/>
        <w:rPr>
          <w:noProof/>
        </w:rPr>
      </w:pPr>
      <w:r>
        <w:t>(42)</w:t>
      </w:r>
      <w:r>
        <w:tab/>
      </w:r>
      <w:r>
        <w:rPr>
          <w:noProof/>
        </w:rPr>
        <w:t>Tässä direktiivissä kunnioitetaan perusoikeuksia ja otetaan huomioon erityisesti Euroopan unionin perusoikeuskirjassa tunnustetut periaatteet. Tätä direktiiviä olisi näin</w:t>
      </w:r>
      <w:r>
        <w:rPr>
          <w:noProof/>
        </w:rPr>
        <w:t xml:space="preserve"> ollen tulkittava ja sovellettava kyseisten oikeuksien ja periaatteiden mukaisesti, mukaan lukien vaatimukset, jotka koskevat oikeutta tehokkaisiin oikeussuojakeinoihin ja oikeudenmukaiseen oikeudenkäyntiin sekä oikeutta puolustukseen.</w:t>
      </w:r>
    </w:p>
    <w:p w:rsidR="00D03C46" w:rsidRDefault="00BD37FC">
      <w:pPr>
        <w:pStyle w:val="ManualConsidrant"/>
        <w:rPr>
          <w:noProof/>
        </w:rPr>
      </w:pPr>
      <w:r>
        <w:t>(43)</w:t>
      </w:r>
      <w:r>
        <w:tab/>
      </w:r>
      <w:r>
        <w:rPr>
          <w:noProof/>
        </w:rPr>
        <w:t>Ympäristölainsä</w:t>
      </w:r>
      <w:r>
        <w:rPr>
          <w:noProof/>
        </w:rPr>
        <w:t>ädännön osalta tässä direktiivissä otetaan huomioon tiedon saannista, kansalaisten osallistumisoikeudesta päätöksentekoon sekä muutoksenhaku- ja vireillepano-oikeudesta ympäristöasioissa tehty YK:n Euroopan talouskomission (UNECE) yleissopimus (Århusin yle</w:t>
      </w:r>
      <w:r>
        <w:rPr>
          <w:noProof/>
        </w:rPr>
        <w:t>issopimus).</w:t>
      </w:r>
    </w:p>
    <w:p w:rsidR="00D03C46" w:rsidRDefault="00BD37FC">
      <w:pPr>
        <w:pStyle w:val="ManualConsidrant"/>
        <w:rPr>
          <w:noProof/>
          <w:szCs w:val="20"/>
        </w:rPr>
      </w:pPr>
      <w:r>
        <w:t>(44)</w:t>
      </w:r>
      <w:r>
        <w:tab/>
      </w:r>
      <w:r>
        <w:rPr>
          <w:noProof/>
        </w:rPr>
        <w:t xml:space="preserve">Tämän direktiivin tavoitteena on luoda edustajakanteita koskeva mekanismi, jolla suojataan kuluttajien yhteisiä etuja ja näin varmistetaan kuluttajansuojan korkea taso koko unionissa ja turvataan sisämarkkinoiden moitteeton toiminta. Tätä </w:t>
      </w:r>
      <w:r>
        <w:rPr>
          <w:noProof/>
        </w:rPr>
        <w:t xml:space="preserve">tavoitetta ei voida riittävästi saavuttaa yksinomaan jäsenvaltioiden toimilla, vaan edustajakanteiden rajat ylittävien vaikutusten vuoksi tavoite saavutetaan helpommin unionin tasolla. Tämän vuoksi unioni voi toteuttaa Euroopan unionista tehdyn sopimuksen </w:t>
      </w:r>
      <w:r>
        <w:rPr>
          <w:noProof/>
        </w:rPr>
        <w:t>5 artiklassa vahvistetun toissijaisuusperiaatteen mukaisia toimenpiteitä. Mainitussa artiklassa vahvistetun suhteellisuusperiaatteen mukaisesti tässä direktiivissä ei ylitetä sitä, mikä on tarpeen näiden tavoitteiden saavuttamiseksi.</w:t>
      </w:r>
    </w:p>
    <w:p w:rsidR="00D03C46" w:rsidRDefault="00BD37FC">
      <w:pPr>
        <w:pStyle w:val="ManualConsidrant"/>
        <w:rPr>
          <w:noProof/>
        </w:rPr>
      </w:pPr>
      <w:r>
        <w:t>(45)</w:t>
      </w:r>
      <w:r>
        <w:tab/>
      </w:r>
      <w:r>
        <w:rPr>
          <w:noProof/>
        </w:rPr>
        <w:t>Jäsenvaltiot ovat</w:t>
      </w:r>
      <w:r>
        <w:rPr>
          <w:noProof/>
        </w:rPr>
        <w:t xml:space="preserve"> selittävistä asiakirjoista 28 päivänä syyskuuta 2011 annetun jäsenvaltioiden ja komission yhteisen poliittisen lausuman</w:t>
      </w:r>
      <w:r>
        <w:rPr>
          <w:rStyle w:val="FootnoteReference"/>
          <w:noProof/>
        </w:rPr>
        <w:footnoteReference w:id="34"/>
      </w:r>
      <w:r>
        <w:rPr>
          <w:noProof/>
        </w:rPr>
        <w:t xml:space="preserve"> mukaisesti sitoutuneet perustelluissa tapauksissa liittämään ilmoitukseen toimenpiteistä, jotka koskevat direktiivin saattamista osaks</w:t>
      </w:r>
      <w:r>
        <w:rPr>
          <w:noProof/>
        </w:rPr>
        <w:t>i kansallista lainsäädäntöä, yhden tai useamman asiakirjan, joista käy ilmi direktiivin osien ja kansallisen lainsäädännön osaksi saattamiseen tarkoitettujen välineiden vastaavien osien suhde. Lainsäätäjä pitää tällaisten asiakirjojen toimittamista tämän d</w:t>
      </w:r>
      <w:r>
        <w:rPr>
          <w:noProof/>
        </w:rPr>
        <w:t>irektiivin osalta perusteltuna.</w:t>
      </w:r>
    </w:p>
    <w:p w:rsidR="00D03C46" w:rsidRDefault="00BD37FC">
      <w:pPr>
        <w:pStyle w:val="ManualConsidrant"/>
        <w:rPr>
          <w:noProof/>
        </w:rPr>
      </w:pPr>
      <w:r>
        <w:t>(46)</w:t>
      </w:r>
      <w:r>
        <w:tab/>
      </w:r>
      <w:r>
        <w:rPr>
          <w:noProof/>
        </w:rPr>
        <w:t>On aiheellista vahvistaa säännöt tämän direktiivin ajallisesta soveltamisesta.</w:t>
      </w:r>
    </w:p>
    <w:p w:rsidR="00D03C46" w:rsidRDefault="00BD37FC">
      <w:pPr>
        <w:pStyle w:val="ManualConsidrant"/>
        <w:rPr>
          <w:noProof/>
        </w:rPr>
      </w:pPr>
      <w:r>
        <w:t>(47)</w:t>
      </w:r>
      <w:r>
        <w:tab/>
      </w:r>
      <w:r>
        <w:rPr>
          <w:noProof/>
        </w:rPr>
        <w:t>Sen vuoksi direktiivi 2009/22/EY olisi kumottava,</w:t>
      </w:r>
    </w:p>
    <w:p w:rsidR="00D03C46" w:rsidRDefault="00BD37FC">
      <w:pPr>
        <w:pStyle w:val="Formuledadoption"/>
        <w:rPr>
          <w:noProof/>
        </w:rPr>
      </w:pPr>
      <w:r>
        <w:rPr>
          <w:noProof/>
        </w:rPr>
        <w:t>OVAT HYVÄKSYNEET TÄMÄN DIREKTIIVIN:</w:t>
      </w:r>
    </w:p>
    <w:p w:rsidR="00D03C46" w:rsidRDefault="00BD37FC">
      <w:pPr>
        <w:pStyle w:val="ChapterTitle"/>
        <w:rPr>
          <w:noProof/>
        </w:rPr>
      </w:pPr>
      <w:r>
        <w:rPr>
          <w:noProof/>
        </w:rPr>
        <w:t>Luku 1</w:t>
      </w:r>
    </w:p>
    <w:p w:rsidR="00D03C46" w:rsidRDefault="00BD37FC">
      <w:pPr>
        <w:pStyle w:val="ChapterTitle"/>
        <w:rPr>
          <w:noProof/>
        </w:rPr>
      </w:pPr>
      <w:r>
        <w:rPr>
          <w:noProof/>
        </w:rPr>
        <w:t>Kohde, soveltamisala ja määritelmät</w:t>
      </w:r>
    </w:p>
    <w:p w:rsidR="00D03C46" w:rsidRDefault="00BD37FC">
      <w:pPr>
        <w:pStyle w:val="Titrearticle"/>
        <w:rPr>
          <w:noProof/>
        </w:rPr>
      </w:pPr>
      <w:r>
        <w:rPr>
          <w:noProof/>
        </w:rPr>
        <w:t>1 artikla</w:t>
      </w:r>
    </w:p>
    <w:p w:rsidR="00D03C46" w:rsidRDefault="00BD37FC">
      <w:pPr>
        <w:pStyle w:val="NormalCentered"/>
        <w:rPr>
          <w:b/>
          <w:noProof/>
        </w:rPr>
      </w:pPr>
      <w:r>
        <w:rPr>
          <w:b/>
          <w:noProof/>
        </w:rPr>
        <w:t>Kohde</w:t>
      </w:r>
    </w:p>
    <w:p w:rsidR="00D03C46" w:rsidRDefault="00BD37FC">
      <w:pPr>
        <w:pStyle w:val="ManualNumPar1"/>
        <w:rPr>
          <w:noProof/>
        </w:rPr>
      </w:pPr>
      <w:r>
        <w:t>1.</w:t>
      </w:r>
      <w:r>
        <w:tab/>
      </w:r>
      <w:r>
        <w:rPr>
          <w:noProof/>
        </w:rPr>
        <w:t xml:space="preserve">Tässä direktiivissä vahvistetaan säännöt, joiden nojalla oikeutetut yksiköt voivat nostaa edustajakanteita kuluttajien yhteisten etujen suojaamiseksi ja joiden avulla </w:t>
      </w:r>
      <w:r>
        <w:rPr>
          <w:noProof/>
        </w:rPr>
        <w:lastRenderedPageBreak/>
        <w:t>samalla varmistetaan asianmukaiset takeet perusteettomien oikeudenkäyn</w:t>
      </w:r>
      <w:r>
        <w:rPr>
          <w:noProof/>
        </w:rPr>
        <w:t>tien välttämiseksi.</w:t>
      </w:r>
    </w:p>
    <w:p w:rsidR="00D03C46" w:rsidRDefault="00BD37FC">
      <w:pPr>
        <w:pStyle w:val="ManualNumPar1"/>
        <w:rPr>
          <w:noProof/>
        </w:rPr>
      </w:pPr>
      <w:r>
        <w:t>2.</w:t>
      </w:r>
      <w:r>
        <w:tab/>
      </w:r>
      <w:r>
        <w:rPr>
          <w:noProof/>
        </w:rPr>
        <w:t>Tällä direktiivillä ei estetä jäsenvaltioita antamasta tai pitämästä voimassa säännöksiä, joilla annetaan oikeutetuille yksiköille tai kenelle tahansa muulle henkilölle, jota asia koskee, muita menettelyllisiä välineitä siinä tarkoit</w:t>
      </w:r>
      <w:r>
        <w:rPr>
          <w:noProof/>
        </w:rPr>
        <w:t>uksessa, että nämä voivat nostaa kanteita kuluttajien yhteisten etujen suojaamiseksi kansallisella tasolla.</w:t>
      </w:r>
    </w:p>
    <w:p w:rsidR="00D03C46" w:rsidRDefault="00BD37FC">
      <w:pPr>
        <w:pStyle w:val="Titrearticle"/>
        <w:rPr>
          <w:noProof/>
        </w:rPr>
      </w:pPr>
      <w:r>
        <w:rPr>
          <w:noProof/>
        </w:rPr>
        <w:t>2 artikla</w:t>
      </w:r>
    </w:p>
    <w:p w:rsidR="00D03C46" w:rsidRDefault="00BD37FC">
      <w:pPr>
        <w:pStyle w:val="NormalCentered"/>
        <w:rPr>
          <w:b/>
          <w:noProof/>
        </w:rPr>
      </w:pPr>
      <w:r>
        <w:rPr>
          <w:b/>
          <w:noProof/>
        </w:rPr>
        <w:t>Soveltamisala</w:t>
      </w:r>
    </w:p>
    <w:p w:rsidR="00D03C46" w:rsidRDefault="00BD37FC">
      <w:pPr>
        <w:pStyle w:val="ManualNumPar1"/>
        <w:rPr>
          <w:noProof/>
        </w:rPr>
      </w:pPr>
      <w:r>
        <w:t>1.</w:t>
      </w:r>
      <w:r>
        <w:tab/>
      </w:r>
      <w:r>
        <w:rPr>
          <w:noProof/>
        </w:rPr>
        <w:t>Tätä direktiiviä sovelletaan elinkeinonharjoittajia vastaan nostettaviin edustajakanteisiin, jotka johtuvat siitä, että e</w:t>
      </w:r>
      <w:r>
        <w:rPr>
          <w:noProof/>
        </w:rPr>
        <w:t>linkeinonharjoittajat ovat rikkoneet liitteessä I lueteltuja unionin oikeuden säännöksiä ja kyseiset rikkomiset vahingoittavat tai saattavat vahingoittaa kuluttajien yhteisiä etuja. Direktiiviä sovelletaan sekä kotimaisiin että rajat ylittäviin rikkomisiin</w:t>
      </w:r>
      <w:r>
        <w:rPr>
          <w:noProof/>
        </w:rPr>
        <w:t>, myös silloin, kun kyseiset rikkomiset ovat lakanneet ennen edustajakanteen</w:t>
      </w:r>
      <w:bookmarkStart w:id="214" w:name="_DV_M126"/>
      <w:bookmarkStart w:id="215" w:name="_DV_M127"/>
      <w:bookmarkEnd w:id="214"/>
      <w:bookmarkEnd w:id="215"/>
      <w:r>
        <w:rPr>
          <w:noProof/>
        </w:rPr>
        <w:t xml:space="preserve"> vireilletuloa tai ennen</w:t>
      </w:r>
      <w:r>
        <w:rPr>
          <w:b/>
          <w:noProof/>
        </w:rPr>
        <w:t xml:space="preserve"> </w:t>
      </w:r>
      <w:r>
        <w:rPr>
          <w:noProof/>
        </w:rPr>
        <w:t>sen vireilläolon päättymistä.</w:t>
      </w:r>
    </w:p>
    <w:p w:rsidR="00D03C46" w:rsidRDefault="00BD37FC">
      <w:pPr>
        <w:pStyle w:val="ManualNumPar1"/>
        <w:rPr>
          <w:noProof/>
        </w:rPr>
      </w:pPr>
      <w:r>
        <w:t>2.</w:t>
      </w:r>
      <w:r>
        <w:tab/>
      </w:r>
      <w:r>
        <w:rPr>
          <w:noProof/>
        </w:rPr>
        <w:t>Tällä direktiivillä ei vaikuteta unionin tai kansallisessa lainsäädännössä oleviin sääntöihin, joissa kuluttajien käytettä</w:t>
      </w:r>
      <w:r>
        <w:rPr>
          <w:noProof/>
        </w:rPr>
        <w:t>väksi on asetettu sopimusperusteisia tai muita kuin sopimusperusteisia oikeussuojakeinoja tällaisten rikkomisten varalta.</w:t>
      </w:r>
    </w:p>
    <w:p w:rsidR="00D03C46" w:rsidRDefault="00BD37FC">
      <w:pPr>
        <w:pStyle w:val="ManualNumPar1"/>
        <w:rPr>
          <w:noProof/>
        </w:rPr>
      </w:pPr>
      <w:r>
        <w:t>3.</w:t>
      </w:r>
      <w:r>
        <w:tab/>
      </w:r>
      <w:r>
        <w:rPr>
          <w:noProof/>
        </w:rPr>
        <w:t>Tällä direktiivillä ei rajoiteta niiden unionin säännösten soveltamista, jotka koskevat kansainvälistä yksityisoikeutta ja erityise</w:t>
      </w:r>
      <w:r>
        <w:rPr>
          <w:noProof/>
        </w:rPr>
        <w:t>sti tuomioistuimen toimivaltaa ja sovellettavaa lakia.</w:t>
      </w:r>
    </w:p>
    <w:p w:rsidR="00D03C46" w:rsidRDefault="00BD37FC">
      <w:pPr>
        <w:pStyle w:val="Titrearticle"/>
        <w:rPr>
          <w:noProof/>
        </w:rPr>
      </w:pPr>
      <w:r>
        <w:rPr>
          <w:noProof/>
        </w:rPr>
        <w:t>3 artikla</w:t>
      </w:r>
    </w:p>
    <w:p w:rsidR="00D03C46" w:rsidRDefault="00BD37FC">
      <w:pPr>
        <w:pStyle w:val="NormalCentered"/>
        <w:rPr>
          <w:b/>
          <w:noProof/>
        </w:rPr>
      </w:pPr>
      <w:r>
        <w:rPr>
          <w:b/>
          <w:noProof/>
        </w:rPr>
        <w:t>Määritelmät</w:t>
      </w:r>
    </w:p>
    <w:p w:rsidR="00D03C46" w:rsidRDefault="00BD37FC">
      <w:pPr>
        <w:rPr>
          <w:rFonts w:eastAsia="Times New Roman"/>
          <w:noProof/>
          <w:szCs w:val="24"/>
        </w:rPr>
      </w:pPr>
      <w:r>
        <w:rPr>
          <w:noProof/>
        </w:rPr>
        <w:t>Tässä direktiivissä tarkoitetaan:</w:t>
      </w:r>
    </w:p>
    <w:p w:rsidR="00D03C46" w:rsidRDefault="00BD37FC">
      <w:pPr>
        <w:pStyle w:val="Point0"/>
        <w:rPr>
          <w:noProof/>
        </w:rPr>
      </w:pPr>
      <w:r>
        <w:rPr>
          <w:noProof/>
        </w:rPr>
        <w:t>1)</w:t>
      </w:r>
      <w:r>
        <w:rPr>
          <w:noProof/>
        </w:rPr>
        <w:tab/>
        <w:t>’kuluttajalla’ luonnollista henkilöä, joka toimii muussa kuin elinkeino- tai ammattitoimintaansa kuuluvassa tarkoituksessa;</w:t>
      </w:r>
    </w:p>
    <w:p w:rsidR="00D03C46" w:rsidRDefault="00BD37FC">
      <w:pPr>
        <w:pStyle w:val="Point0"/>
        <w:rPr>
          <w:noProof/>
        </w:rPr>
      </w:pPr>
      <w:r>
        <w:rPr>
          <w:noProof/>
        </w:rPr>
        <w:t>2)</w:t>
      </w:r>
      <w:r>
        <w:rPr>
          <w:noProof/>
        </w:rPr>
        <w:tab/>
      </w:r>
      <w:r>
        <w:rPr>
          <w:noProof/>
        </w:rPr>
        <w:t>’elinkeinonharjoittajalla’ luonnollista henkilöä tai joko yksityisessä tai julkisessa omistuksessa olevaa oikeushenkilöä, joka harjoittaa tai jonka nimissä tai puolesta toinen henkilö harjoittaa elinkeinoa tai ammattia;</w:t>
      </w:r>
    </w:p>
    <w:p w:rsidR="00D03C46" w:rsidRDefault="00BD37FC">
      <w:pPr>
        <w:pStyle w:val="Point0"/>
        <w:rPr>
          <w:noProof/>
        </w:rPr>
      </w:pPr>
      <w:r>
        <w:rPr>
          <w:noProof/>
        </w:rPr>
        <w:t>3)</w:t>
      </w:r>
      <w:r>
        <w:rPr>
          <w:noProof/>
        </w:rPr>
        <w:tab/>
        <w:t xml:space="preserve">’kuluttajien yhteisillä eduilla’ </w:t>
      </w:r>
      <w:r>
        <w:rPr>
          <w:noProof/>
        </w:rPr>
        <w:t>useiden kuluttajien etuja;</w:t>
      </w:r>
    </w:p>
    <w:p w:rsidR="00D03C46" w:rsidRDefault="00BD37FC">
      <w:pPr>
        <w:pStyle w:val="Point0"/>
        <w:rPr>
          <w:noProof/>
        </w:rPr>
      </w:pPr>
      <w:r>
        <w:rPr>
          <w:noProof/>
        </w:rPr>
        <w:t>4)</w:t>
      </w:r>
      <w:r>
        <w:rPr>
          <w:noProof/>
        </w:rPr>
        <w:tab/>
        <w:t>’edustajakanteella’ kannetta, jonka avulla suojataan kuluttajien yhteisiä etuja mutta jossa kanteen tarkoittamat kuluttajat eivät ole asianosaisina;</w:t>
      </w:r>
    </w:p>
    <w:p w:rsidR="00D03C46" w:rsidRDefault="00BD37FC">
      <w:pPr>
        <w:pStyle w:val="Point0"/>
        <w:rPr>
          <w:noProof/>
        </w:rPr>
      </w:pPr>
      <w:r>
        <w:rPr>
          <w:noProof/>
        </w:rPr>
        <w:t>5)</w:t>
      </w:r>
      <w:r>
        <w:rPr>
          <w:noProof/>
        </w:rPr>
        <w:tab/>
        <w:t>’elinkeinonharjoittajan menettelyllä’ elinkeinonharjoittajan tekoa tai lai</w:t>
      </w:r>
      <w:r>
        <w:rPr>
          <w:noProof/>
        </w:rPr>
        <w:t>minlyöntiä;</w:t>
      </w:r>
    </w:p>
    <w:p w:rsidR="00D03C46" w:rsidRDefault="00BD37FC">
      <w:pPr>
        <w:pStyle w:val="Point0"/>
        <w:rPr>
          <w:noProof/>
        </w:rPr>
      </w:pPr>
      <w:r>
        <w:rPr>
          <w:noProof/>
        </w:rPr>
        <w:t>6)</w:t>
      </w:r>
      <w:r>
        <w:rPr>
          <w:noProof/>
        </w:rPr>
        <w:tab/>
        <w:t>’lainvoimaisella päätöksellä’ jäsenvaltion tuomioistuimen päätöstä, johon ei voida tai ei enää voida hakea muutosta, tai hallintoviranomaisen päätöstä, jota ei enää voida saattaa tuomioistuimen käsiteltäväksi.</w:t>
      </w:r>
    </w:p>
    <w:p w:rsidR="00D03C46" w:rsidRDefault="00BD37FC">
      <w:pPr>
        <w:pStyle w:val="ChapterTitle"/>
        <w:rPr>
          <w:noProof/>
        </w:rPr>
      </w:pPr>
      <w:r>
        <w:rPr>
          <w:noProof/>
        </w:rPr>
        <w:lastRenderedPageBreak/>
        <w:t>Luku 2</w:t>
      </w:r>
    </w:p>
    <w:p w:rsidR="00D03C46" w:rsidRDefault="00BD37FC">
      <w:pPr>
        <w:pStyle w:val="ChapterTitle"/>
        <w:rPr>
          <w:noProof/>
        </w:rPr>
      </w:pPr>
      <w:r>
        <w:rPr>
          <w:noProof/>
        </w:rPr>
        <w:t>Edustajakanteet</w:t>
      </w:r>
    </w:p>
    <w:p w:rsidR="00D03C46" w:rsidRDefault="00BD37FC">
      <w:pPr>
        <w:pStyle w:val="Titrearticle"/>
        <w:rPr>
          <w:noProof/>
        </w:rPr>
      </w:pPr>
      <w:r>
        <w:rPr>
          <w:noProof/>
        </w:rPr>
        <w:t>4 artikl</w:t>
      </w:r>
      <w:r>
        <w:rPr>
          <w:noProof/>
        </w:rPr>
        <w:t>a</w:t>
      </w:r>
    </w:p>
    <w:p w:rsidR="00D03C46" w:rsidRDefault="00BD37FC">
      <w:pPr>
        <w:pStyle w:val="NormalCentered"/>
        <w:rPr>
          <w:b/>
          <w:noProof/>
        </w:rPr>
      </w:pPr>
      <w:r>
        <w:rPr>
          <w:b/>
          <w:noProof/>
        </w:rPr>
        <w:t>Oikeutetut yksiköt</w:t>
      </w:r>
    </w:p>
    <w:p w:rsidR="00D03C46" w:rsidRDefault="00BD37FC">
      <w:pPr>
        <w:pStyle w:val="ManualNumPar1"/>
        <w:rPr>
          <w:noProof/>
        </w:rPr>
      </w:pPr>
      <w:r>
        <w:t>1.</w:t>
      </w:r>
      <w:r>
        <w:tab/>
      </w:r>
      <w:r>
        <w:rPr>
          <w:noProof/>
        </w:rPr>
        <w:t>Jäsenvaltioiden on varmistettava, että oikeutetut yksiköt, jotka jäsenvaltiot ovat kyseisten yksiköiden pyynnöstä etukäteen nimenneet edustajakanteiden nostamista varten ja jotka on merkitty julkisesti saatavilla olevaan luetteloon,</w:t>
      </w:r>
      <w:r>
        <w:rPr>
          <w:noProof/>
        </w:rPr>
        <w:t xml:space="preserve"> voivat nostaa edustajakanteita.</w:t>
      </w:r>
    </w:p>
    <w:p w:rsidR="00D03C46" w:rsidRDefault="00BD37FC">
      <w:pPr>
        <w:pStyle w:val="Text1"/>
        <w:rPr>
          <w:noProof/>
        </w:rPr>
      </w:pPr>
      <w:r>
        <w:rPr>
          <w:noProof/>
        </w:rPr>
        <w:t>Jäsenvaltioiden on nimettävä yksikkö oikeutetuksi yksiköksi, jos se täyttää seuraavat vaatimukset:</w:t>
      </w:r>
    </w:p>
    <w:p w:rsidR="00D03C46" w:rsidRDefault="00BD37FC">
      <w:pPr>
        <w:pStyle w:val="Point1"/>
        <w:rPr>
          <w:noProof/>
        </w:rPr>
      </w:pPr>
      <w:r>
        <w:rPr>
          <w:noProof/>
        </w:rPr>
        <w:t>a)</w:t>
      </w:r>
      <w:r>
        <w:rPr>
          <w:noProof/>
        </w:rPr>
        <w:tab/>
        <w:t>se on asianmukaisesti perustettu jäsenvaltion lainsäädännön mukaisesti;</w:t>
      </w:r>
    </w:p>
    <w:p w:rsidR="00D03C46" w:rsidRDefault="00BD37FC">
      <w:pPr>
        <w:pStyle w:val="Point1"/>
        <w:rPr>
          <w:rFonts w:eastAsia="Times New Roman"/>
          <w:noProof/>
          <w:szCs w:val="24"/>
        </w:rPr>
      </w:pPr>
      <w:r>
        <w:rPr>
          <w:noProof/>
        </w:rPr>
        <w:t>b)</w:t>
      </w:r>
      <w:r>
        <w:rPr>
          <w:noProof/>
        </w:rPr>
        <w:tab/>
        <w:t>sen oikeutetun edun mukaista on varmistaa, ett</w:t>
      </w:r>
      <w:r>
        <w:rPr>
          <w:noProof/>
        </w:rPr>
        <w:t>ä tämän direktiivin kattaman unionin lainsäädännön säännöksiä noudatetaan;</w:t>
      </w:r>
    </w:p>
    <w:p w:rsidR="00D03C46" w:rsidRDefault="00BD37FC">
      <w:pPr>
        <w:pStyle w:val="Point1"/>
        <w:rPr>
          <w:noProof/>
        </w:rPr>
      </w:pPr>
      <w:r>
        <w:rPr>
          <w:noProof/>
        </w:rPr>
        <w:t>c)</w:t>
      </w:r>
      <w:r>
        <w:rPr>
          <w:noProof/>
        </w:rPr>
        <w:tab/>
        <w:t>se on voittoa tavoittelematon.</w:t>
      </w:r>
    </w:p>
    <w:p w:rsidR="00D03C46" w:rsidRDefault="00BD37FC">
      <w:pPr>
        <w:pStyle w:val="Text1"/>
        <w:rPr>
          <w:noProof/>
        </w:rPr>
      </w:pPr>
      <w:r>
        <w:rPr>
          <w:noProof/>
        </w:rPr>
        <w:t>Jäsenvaltioiden on arvioitava säännöllisesti, täyttääkö oikeutettu yksikkö edelleen nämä kriteerit. Jäsenvaltioiden on varmistettava, että oikeutet</w:t>
      </w:r>
      <w:r>
        <w:rPr>
          <w:noProof/>
        </w:rPr>
        <w:t>tu yksikkö menettää tämän direktiivin mukaisen asemansa, jos se ei enää täytä yhtä tai useampaa ensimmäisessä alakohdassa lueteltua vaatimusta.</w:t>
      </w:r>
    </w:p>
    <w:p w:rsidR="00D03C46" w:rsidRDefault="00BD37FC">
      <w:pPr>
        <w:pStyle w:val="ManualNumPar1"/>
        <w:rPr>
          <w:noProof/>
        </w:rPr>
      </w:pPr>
      <w:r>
        <w:t>2.</w:t>
      </w:r>
      <w:r>
        <w:tab/>
      </w:r>
      <w:r>
        <w:rPr>
          <w:noProof/>
        </w:rPr>
        <w:t xml:space="preserve">Jäsenvaltiot voivat nimetä oikeutetun yksikön tapauskohtaisesti tiettyä edustajakannetta varten, jos yksikkö </w:t>
      </w:r>
      <w:r>
        <w:rPr>
          <w:noProof/>
        </w:rPr>
        <w:t>pyytää sitä ja täyttää 1 kohdassa tarkoitetut vaatimukset.</w:t>
      </w:r>
    </w:p>
    <w:p w:rsidR="00D03C46" w:rsidRDefault="00BD37FC">
      <w:pPr>
        <w:pStyle w:val="ManualNumPar1"/>
        <w:rPr>
          <w:noProof/>
        </w:rPr>
      </w:pPr>
      <w:r>
        <w:t>3.</w:t>
      </w:r>
      <w:r>
        <w:tab/>
      </w:r>
      <w:r>
        <w:rPr>
          <w:noProof/>
        </w:rPr>
        <w:t>Jäsenvaltioiden on varmistettava, että erityisesti kuluttajajärjestöt ja riippumattomat julkiset elimet voidaan hyväksyä oikeutetun yksikön asemaan. Jäsenvaltiot voivat nimetä oikeutetuiksi yksi</w:t>
      </w:r>
      <w:r>
        <w:rPr>
          <w:noProof/>
        </w:rPr>
        <w:t>köiksi kuluttajajärjestöjä, jotka edustavat jäseniä useammasta kuin yhdestä jäsenvaltiosta.</w:t>
      </w:r>
    </w:p>
    <w:p w:rsidR="00D03C46" w:rsidRDefault="00BD37FC">
      <w:pPr>
        <w:pStyle w:val="ManualNumPar1"/>
        <w:rPr>
          <w:noProof/>
        </w:rPr>
      </w:pPr>
      <w:r>
        <w:t>4.</w:t>
      </w:r>
      <w:r>
        <w:tab/>
      </w:r>
      <w:r>
        <w:rPr>
          <w:noProof/>
        </w:rPr>
        <w:t>Jäsenvaltiot voivat vahvistaa sääntöjä, joissa täsmennetään, mitkä oikeutetut yksiköt voivat vaatia kaikkia 5 ja 6 artiklassa tarkoitettuja toimenpiteitä ja mitk</w:t>
      </w:r>
      <w:r>
        <w:rPr>
          <w:noProof/>
        </w:rPr>
        <w:t>ä ainoastaan yhtä tai useampaa näistä toimenpiteistä.</w:t>
      </w:r>
    </w:p>
    <w:p w:rsidR="00D03C46" w:rsidRDefault="00BD37FC">
      <w:pPr>
        <w:pStyle w:val="ManualNumPar1"/>
        <w:rPr>
          <w:noProof/>
        </w:rPr>
      </w:pPr>
      <w:r>
        <w:t>5.</w:t>
      </w:r>
      <w:r>
        <w:tab/>
      </w:r>
      <w:r>
        <w:rPr>
          <w:noProof/>
        </w:rPr>
        <w:t>Se, että oikeutettu yksikkö täyttää 1 kohdassa tarkoitetut vaatimukset, ei vaikuta tuomioistuimen tai hallintoviranomaisen oikeuteen tutkia, onko oikeutetulla yksiköllä tarkoituksensa puolesta 5 arti</w:t>
      </w:r>
      <w:r>
        <w:rPr>
          <w:noProof/>
        </w:rPr>
        <w:t>klan 1 kohdan mukainen peruste ryhtyä ajamaan kannetta tietyssä asiassa.</w:t>
      </w:r>
    </w:p>
    <w:p w:rsidR="00D03C46" w:rsidRDefault="00BD37FC">
      <w:pPr>
        <w:pStyle w:val="Titrearticle"/>
        <w:rPr>
          <w:noProof/>
        </w:rPr>
      </w:pPr>
      <w:r>
        <w:rPr>
          <w:noProof/>
        </w:rPr>
        <w:t>5 artikla</w:t>
      </w:r>
    </w:p>
    <w:p w:rsidR="00D03C46" w:rsidRDefault="00BD37FC">
      <w:pPr>
        <w:pStyle w:val="NormalCentered"/>
        <w:rPr>
          <w:b/>
          <w:noProof/>
        </w:rPr>
      </w:pPr>
      <w:r>
        <w:rPr>
          <w:b/>
          <w:noProof/>
        </w:rPr>
        <w:t>Kuluttajien yhteisten etujen suojaamiseksi nostettavat edustajakanteet</w:t>
      </w:r>
    </w:p>
    <w:p w:rsidR="00D03C46" w:rsidRDefault="00BD37FC">
      <w:pPr>
        <w:pStyle w:val="ManualNumPar1"/>
        <w:rPr>
          <w:noProof/>
        </w:rPr>
      </w:pPr>
      <w:r>
        <w:t>1.</w:t>
      </w:r>
      <w:r>
        <w:tab/>
      </w:r>
      <w:r>
        <w:rPr>
          <w:noProof/>
        </w:rPr>
        <w:t xml:space="preserve">Jäsenvaltioiden on varmistettava, että oikeutettu yksikkö voi nostaa edustajakanteen kansallisessa </w:t>
      </w:r>
      <w:r>
        <w:rPr>
          <w:noProof/>
        </w:rPr>
        <w:t>tuomioistuimessa tai hallintoviranomaisessa, jos oikeutetun yksikön pääasiallisten tavoitteiden ja niiden unionin lainsäädännössä myönnettyjen oikeuksien välillä, joita väitetty rikkominen ja nostettava edustajakanne koskevat, on suora yhteys.</w:t>
      </w:r>
    </w:p>
    <w:p w:rsidR="00D03C46" w:rsidRDefault="00BD37FC">
      <w:pPr>
        <w:pStyle w:val="ManualNumPar1"/>
        <w:rPr>
          <w:noProof/>
        </w:rPr>
      </w:pPr>
      <w:r>
        <w:lastRenderedPageBreak/>
        <w:t>2.</w:t>
      </w:r>
      <w:r>
        <w:tab/>
      </w:r>
      <w:r>
        <w:rPr>
          <w:noProof/>
        </w:rPr>
        <w:t>Jäsenvalt</w:t>
      </w:r>
      <w:r>
        <w:rPr>
          <w:noProof/>
        </w:rPr>
        <w:t>ioiden on varmistettava, että oikeutetut yksiköt voivat nostaa edustajakanteita, joissa vaaditaan seuraavia toimenpiteitä:</w:t>
      </w:r>
    </w:p>
    <w:p w:rsidR="00D03C46" w:rsidRDefault="00BD37FC">
      <w:pPr>
        <w:pStyle w:val="Point1"/>
        <w:rPr>
          <w:noProof/>
        </w:rPr>
      </w:pPr>
      <w:r>
        <w:rPr>
          <w:noProof/>
        </w:rPr>
        <w:t>a)</w:t>
      </w:r>
      <w:r>
        <w:rPr>
          <w:noProof/>
        </w:rPr>
        <w:tab/>
        <w:t>väliaikainen kieltomääräys, jolla elinkeinonharjoittajan menettely lopetetaan tai, jos kyseistä menettelyä ei ole vielä toteutettu</w:t>
      </w:r>
      <w:r>
        <w:rPr>
          <w:noProof/>
        </w:rPr>
        <w:t xml:space="preserve"> mutta sen toteuttaminen on odotettavissa, jolla kyseinen menettely kielletään;</w:t>
      </w:r>
    </w:p>
    <w:p w:rsidR="00D03C46" w:rsidRDefault="00BD37FC">
      <w:pPr>
        <w:pStyle w:val="Point1"/>
        <w:rPr>
          <w:noProof/>
        </w:rPr>
      </w:pPr>
      <w:r>
        <w:rPr>
          <w:noProof/>
        </w:rPr>
        <w:t>b)</w:t>
      </w:r>
      <w:r>
        <w:rPr>
          <w:noProof/>
        </w:rPr>
        <w:tab/>
        <w:t xml:space="preserve">kieltomääräys, jossa vahvistetaan, että elinkeinonharjoittajan menettely rikkoo lakia, ja jolla kyseinen menettely tarvittaessa lopetetaan tai, jos elinkeinonharjoittajan </w:t>
      </w:r>
      <w:r>
        <w:rPr>
          <w:noProof/>
        </w:rPr>
        <w:t>menettelyä ei ole vielä toteutettu mutta sen toteuttaminen on odotettavissa, jolla kyseinen menettely kielletään.</w:t>
      </w:r>
    </w:p>
    <w:p w:rsidR="00D03C46" w:rsidRDefault="00BD37FC">
      <w:pPr>
        <w:pStyle w:val="Text1"/>
        <w:rPr>
          <w:rFonts w:eastAsia="Times New Roman"/>
          <w:noProof/>
        </w:rPr>
      </w:pPr>
      <w:r>
        <w:rPr>
          <w:noProof/>
        </w:rPr>
        <w:t>Oikeutetuille yksiköille ei saa asettaa vaatimusta, jonka mukaan niiden olisi kieltomääräystä hakiessaan hankittava valtuutus kanteessa tarkoi</w:t>
      </w:r>
      <w:r>
        <w:rPr>
          <w:noProof/>
        </w:rPr>
        <w:t>tetuilta yksittäisiltä kuluttajilta tai esitettävä näyttö kyseisten kuluttajien todellisista vahingoista tai elinkeinonharjoittajan tahallisuudesta tai huolimattomuudesta.</w:t>
      </w:r>
    </w:p>
    <w:p w:rsidR="00D03C46" w:rsidRDefault="00BD37FC">
      <w:pPr>
        <w:pStyle w:val="ManualNumPar1"/>
        <w:rPr>
          <w:noProof/>
        </w:rPr>
      </w:pPr>
      <w:r>
        <w:t>3.</w:t>
      </w:r>
      <w:r>
        <w:tab/>
      </w:r>
      <w:r>
        <w:rPr>
          <w:noProof/>
        </w:rPr>
        <w:t>Jäsenvaltioiden on varmistettava, että oikeutetut yksiköt voivat nostaa edustajak</w:t>
      </w:r>
      <w:r>
        <w:rPr>
          <w:noProof/>
        </w:rPr>
        <w:t>anteita sellaisten toimenpiteiden vaatimiseksi, joilla poistetaan rikkomisen jatkuvat vaikutukset. Näitä toimenpiteitä koskevan vaatimuksen perustana on oltava lainvoimainen päätös, kuten 2 kohdan b alakohdassa tarkoitettu lainvoimainen kieltomääräys, joss</w:t>
      </w:r>
      <w:r>
        <w:rPr>
          <w:noProof/>
        </w:rPr>
        <w:t>a todetaan, että elinkeinonharjoittajan menettely rikkoo liitteessä I mainittua unionin lainsäädäntöä ja vahingoittaa kuluttajien yhteisiä etuja.</w:t>
      </w:r>
    </w:p>
    <w:p w:rsidR="00D03C46" w:rsidRDefault="00BD37FC">
      <w:pPr>
        <w:pStyle w:val="ManualNumPar1"/>
        <w:rPr>
          <w:noProof/>
        </w:rPr>
      </w:pPr>
      <w:r>
        <w:t>4.</w:t>
      </w:r>
      <w:r>
        <w:tab/>
      </w:r>
      <w:r>
        <w:rPr>
          <w:noProof/>
        </w:rPr>
        <w:t>Rajoittamatta 4 artiklan 4 kohdan soveltamista jäsenvaltioiden on varmistettava, että oikeutetut yksiköt vo</w:t>
      </w:r>
      <w:r>
        <w:rPr>
          <w:noProof/>
        </w:rPr>
        <w:t>ivat vaatia samalla edustajakanteella sekä toimenpiteitä, joilla poistetaan rikkomisen jatkuvat vaikutukset, että 2 kohdassa tarkoitettuja toimenpiteitä.</w:t>
      </w:r>
    </w:p>
    <w:p w:rsidR="00D03C46" w:rsidRDefault="00BD37FC">
      <w:pPr>
        <w:pStyle w:val="Titrearticle"/>
        <w:rPr>
          <w:noProof/>
        </w:rPr>
      </w:pPr>
      <w:r>
        <w:rPr>
          <w:noProof/>
        </w:rPr>
        <w:t>6 artikla</w:t>
      </w:r>
    </w:p>
    <w:p w:rsidR="00D03C46" w:rsidRDefault="00BD37FC">
      <w:pPr>
        <w:pStyle w:val="NormalCentered"/>
        <w:rPr>
          <w:b/>
          <w:noProof/>
        </w:rPr>
      </w:pPr>
      <w:r>
        <w:rPr>
          <w:b/>
          <w:noProof/>
        </w:rPr>
        <w:t>Hyvitystoimenpiteet</w:t>
      </w:r>
    </w:p>
    <w:p w:rsidR="00D03C46" w:rsidRDefault="00BD37FC">
      <w:pPr>
        <w:pStyle w:val="ManualNumPar1"/>
        <w:rPr>
          <w:noProof/>
        </w:rPr>
      </w:pPr>
      <w:r>
        <w:t>1.</w:t>
      </w:r>
      <w:r>
        <w:tab/>
      </w:r>
      <w:r>
        <w:rPr>
          <w:noProof/>
        </w:rPr>
        <w:t xml:space="preserve">Sovellettaessa 5 artiklan 3 kohtaa jäsenvaltioiden on varmistettava, </w:t>
      </w:r>
      <w:r>
        <w:rPr>
          <w:noProof/>
        </w:rPr>
        <w:t>että oikeutetut yksiköt voivat panna vireille edustajakanteita sellaisten hyvitysmääräysten saamiseksi, joissa elinkeinonharjoittaja velvoitetaan tapauksen mukaan esimerkiksi maksamaan vahingonkorvausta, korjaamaan tai vaihtamaan tavara, alentamaan hintaa,</w:t>
      </w:r>
      <w:r>
        <w:rPr>
          <w:noProof/>
        </w:rPr>
        <w:t xml:space="preserve"> purkamaan sopimus tai palauttamaan maksettu hinta. Jäsenvaltio voi edellyttää, että yksittäisiltä kuluttajilta, joita rikkominen koskee, saadaan valtuutukset ennen vahvistustuomion tai hyvitysmääräyksen antamista.</w:t>
      </w:r>
    </w:p>
    <w:p w:rsidR="00D03C46" w:rsidRDefault="00BD37FC">
      <w:pPr>
        <w:pStyle w:val="Text1"/>
        <w:rPr>
          <w:noProof/>
        </w:rPr>
      </w:pPr>
      <w:r>
        <w:rPr>
          <w:noProof/>
        </w:rPr>
        <w:t xml:space="preserve">Oikeutettujen yksiköiden on toimitettava </w:t>
      </w:r>
      <w:r>
        <w:rPr>
          <w:noProof/>
        </w:rPr>
        <w:t>kansallisen lainsäädännön edellyttämät riittävät tiedot kanteen tueksi, mukaan lukien kuvaus kuluttajista, joita kanne koskee, sekä selostus tosiasia- ja oikeuskysymyksistä, jotka on ratkaistava.</w:t>
      </w:r>
    </w:p>
    <w:p w:rsidR="00D03C46" w:rsidRDefault="00BD37FC">
      <w:pPr>
        <w:pStyle w:val="ManualNumPar1"/>
        <w:rPr>
          <w:noProof/>
        </w:rPr>
      </w:pPr>
      <w:r>
        <w:t>2.</w:t>
      </w:r>
      <w:r>
        <w:tab/>
      </w:r>
      <w:r>
        <w:rPr>
          <w:noProof/>
        </w:rPr>
        <w:t>Poiketen siitä, mitä 1 kohdassa säädetään, jäsenvaltiot v</w:t>
      </w:r>
      <w:r>
        <w:rPr>
          <w:noProof/>
        </w:rPr>
        <w:t>oivat perustelluissa tapauksissa, joissa kuluttajien kärsimän yksilöllisen vahingon luonteen vuoksi on monimutkaista selvittää yksilöllisen hyvityksen määrää, antaa tuomioistuimelle tai hallintoviranomaiselle valtuudet päättää, että hyvitysmääräyksen sijaa</w:t>
      </w:r>
      <w:r>
        <w:rPr>
          <w:noProof/>
        </w:rPr>
        <w:t>n annetaan vahvistustuomio, joka koskee elinkeinonharjoittajan vastuuta suhteessa liitteessä I tarkoitetun unionin lainsäädännön rikkomisen vuoksi vahinkoa kärsineisiin kuluttajiin.</w:t>
      </w:r>
    </w:p>
    <w:p w:rsidR="00D03C46" w:rsidRDefault="00BD37FC">
      <w:pPr>
        <w:pStyle w:val="ManualNumPar1"/>
        <w:rPr>
          <w:noProof/>
        </w:rPr>
      </w:pPr>
      <w:r>
        <w:t>3.</w:t>
      </w:r>
      <w:r>
        <w:tab/>
      </w:r>
      <w:r>
        <w:rPr>
          <w:noProof/>
        </w:rPr>
        <w:t>Edellä olevaa 2 kohtaa ei sovelleta seuraavissa tapauksissa:</w:t>
      </w:r>
    </w:p>
    <w:p w:rsidR="00D03C46" w:rsidRDefault="00BD37FC">
      <w:pPr>
        <w:pStyle w:val="Point1"/>
        <w:rPr>
          <w:noProof/>
        </w:rPr>
      </w:pPr>
      <w:r>
        <w:rPr>
          <w:noProof/>
        </w:rPr>
        <w:lastRenderedPageBreak/>
        <w:t>a)</w:t>
      </w:r>
      <w:r>
        <w:rPr>
          <w:noProof/>
        </w:rPr>
        <w:tab/>
        <w:t>kulutta</w:t>
      </w:r>
      <w:r>
        <w:rPr>
          <w:noProof/>
        </w:rPr>
        <w:t>jat, joita rikkominen koskee, ovat tunnistettavissa, ja heidän vahinkonsa, jotka ovat aiheutuneet samasta tiettyyn ajanjaksoon tai hankintaan liittyvästä elinkeinonharjoittajan menettelystä, ovat keskenään vertailukelpoisia. Tällaisissa tapauksissa kanteen</w:t>
      </w:r>
      <w:r>
        <w:rPr>
          <w:noProof/>
        </w:rPr>
        <w:t xml:space="preserve"> nostamisen edellytykseksi ei saa asettaa sitä, että yksittäisiltä kuluttajilta, joita kanne koskee, saadaan valtuutus. Hyvitys on kohdistettava kuluttajille, joita kanne koskee;</w:t>
      </w:r>
    </w:p>
    <w:p w:rsidR="00D03C46" w:rsidRDefault="00BD37FC">
      <w:pPr>
        <w:pStyle w:val="Point1"/>
        <w:rPr>
          <w:noProof/>
        </w:rPr>
      </w:pPr>
      <w:r>
        <w:rPr>
          <w:noProof/>
        </w:rPr>
        <w:t>b)</w:t>
      </w:r>
      <w:r>
        <w:rPr>
          <w:noProof/>
        </w:rPr>
        <w:tab/>
        <w:t>kuluttajat ovat kärsineet vähäisen vahingon, ja olisi kohtuutonta jakaa hy</w:t>
      </w:r>
      <w:r>
        <w:rPr>
          <w:noProof/>
        </w:rPr>
        <w:t>vitys heille. Tällaisissa tapauksissa jäsenvaltioiden on varmistettava, että vahinkoa kärsineiden yksittäisten kuluttajien valtuutusta ei edellytetä. Hyvitys on kohdistettava johonkin yleiseen tarkoitukseen, joka palvelee kuluttajien yhteisiä etuja.</w:t>
      </w:r>
    </w:p>
    <w:p w:rsidR="00D03C46" w:rsidRDefault="00BD37FC">
      <w:pPr>
        <w:pStyle w:val="ManualNumPar1"/>
        <w:rPr>
          <w:noProof/>
        </w:rPr>
      </w:pPr>
      <w:r>
        <w:t>4.</w:t>
      </w:r>
      <w:r>
        <w:tab/>
      </w:r>
      <w:r>
        <w:rPr>
          <w:noProof/>
        </w:rPr>
        <w:t>Sil</w:t>
      </w:r>
      <w:r>
        <w:rPr>
          <w:noProof/>
        </w:rPr>
        <w:t>lä, että lainvoimaisen päätöksen nojalla on saatu hyvitystä 1, 2 ja 3 kohdan mukaisesti, ei ole vaikutusta muihin unionin tai kansallisen lainsäädännön mukaisiin oikeuksiin, joiden nojalla vahinkoa kärsinyt kuluttaja voi saada hyvitystä.</w:t>
      </w:r>
    </w:p>
    <w:p w:rsidR="00D03C46" w:rsidRDefault="00BD37FC">
      <w:pPr>
        <w:pStyle w:val="Titrearticle"/>
        <w:rPr>
          <w:noProof/>
        </w:rPr>
      </w:pPr>
      <w:r>
        <w:rPr>
          <w:noProof/>
        </w:rPr>
        <w:t>7 artikla</w:t>
      </w:r>
    </w:p>
    <w:p w:rsidR="00D03C46" w:rsidRDefault="00BD37FC">
      <w:pPr>
        <w:pStyle w:val="NormalCentered"/>
        <w:rPr>
          <w:b/>
          <w:noProof/>
        </w:rPr>
      </w:pPr>
      <w:r>
        <w:rPr>
          <w:b/>
          <w:noProof/>
        </w:rPr>
        <w:t>Rahoitus</w:t>
      </w:r>
    </w:p>
    <w:p w:rsidR="00D03C46" w:rsidRDefault="00BD37FC">
      <w:pPr>
        <w:pStyle w:val="ManualNumPar1"/>
        <w:rPr>
          <w:noProof/>
        </w:rPr>
      </w:pPr>
      <w:r>
        <w:t>1.</w:t>
      </w:r>
      <w:r>
        <w:tab/>
      </w:r>
      <w:r>
        <w:rPr>
          <w:noProof/>
        </w:rPr>
        <w:t>Oikeutetun yksikön, joka vaatii 6 artiklan 1 kohdassa tarkoitettua hyvitysmääräystä, on ilmoitettava kanteen käsittelyn varhaisessa vaiheessa, mikä on niiden varojen alkuperä, joilla se rahoittaa toimintansa yleisesti, sekä niiden varojen alkuperä, joi</w:t>
      </w:r>
      <w:r>
        <w:rPr>
          <w:noProof/>
        </w:rPr>
        <w:t>lla se rahoittaa kyseisen kanteen ajamisen. Oikeutetun yksikön on osoitettava, että sillä on riittävät taloudelliset voimavarat, joiden avulla se voi ajaa kanteessa tarkoitettujen kuluttajien etuja sekä vastata sen maksettavaksi tulevista kuluista, jos kan</w:t>
      </w:r>
      <w:r>
        <w:rPr>
          <w:noProof/>
        </w:rPr>
        <w:t>ne hylätään.</w:t>
      </w:r>
    </w:p>
    <w:p w:rsidR="00D03C46" w:rsidRDefault="00BD37FC">
      <w:pPr>
        <w:pStyle w:val="ManualNumPar1"/>
        <w:rPr>
          <w:bCs/>
          <w:noProof/>
          <w:color w:val="000000"/>
          <w:szCs w:val="24"/>
        </w:rPr>
      </w:pPr>
      <w:r>
        <w:t>2.</w:t>
      </w:r>
      <w:r>
        <w:tab/>
      </w:r>
      <w:r>
        <w:rPr>
          <w:noProof/>
        </w:rPr>
        <w:t>Jäsenvaltioiden on varmistettava, että tapauksissa, joissa edustajakannetta rahoittaa kolmas osapuoli, tämä kolmas osapuoli ei saa</w:t>
      </w:r>
    </w:p>
    <w:p w:rsidR="00D03C46" w:rsidRDefault="00BD37FC">
      <w:pPr>
        <w:pStyle w:val="Point1"/>
        <w:rPr>
          <w:noProof/>
        </w:rPr>
      </w:pPr>
      <w:r>
        <w:rPr>
          <w:noProof/>
        </w:rPr>
        <w:t>a)</w:t>
      </w:r>
      <w:r>
        <w:rPr>
          <w:noProof/>
        </w:rPr>
        <w:tab/>
        <w:t>vaikuttaa oikeutetun yksikön päätöksiin, jotka koskevat edustajakannetta, sovintoratkaisut mukaan lukien;</w:t>
      </w:r>
    </w:p>
    <w:p w:rsidR="00D03C46" w:rsidRDefault="00BD37FC">
      <w:pPr>
        <w:pStyle w:val="Point1"/>
        <w:rPr>
          <w:noProof/>
        </w:rPr>
      </w:pPr>
      <w:r>
        <w:rPr>
          <w:noProof/>
        </w:rPr>
        <w:t>b)</w:t>
      </w:r>
      <w:r>
        <w:rPr>
          <w:noProof/>
        </w:rPr>
        <w:tab/>
        <w:t>rahoittaa ryhmäkannetta sellaista vastaajaa vastaan, joka on kyseisen kolmannen osapuolen kilpailija, tai sellaista vastaajaa vastaan, josta kyseinen kolmas osapuoli on riippuvainen.</w:t>
      </w:r>
    </w:p>
    <w:p w:rsidR="00D03C46" w:rsidRDefault="00BD37FC">
      <w:pPr>
        <w:pStyle w:val="ManualNumPar1"/>
        <w:rPr>
          <w:noProof/>
        </w:rPr>
      </w:pPr>
      <w:r>
        <w:t>3.</w:t>
      </w:r>
      <w:r>
        <w:tab/>
      </w:r>
      <w:r>
        <w:rPr>
          <w:noProof/>
        </w:rPr>
        <w:t>Jäsenvaltioiden on varmistettava, että tuomioistuimilla ja hallinto</w:t>
      </w:r>
      <w:r>
        <w:rPr>
          <w:noProof/>
        </w:rPr>
        <w:t>viranomaisilla on valtuudet arvioida 2 kohdassa tarkoitettuja olosuhteita ja arviointinsa perusteella edellyttää oikeutetulta yksiköltä kieltäytymistä kyseisestä rahoituksesta sekä tarvittaessa todeta oikeutetun yksikön kanneoikeuden puuttuminen kyseisessä</w:t>
      </w:r>
      <w:r>
        <w:rPr>
          <w:noProof/>
        </w:rPr>
        <w:t xml:space="preserve"> edustajakanteessa.</w:t>
      </w:r>
    </w:p>
    <w:p w:rsidR="00D03C46" w:rsidRDefault="00BD37FC">
      <w:pPr>
        <w:pStyle w:val="Titrearticle"/>
        <w:rPr>
          <w:noProof/>
        </w:rPr>
      </w:pPr>
      <w:r>
        <w:rPr>
          <w:noProof/>
        </w:rPr>
        <w:t>8 artikla</w:t>
      </w:r>
    </w:p>
    <w:p w:rsidR="00D03C46" w:rsidRDefault="00BD37FC">
      <w:pPr>
        <w:pStyle w:val="NormalCentered"/>
        <w:rPr>
          <w:b/>
          <w:noProof/>
        </w:rPr>
      </w:pPr>
      <w:r>
        <w:rPr>
          <w:b/>
          <w:noProof/>
        </w:rPr>
        <w:t>Sovintoratkaisut</w:t>
      </w:r>
    </w:p>
    <w:p w:rsidR="00D03C46" w:rsidRDefault="00BD37FC">
      <w:pPr>
        <w:pStyle w:val="ManualNumPar1"/>
        <w:rPr>
          <w:noProof/>
        </w:rPr>
      </w:pPr>
      <w:r>
        <w:t>1.</w:t>
      </w:r>
      <w:r>
        <w:tab/>
      </w:r>
      <w:r>
        <w:rPr>
          <w:noProof/>
        </w:rPr>
        <w:t>Jäsenvaltiot voivat säätää, että kun oikeutettu yksikkö ja elinkeinonharjoittaja ovat saavuttaneet sovintoratkaisun hyvityksestä kuluttajille, jotka ovat kärsineet vahinkoa elinkeinonharjoittajan väitetyn l</w:t>
      </w:r>
      <w:r>
        <w:rPr>
          <w:noProof/>
        </w:rPr>
        <w:t xml:space="preserve">ainvastaisen menettelyn vuoksi, oikeutettu yksikkö ja elinkeinonharjoittaja voivat yhdessä pyytää tuomioistuinta tai hallintoviranomaista hyväksymään sovintoratkaisun. Tuomioistuimen tai hallintoviranomaisen pitäisi tutkia tällainen pyyntö ainoastaan, jos </w:t>
      </w:r>
      <w:r>
        <w:rPr>
          <w:noProof/>
        </w:rPr>
        <w:t xml:space="preserve">saman jäsenvaltion tuomioistuimessa tai </w:t>
      </w:r>
      <w:r>
        <w:rPr>
          <w:noProof/>
        </w:rPr>
        <w:lastRenderedPageBreak/>
        <w:t xml:space="preserve">hallintoviranomaisessa ei ole vireillä saman elinkeinonharjoittajan samaa menettelyä koskevaa muuta edustajakannetta. </w:t>
      </w:r>
    </w:p>
    <w:p w:rsidR="00D03C46" w:rsidRDefault="00BD37FC">
      <w:pPr>
        <w:pStyle w:val="ManualNumPar1"/>
        <w:rPr>
          <w:noProof/>
        </w:rPr>
      </w:pPr>
      <w:r>
        <w:t>2.</w:t>
      </w:r>
      <w:r>
        <w:tab/>
      </w:r>
      <w:r>
        <w:rPr>
          <w:noProof/>
        </w:rPr>
        <w:t>Jäsenvaltioiden on varmistettava, että tuomioistuin tai hallintoviranomainen voi missä tahansa</w:t>
      </w:r>
      <w:r>
        <w:rPr>
          <w:noProof/>
        </w:rPr>
        <w:t xml:space="preserve"> edustajakanteen käsittelyn vaiheessa kehottaa oikeutettua yksikköä ja vastaajaa, näitä ensin kuultuaan, pyrkimään hyvitysasiassa sovintoratkaisuun tietyn kohtuullisen määräajan kuluessa.</w:t>
      </w:r>
    </w:p>
    <w:p w:rsidR="00D03C46" w:rsidRDefault="00BD37FC">
      <w:pPr>
        <w:pStyle w:val="ManualNumPar1"/>
        <w:rPr>
          <w:noProof/>
        </w:rPr>
      </w:pPr>
      <w:r>
        <w:t>3.</w:t>
      </w:r>
      <w:r>
        <w:tab/>
      </w:r>
      <w:r>
        <w:rPr>
          <w:noProof/>
        </w:rPr>
        <w:t xml:space="preserve">Jäsenvaltioiden on varmistettava, että </w:t>
      </w:r>
      <w:r>
        <w:rPr>
          <w:rStyle w:val="msoins0"/>
          <w:noProof/>
          <w:color w:val="000000"/>
        </w:rPr>
        <w:t>tuomioistuimella tai halli</w:t>
      </w:r>
      <w:r>
        <w:rPr>
          <w:rStyle w:val="msoins0"/>
          <w:noProof/>
          <w:color w:val="000000"/>
        </w:rPr>
        <w:t>ntoviranomaisella, joka on antanut 6 artiklan 2 kohdassa tarkoitetun lainvoimaisen vahvistustuomion, on valtuudet kehottaa edustajakanteen osapuolia pyrkimään tietyssä kohtuullisessa määräajassa sovintoratkaisuun,</w:t>
      </w:r>
      <w:r>
        <w:rPr>
          <w:noProof/>
        </w:rPr>
        <w:t xml:space="preserve"> joka koskee </w:t>
      </w:r>
      <w:r>
        <w:rPr>
          <w:rStyle w:val="msoins0"/>
          <w:noProof/>
          <w:color w:val="000000"/>
        </w:rPr>
        <w:t>kyseisen lainvoimaisen tuomion</w:t>
      </w:r>
      <w:r>
        <w:rPr>
          <w:rStyle w:val="msoins0"/>
          <w:noProof/>
          <w:color w:val="000000"/>
        </w:rPr>
        <w:t xml:space="preserve"> perusteella</w:t>
      </w:r>
      <w:r>
        <w:rPr>
          <w:noProof/>
        </w:rPr>
        <w:t xml:space="preserve"> kuluttajille annettavia hyvityksiä.</w:t>
      </w:r>
    </w:p>
    <w:p w:rsidR="00D03C46" w:rsidRDefault="00BD37FC">
      <w:pPr>
        <w:pStyle w:val="ManualNumPar1"/>
        <w:rPr>
          <w:noProof/>
        </w:rPr>
      </w:pPr>
      <w:r>
        <w:t>4.</w:t>
      </w:r>
      <w:r>
        <w:tab/>
      </w:r>
      <w:r>
        <w:rPr>
          <w:noProof/>
        </w:rPr>
        <w:t xml:space="preserve">Tuomioistuimen tai hallintoviranomaisen on tarkastettava 1, 2 ja 3 kohdassa tarkoitetut sovintoratkaisut. Tuomioistuimen tai hallintoviranomaisen on arvioitava sovintoratkaisun lain- ja oikeudenmukaisuus </w:t>
      </w:r>
      <w:r>
        <w:rPr>
          <w:noProof/>
        </w:rPr>
        <w:t xml:space="preserve">ja otettava tällöin huomioon kaikkien osapuolten, myös asiaan liittyvien kuluttajien, oikeudet ja edut. </w:t>
      </w:r>
    </w:p>
    <w:p w:rsidR="00D03C46" w:rsidRDefault="00BD37FC">
      <w:pPr>
        <w:pStyle w:val="ManualNumPar1"/>
        <w:rPr>
          <w:noProof/>
        </w:rPr>
      </w:pPr>
      <w:r>
        <w:t>5.</w:t>
      </w:r>
      <w:r>
        <w:tab/>
      </w:r>
      <w:r>
        <w:rPr>
          <w:noProof/>
        </w:rPr>
        <w:t>Jos 2 kohdassa tarkoitettua sovintoratkaisua ei saavuteta asetetussa määräajassa tai saavutettua sovintoratkaisua ei hyväksytä, tuomioistuimen tai h</w:t>
      </w:r>
      <w:r>
        <w:rPr>
          <w:noProof/>
        </w:rPr>
        <w:t>allintoviranomaisen on jatkettava edustajakanteen käsittelyä.</w:t>
      </w:r>
    </w:p>
    <w:p w:rsidR="00D03C46" w:rsidRDefault="00BD37FC">
      <w:pPr>
        <w:pStyle w:val="ManualNumPar1"/>
        <w:rPr>
          <w:noProof/>
        </w:rPr>
      </w:pPr>
      <w:r>
        <w:t>6.</w:t>
      </w:r>
      <w:r>
        <w:tab/>
      </w:r>
      <w:r>
        <w:rPr>
          <w:noProof/>
        </w:rPr>
        <w:t>Yksittäisille kuluttajille on annettava mahdollisuus hyväksyä tai hylätä 1, 2 ja 3 kohdassa tarkoitettujen sovintoratkaisujen sitovuus itseään kohtaan. Sillä, että 4 kohdassa tarkoitetun hyvä</w:t>
      </w:r>
      <w:r>
        <w:rPr>
          <w:noProof/>
        </w:rPr>
        <w:t>ksytyn sovintoratkaisun nojalla on saatu hyvitystä, ei ole vaikutusta muihin unionin tai kansallisen lainsäädännön mukaisiin oikeuksiin, joiden nojalla vahinkoa kärsinyt kuluttaja voi saada hyvitystä.</w:t>
      </w:r>
    </w:p>
    <w:p w:rsidR="00D03C46" w:rsidRDefault="00BD37FC">
      <w:pPr>
        <w:pStyle w:val="Titrearticle"/>
        <w:rPr>
          <w:noProof/>
        </w:rPr>
      </w:pPr>
      <w:r>
        <w:rPr>
          <w:noProof/>
        </w:rPr>
        <w:t>9 artikla</w:t>
      </w:r>
    </w:p>
    <w:p w:rsidR="00D03C46" w:rsidRDefault="00BD37FC">
      <w:pPr>
        <w:pStyle w:val="NormalCentered"/>
        <w:rPr>
          <w:b/>
          <w:noProof/>
        </w:rPr>
      </w:pPr>
      <w:r>
        <w:rPr>
          <w:b/>
          <w:noProof/>
        </w:rPr>
        <w:t>Edustajakannetta koskeva tiedottaminen</w:t>
      </w:r>
    </w:p>
    <w:p w:rsidR="00D03C46" w:rsidRDefault="00BD37FC">
      <w:pPr>
        <w:pStyle w:val="ManualNumPar1"/>
        <w:rPr>
          <w:noProof/>
        </w:rPr>
      </w:pPr>
      <w:r>
        <w:t>1.</w:t>
      </w:r>
      <w:r>
        <w:tab/>
      </w:r>
      <w:r>
        <w:rPr>
          <w:noProof/>
        </w:rPr>
        <w:t>Jäsenvaltioiden on varmistettava, että tuomioistuin tai hallintoviranomainen vaatii sääntöjä rikkonutta elinkeinonharjoittajaa antamaan rikkomisen kohteeksi joutuneille kuluttajille tietyssä määräajassa omalla kustannuksellaan tiedon lainvoimaisista päätök</w:t>
      </w:r>
      <w:r>
        <w:rPr>
          <w:noProof/>
        </w:rPr>
        <w:t>sistä, joissa on määrätty 5 ja 6 artiklassa tarkoitettuja toimenpiteitä, sekä 8 artiklassa tarkoitetuista hyväksytyistä sovintoratkaisuista tapauksen olosuhteisiin soveltuvalla välineellä, esimerkiksi tarvittaessa antamalla tiedon henkilökohtaisesti jokais</w:t>
      </w:r>
      <w:r>
        <w:rPr>
          <w:noProof/>
        </w:rPr>
        <w:t>elle kuluttajalle, jota asia koskee.</w:t>
      </w:r>
    </w:p>
    <w:p w:rsidR="00D03C46" w:rsidRDefault="00BD37FC">
      <w:pPr>
        <w:pStyle w:val="ManualNumPar1"/>
        <w:rPr>
          <w:noProof/>
        </w:rPr>
      </w:pPr>
      <w:r>
        <w:t>2.</w:t>
      </w:r>
      <w:r>
        <w:tab/>
      </w:r>
      <w:r>
        <w:rPr>
          <w:noProof/>
        </w:rPr>
        <w:t>Edellä 1 kohdassa tarkoitettuihin tietoihin on sisällytettävä helppotajuisella kielellä laadittu selostus, joka koskee edustajakanteen kohdetta, kanteen oikeudellisia seurauksia sekä tarvittaessa kanteessa tarkoitetu</w:t>
      </w:r>
      <w:r>
        <w:rPr>
          <w:noProof/>
        </w:rPr>
        <w:t>ilta kuluttajilta edellytettäviä jatkotoimia.</w:t>
      </w:r>
    </w:p>
    <w:p w:rsidR="00D03C46" w:rsidRDefault="00BD37FC">
      <w:pPr>
        <w:pStyle w:val="Titrearticle"/>
        <w:rPr>
          <w:noProof/>
        </w:rPr>
      </w:pPr>
      <w:r>
        <w:rPr>
          <w:noProof/>
        </w:rPr>
        <w:t>10 artikla</w:t>
      </w:r>
    </w:p>
    <w:p w:rsidR="00D03C46" w:rsidRDefault="00BD37FC">
      <w:pPr>
        <w:pStyle w:val="NormalCentered"/>
        <w:rPr>
          <w:rFonts w:eastAsia="Times New Roman"/>
          <w:b/>
          <w:bCs/>
          <w:noProof/>
          <w:szCs w:val="24"/>
        </w:rPr>
      </w:pPr>
      <w:r>
        <w:rPr>
          <w:b/>
          <w:noProof/>
        </w:rPr>
        <w:t>Lainvoimaisten päätösten vaikutukset</w:t>
      </w:r>
    </w:p>
    <w:p w:rsidR="00D03C46" w:rsidRDefault="00BD37FC">
      <w:pPr>
        <w:pStyle w:val="ManualNumPar1"/>
        <w:rPr>
          <w:noProof/>
        </w:rPr>
      </w:pPr>
      <w:r>
        <w:t>1.</w:t>
      </w:r>
      <w:r>
        <w:tab/>
      </w:r>
      <w:r>
        <w:rPr>
          <w:noProof/>
        </w:rPr>
        <w:t>Jäsenvaltioiden on varmistettava, että kuluttajien yhteisiä etuja vahingoittava rikkominen, joka on vahvistettu hallintoviranomaisen tai tuomioistuimen lainvoi</w:t>
      </w:r>
      <w:r>
        <w:rPr>
          <w:noProof/>
        </w:rPr>
        <w:t xml:space="preserve">maisessa päätöksessä, kuten 5 artiklan 2 kohdan b alakohdassa tarkoitetussa lainvoimaisessa kieltomääräyksessä, katsotaan kiistämättömäksi todisteeksi kyseisen rikkomisen tapahtumisesta, kun kansallisessa tuomioistuimessa käsitellään samaa </w:t>
      </w:r>
      <w:r>
        <w:rPr>
          <w:noProof/>
        </w:rPr>
        <w:lastRenderedPageBreak/>
        <w:t>elinkeinonharjoi</w:t>
      </w:r>
      <w:r>
        <w:rPr>
          <w:noProof/>
        </w:rPr>
        <w:t>ttajaa vastaan nostettua toista kannetta, jossa saman rikkomisen johdosta vaaditaan hyvitystä.</w:t>
      </w:r>
    </w:p>
    <w:p w:rsidR="00D03C46" w:rsidRDefault="00BD37FC">
      <w:pPr>
        <w:pStyle w:val="ManualNumPar1"/>
        <w:rPr>
          <w:rFonts w:eastAsia="Times New Roman"/>
          <w:noProof/>
          <w:szCs w:val="24"/>
        </w:rPr>
      </w:pPr>
      <w:r>
        <w:t>2.</w:t>
      </w:r>
      <w:r>
        <w:tab/>
      </w:r>
      <w:r>
        <w:rPr>
          <w:noProof/>
        </w:rPr>
        <w:t>Jäsenvaltioiden on varmistettava, että 1 kohdassa tarkoitettu lainvoimainen päätös, joka on annettu toisessa jäsenvaltiossa, katsotaan jäsenvaltioiden tuomioi</w:t>
      </w:r>
      <w:r>
        <w:rPr>
          <w:noProof/>
        </w:rPr>
        <w:t>stuimissa tai hallintoviranomaisissa kumottavissa olevaksi olettamukseksi siitä, että rikkominen on tapahtunut.</w:t>
      </w:r>
    </w:p>
    <w:p w:rsidR="00D03C46" w:rsidRDefault="00BD37FC">
      <w:pPr>
        <w:pStyle w:val="ManualNumPar1"/>
        <w:rPr>
          <w:noProof/>
        </w:rPr>
      </w:pPr>
      <w:r>
        <w:t>3.</w:t>
      </w:r>
      <w:r>
        <w:tab/>
      </w:r>
      <w:r>
        <w:rPr>
          <w:noProof/>
        </w:rPr>
        <w:t>Jäsenvaltioiden on varmistettava, että 6 artiklan 2 kohdassa tarkoitettu lainvoimainen vahvistustuomio merkitsee kiistämätöntä vahvistusta el</w:t>
      </w:r>
      <w:r>
        <w:rPr>
          <w:noProof/>
        </w:rPr>
        <w:t>inkeinonharjoittajan vastuusta suhteessa rikkomisesta vahinkoa kärsineisiin kuluttajiin, kun kansallisessa tuomioistuimessa käsitellään samaa elinkeinonharjoittajaa vastaan nostettua toista kannetta, jossa saman rikkomisen johdosta vaaditaan hyvitystä. Jäs</w:t>
      </w:r>
      <w:r>
        <w:rPr>
          <w:noProof/>
        </w:rPr>
        <w:t xml:space="preserve">envaltioiden on varmistettava, että kuluttajat voivat nostaa tällaisia yksilöllisiä hyvityskanteita nopeutettujen ja yksinkertaistettujen menettelyiden mukaisesti. </w:t>
      </w:r>
    </w:p>
    <w:p w:rsidR="00D03C46" w:rsidRDefault="00BD37FC">
      <w:pPr>
        <w:pStyle w:val="Titrearticle"/>
        <w:rPr>
          <w:noProof/>
        </w:rPr>
      </w:pPr>
      <w:r>
        <w:rPr>
          <w:noProof/>
        </w:rPr>
        <w:t>11 artikla</w:t>
      </w:r>
    </w:p>
    <w:p w:rsidR="00D03C46" w:rsidRDefault="00BD37FC">
      <w:pPr>
        <w:pStyle w:val="NormalCentered"/>
        <w:rPr>
          <w:b/>
          <w:noProof/>
        </w:rPr>
      </w:pPr>
      <w:r>
        <w:rPr>
          <w:b/>
          <w:noProof/>
        </w:rPr>
        <w:t>Vanhentumisajan lykkääntyminen</w:t>
      </w:r>
    </w:p>
    <w:p w:rsidR="00D03C46" w:rsidRDefault="00BD37FC">
      <w:pPr>
        <w:rPr>
          <w:rFonts w:eastAsia="Times New Roman"/>
          <w:noProof/>
          <w:szCs w:val="24"/>
        </w:rPr>
      </w:pPr>
      <w:r>
        <w:rPr>
          <w:noProof/>
        </w:rPr>
        <w:t>Jäsenvaltioiden on varmistettava, että jos kulutt</w:t>
      </w:r>
      <w:r>
        <w:rPr>
          <w:noProof/>
        </w:rPr>
        <w:t>ajan kanneoikeuteen hyvitysasiassa sovelletaan unionin tai kansallisen lainsäädännön mukaan vanhentumisaikaa, tällaisen vanhentumisajan kuluminen lykkääntyy tai keskeytyy, kun 5 ja 6 artiklassa tarkoitettu edustajakanne nostetaan.</w:t>
      </w:r>
    </w:p>
    <w:p w:rsidR="00D03C46" w:rsidRDefault="00BD37FC">
      <w:pPr>
        <w:pStyle w:val="Titrearticle"/>
        <w:rPr>
          <w:noProof/>
        </w:rPr>
      </w:pPr>
      <w:r>
        <w:rPr>
          <w:noProof/>
        </w:rPr>
        <w:t>12 artikla</w:t>
      </w:r>
    </w:p>
    <w:p w:rsidR="00D03C46" w:rsidRDefault="00BD37FC">
      <w:pPr>
        <w:pStyle w:val="NormalCentered"/>
        <w:rPr>
          <w:b/>
          <w:noProof/>
        </w:rPr>
      </w:pPr>
      <w:r>
        <w:rPr>
          <w:b/>
          <w:noProof/>
        </w:rPr>
        <w:t>Menettelyn tar</w:t>
      </w:r>
      <w:r>
        <w:rPr>
          <w:b/>
          <w:noProof/>
        </w:rPr>
        <w:t>koituksenmukaisuus</w:t>
      </w:r>
    </w:p>
    <w:p w:rsidR="00D03C46" w:rsidRDefault="00BD37FC">
      <w:pPr>
        <w:pStyle w:val="ManualNumPar1"/>
        <w:rPr>
          <w:noProof/>
        </w:rPr>
      </w:pPr>
      <w:r>
        <w:t>1.</w:t>
      </w:r>
      <w:r>
        <w:tab/>
      </w:r>
      <w:r>
        <w:rPr>
          <w:noProof/>
        </w:rPr>
        <w:t>Jäsenvaltioiden on toteutettava tarvittavat toimenpiteet sen varmistamiseksi, että 5 ja 6 artiklassa tarkoitetut edustajakanteet käsitellään tarkoituksenmukaisella tavalla.</w:t>
      </w:r>
    </w:p>
    <w:p w:rsidR="00D03C46" w:rsidRDefault="00BD37FC">
      <w:pPr>
        <w:pStyle w:val="ManualNumPar1"/>
        <w:rPr>
          <w:rFonts w:eastAsia="Times New Roman"/>
          <w:noProof/>
          <w:szCs w:val="24"/>
        </w:rPr>
      </w:pPr>
      <w:r>
        <w:t>2.</w:t>
      </w:r>
      <w:r>
        <w:tab/>
      </w:r>
      <w:r>
        <w:rPr>
          <w:noProof/>
        </w:rPr>
        <w:t>Edustajakanteet, joissa vaaditaan 5 artiklan 2 kohdan a al</w:t>
      </w:r>
      <w:r>
        <w:rPr>
          <w:noProof/>
        </w:rPr>
        <w:t>akohdassa tarkoitettua väliaikaista kieltomääräystä, on käsiteltävä nopeutetussa menettelyssä.</w:t>
      </w:r>
    </w:p>
    <w:p w:rsidR="00D03C46" w:rsidRDefault="00BD37FC">
      <w:pPr>
        <w:pStyle w:val="Titrearticle"/>
        <w:rPr>
          <w:noProof/>
        </w:rPr>
      </w:pPr>
      <w:r>
        <w:rPr>
          <w:noProof/>
        </w:rPr>
        <w:t>13 artikla</w:t>
      </w:r>
    </w:p>
    <w:p w:rsidR="00D03C46" w:rsidRDefault="00BD37FC">
      <w:pPr>
        <w:pStyle w:val="NormalCentered"/>
        <w:rPr>
          <w:b/>
          <w:noProof/>
        </w:rPr>
      </w:pPr>
      <w:r>
        <w:rPr>
          <w:b/>
          <w:noProof/>
        </w:rPr>
        <w:t>Todisteet</w:t>
      </w:r>
    </w:p>
    <w:p w:rsidR="00D03C46" w:rsidRDefault="00BD37FC">
      <w:pPr>
        <w:rPr>
          <w:noProof/>
        </w:rPr>
      </w:pPr>
      <w:r>
        <w:rPr>
          <w:noProof/>
        </w:rPr>
        <w:t>Jäsenvaltioiden on varmistettava, että kun oikeutettu yksikkö on esittänyt kohtuullisesti saatavissa olevat, edustajakannetta tukevat tosise</w:t>
      </w:r>
      <w:r>
        <w:rPr>
          <w:noProof/>
        </w:rPr>
        <w:t>ikat ja todisteet sekä viitannut vastaajan hallussa oleviin lisätodisteisiin, tuomioistuin tai hallintoviranomainen voi oikeutetun yksikön pyynnöstä kansallisten menettelysääntöjen mukaisesti ja ottaen huomioon unionin ja kansalliset salassapitosäännöt mää</w:t>
      </w:r>
      <w:r>
        <w:rPr>
          <w:noProof/>
        </w:rPr>
        <w:t>rätä vastaajan esittämään tällaiset lisätodisteet.</w:t>
      </w:r>
    </w:p>
    <w:p w:rsidR="00D03C46" w:rsidRDefault="00BD37FC">
      <w:pPr>
        <w:pStyle w:val="Titrearticle"/>
        <w:rPr>
          <w:noProof/>
        </w:rPr>
      </w:pPr>
      <w:r>
        <w:rPr>
          <w:noProof/>
        </w:rPr>
        <w:t>14 artikla</w:t>
      </w:r>
    </w:p>
    <w:p w:rsidR="00D03C46" w:rsidRDefault="00BD37FC">
      <w:pPr>
        <w:pStyle w:val="NormalCentered"/>
        <w:rPr>
          <w:b/>
          <w:noProof/>
        </w:rPr>
      </w:pPr>
      <w:r>
        <w:rPr>
          <w:b/>
          <w:noProof/>
        </w:rPr>
        <w:t>Seuraamukset</w:t>
      </w:r>
    </w:p>
    <w:p w:rsidR="00D03C46" w:rsidRDefault="00BD37FC">
      <w:pPr>
        <w:pStyle w:val="ManualNumPar1"/>
        <w:rPr>
          <w:noProof/>
        </w:rPr>
      </w:pPr>
      <w:r>
        <w:t>1.</w:t>
      </w:r>
      <w:r>
        <w:tab/>
      </w:r>
      <w:r>
        <w:rPr>
          <w:noProof/>
        </w:rPr>
        <w:t>Jäsenvaltioiden on vahvistettava säännöt seuraamuksille, jotka määrätään edustajakanteen käsittelyn yhteydessä annettujen lainvoimaisten päätösten noudattamatta jättämisestä, sek</w:t>
      </w:r>
      <w:r>
        <w:rPr>
          <w:noProof/>
        </w:rPr>
        <w:t xml:space="preserve">ä toteutettava kaikki tarvittavat toimenpiteet sen varmistamiseksi, että säännöt pannaan täytäntöön. Seuraamusten on oltava tehokkaita, oikeasuhteisia ja varoittavia. </w:t>
      </w:r>
    </w:p>
    <w:p w:rsidR="00D03C46" w:rsidRDefault="00BD37FC">
      <w:pPr>
        <w:pStyle w:val="ManualNumPar1"/>
        <w:rPr>
          <w:noProof/>
        </w:rPr>
      </w:pPr>
      <w:r>
        <w:t>2.</w:t>
      </w:r>
      <w:r>
        <w:tab/>
      </w:r>
      <w:r>
        <w:rPr>
          <w:noProof/>
        </w:rPr>
        <w:t>Jäsenvaltioiden on varmistettava, että seuraamuksina voidaan määrätä sakkoja.</w:t>
      </w:r>
    </w:p>
    <w:p w:rsidR="00D03C46" w:rsidRDefault="00BD37FC">
      <w:pPr>
        <w:pStyle w:val="ManualNumPar1"/>
        <w:rPr>
          <w:rFonts w:eastAsia="Times New Roman"/>
          <w:bCs/>
          <w:noProof/>
          <w:szCs w:val="24"/>
        </w:rPr>
      </w:pPr>
      <w:r>
        <w:lastRenderedPageBreak/>
        <w:t>3.</w:t>
      </w:r>
      <w:r>
        <w:tab/>
      </w:r>
      <w:r>
        <w:rPr>
          <w:noProof/>
        </w:rPr>
        <w:t xml:space="preserve">Kun </w:t>
      </w:r>
      <w:r>
        <w:rPr>
          <w:noProof/>
        </w:rPr>
        <w:t>jäsenvaltiot päättävät, mihin tarkoitukseen sakoista saadut tulot käytetään, niiden on otettava huomioon kuluttajien yhteiset edut.</w:t>
      </w:r>
    </w:p>
    <w:p w:rsidR="00D03C46" w:rsidRDefault="00BD37FC">
      <w:pPr>
        <w:pStyle w:val="ManualNumPar1"/>
        <w:rPr>
          <w:noProof/>
        </w:rPr>
      </w:pPr>
      <w:r>
        <w:t>4.</w:t>
      </w:r>
      <w:r>
        <w:tab/>
      </w:r>
      <w:r>
        <w:rPr>
          <w:noProof/>
        </w:rPr>
        <w:t>Jäsenvaltioiden on annettava komissiolle tiedoksi 1 kohdassa tarkoitetut säännökset viimeistään [</w:t>
      </w:r>
      <w:r>
        <w:rPr>
          <w:i/>
          <w:noProof/>
        </w:rPr>
        <w:t xml:space="preserve">päivä, jona direktiivi </w:t>
      </w:r>
      <w:r>
        <w:rPr>
          <w:i/>
          <w:noProof/>
        </w:rPr>
        <w:t>saatetaan osaksi kansallista lainsäädäntöä</w:t>
      </w:r>
      <w:r>
        <w:rPr>
          <w:noProof/>
        </w:rPr>
        <w:t>] ja kaikki niihin myöhemmin tehtävät muutokset viipymättä.</w:t>
      </w:r>
    </w:p>
    <w:p w:rsidR="00D03C46" w:rsidRDefault="00BD37FC">
      <w:pPr>
        <w:pStyle w:val="Titrearticle"/>
        <w:rPr>
          <w:noProof/>
        </w:rPr>
      </w:pPr>
      <w:r>
        <w:rPr>
          <w:noProof/>
        </w:rPr>
        <w:t>15 artikla</w:t>
      </w:r>
    </w:p>
    <w:p w:rsidR="00D03C46" w:rsidRDefault="00BD37FC">
      <w:pPr>
        <w:pStyle w:val="NormalCentered"/>
        <w:rPr>
          <w:i/>
          <w:noProof/>
        </w:rPr>
      </w:pPr>
      <w:r>
        <w:rPr>
          <w:b/>
          <w:noProof/>
        </w:rPr>
        <w:t>Oikeutetuille yksiköille annettava tuki</w:t>
      </w:r>
    </w:p>
    <w:p w:rsidR="00D03C46" w:rsidRDefault="00BD37FC">
      <w:pPr>
        <w:pStyle w:val="ManualNumPar1"/>
        <w:rPr>
          <w:noProof/>
        </w:rPr>
      </w:pPr>
      <w:r>
        <w:t>1.</w:t>
      </w:r>
      <w:r>
        <w:tab/>
      </w:r>
      <w:r>
        <w:rPr>
          <w:noProof/>
        </w:rPr>
        <w:t>Jäsenvaltioiden on toteutettava tarvittavat toimenpiteet sen varmistamiseksi, että edustajakanteisii</w:t>
      </w:r>
      <w:r>
        <w:rPr>
          <w:noProof/>
        </w:rPr>
        <w:t>n liittyvät oikeudenkäyntikulut eivät muodosta taloudellista estettä, jonka vuoksi oikeutetut yksiköt eivät tosiasiassa käyttäisi oikeuttaan vaatia 5 ja 6 artiklassa tarkoitettuja toimenpiteitä; tässä tarkoituksessa voitaisiin esimerkiksi alentaa tuomioist</w:t>
      </w:r>
      <w:r>
        <w:rPr>
          <w:noProof/>
        </w:rPr>
        <w:t xml:space="preserve">uinten ja hallintoviranomaisten palkkioita, tarjota oikeutetuille yksiköille mahdollisuus saada tarvittaessa oikeusapua tai myöntää niille tätä varten julkista rahoitusta. </w:t>
      </w:r>
    </w:p>
    <w:p w:rsidR="00D03C46" w:rsidRDefault="00BD37FC">
      <w:pPr>
        <w:pStyle w:val="ManualNumPar1"/>
        <w:rPr>
          <w:noProof/>
        </w:rPr>
      </w:pPr>
      <w:r>
        <w:t>2.</w:t>
      </w:r>
      <w:r>
        <w:tab/>
      </w:r>
      <w:r>
        <w:rPr>
          <w:noProof/>
        </w:rPr>
        <w:t xml:space="preserve">Jäsenvaltioiden on toteutettava tarvittavat toimenpiteet sen varmistamiseksi, </w:t>
      </w:r>
      <w:r>
        <w:rPr>
          <w:noProof/>
        </w:rPr>
        <w:t>että tapauksissa, joissa oikeutettujen yksiköiden on ilmoitettava vireillä olevasta edustajakanteesta asianomaisille kuluttajille, ilmoittamisesta aiheutuvat kulut voidaan periä takaisin elinkeinonharjoittajalta, jos kanne hyväksytään.</w:t>
      </w:r>
    </w:p>
    <w:p w:rsidR="00D03C46" w:rsidRDefault="00BD37FC">
      <w:pPr>
        <w:pStyle w:val="ManualNumPar1"/>
        <w:rPr>
          <w:rFonts w:eastAsia="Times New Roman"/>
          <w:noProof/>
          <w:szCs w:val="24"/>
        </w:rPr>
      </w:pPr>
      <w:r>
        <w:t>3.</w:t>
      </w:r>
      <w:r>
        <w:tab/>
      </w:r>
      <w:r>
        <w:rPr>
          <w:noProof/>
        </w:rPr>
        <w:t>Jäsenvaltioiden j</w:t>
      </w:r>
      <w:r>
        <w:rPr>
          <w:noProof/>
        </w:rPr>
        <w:t>a komission on tuettava ja edistettävä oikeutettujen yksiköiden yhteistyötä sekä kotimaisten ja rajat ylittävien rikkomisten poistamista koskevien parhaiden käytäntöjen ja kokemusten vaihtamista ja levittämistä.</w:t>
      </w:r>
    </w:p>
    <w:p w:rsidR="00D03C46" w:rsidRDefault="00BD37FC">
      <w:pPr>
        <w:pStyle w:val="Titrearticle"/>
        <w:rPr>
          <w:noProof/>
        </w:rPr>
      </w:pPr>
      <w:r>
        <w:rPr>
          <w:noProof/>
        </w:rPr>
        <w:t>16 artikla</w:t>
      </w:r>
    </w:p>
    <w:p w:rsidR="00D03C46" w:rsidRDefault="00BD37FC">
      <w:pPr>
        <w:pStyle w:val="NormalCentered"/>
        <w:rPr>
          <w:b/>
          <w:noProof/>
        </w:rPr>
      </w:pPr>
      <w:r>
        <w:rPr>
          <w:b/>
          <w:noProof/>
        </w:rPr>
        <w:t>Rajat ylittävät edustajakanteet</w:t>
      </w:r>
    </w:p>
    <w:p w:rsidR="00D03C46" w:rsidRDefault="00BD37FC">
      <w:pPr>
        <w:pStyle w:val="ManualNumPar1"/>
        <w:rPr>
          <w:noProof/>
        </w:rPr>
      </w:pPr>
      <w:r>
        <w:t>1</w:t>
      </w:r>
      <w:r>
        <w:t>.</w:t>
      </w:r>
      <w:r>
        <w:tab/>
      </w:r>
      <w:r>
        <w:rPr>
          <w:noProof/>
        </w:rPr>
        <w:t xml:space="preserve">Jäsenvaltioiden on toteutettava tarvittavat toimenpiteet sen varmistamiseksi, että jokainen oikeutettu yksikkö, joka on etukäteen nimetty yhdessä jäsenvaltiossa 4 artiklan 1 kohdan mukaisesti, voi nostaa kanteita toisen jäsenvaltion tuomioistuimessa tai </w:t>
      </w:r>
      <w:r>
        <w:rPr>
          <w:noProof/>
        </w:rPr>
        <w:t>hallintoviranomaisessa toimitettuaan nähtäväksi 4 artiklassa tarkoitetun julkisesti saatavilla olevan luettelon. Tuomioistuinten ja hallintoviranomaisten on hyväksyttävä tämä luettelo todisteeksi oikeutetun yksikön kanneoikeudesta, mikä ei kuitenkaan rajoi</w:t>
      </w:r>
      <w:r>
        <w:rPr>
          <w:noProof/>
        </w:rPr>
        <w:t>ta niiden oikeutta tutkia, onko oikeutetulla yksiköllä tarkoituksensa nojalla perusteet nostaa kanne kyseisessä tapauksessa.</w:t>
      </w:r>
    </w:p>
    <w:p w:rsidR="00D03C46" w:rsidRDefault="00BD37FC">
      <w:pPr>
        <w:pStyle w:val="ManualNumPar1"/>
        <w:rPr>
          <w:noProof/>
        </w:rPr>
      </w:pPr>
      <w:r>
        <w:t>2.</w:t>
      </w:r>
      <w:r>
        <w:tab/>
      </w:r>
      <w:r>
        <w:rPr>
          <w:noProof/>
        </w:rPr>
        <w:t>Jäsenvaltioiden on varmistettava, että silloin kun rikkominen vaikuttaa tai todennäköisesti vaikuttaa eri jäsenvaltioiden kulutt</w:t>
      </w:r>
      <w:r>
        <w:rPr>
          <w:noProof/>
        </w:rPr>
        <w:t>ajiin, useat oikeutetut yksiköt eri jäsenvaltioista voivat näiden kuluttajien yhteisten etujen suojaamiseksi nostaa edustajakanteita jäsenvaltion toimivaltaisessa tuomioistuimessa tai hallintoviranomaisessa joko esiintyen yhdessä tai yhden oikeutetun yksik</w:t>
      </w:r>
      <w:r>
        <w:rPr>
          <w:noProof/>
        </w:rPr>
        <w:t>ön edustamana.</w:t>
      </w:r>
    </w:p>
    <w:p w:rsidR="00D03C46" w:rsidRDefault="00BD37FC">
      <w:pPr>
        <w:pStyle w:val="ManualNumPar1"/>
        <w:rPr>
          <w:noProof/>
        </w:rPr>
      </w:pPr>
      <w:r>
        <w:t>3.</w:t>
      </w:r>
      <w:r>
        <w:tab/>
      </w:r>
      <w:r>
        <w:rPr>
          <w:noProof/>
        </w:rPr>
        <w:t>Rajat ylittävien edustajakanteiden nostamista varten ja rajoittamatta muille yksiköille kansallisessa lainsäädännössä myönnettyjä oikeuksia jäsenvaltioiden on toimitettava komissiolle luettelo etukäteen nimetyistä oikeutetuista yksiköistä</w:t>
      </w:r>
      <w:r>
        <w:rPr>
          <w:noProof/>
        </w:rPr>
        <w:t>. Jäsenvaltioiden on ilmoitettava komissiolle näiden oikeutettujen yksiköiden nimi ja tarkoitus. Komissio julkistaa nämä tiedot ja pitää ne ajan tasalla.</w:t>
      </w:r>
    </w:p>
    <w:p w:rsidR="00D03C46" w:rsidRDefault="00BD37FC">
      <w:pPr>
        <w:pStyle w:val="ManualNumPar1"/>
        <w:rPr>
          <w:rFonts w:eastAsia="Times New Roman"/>
          <w:noProof/>
        </w:rPr>
      </w:pPr>
      <w:r>
        <w:t>4.</w:t>
      </w:r>
      <w:r>
        <w:tab/>
      </w:r>
      <w:r>
        <w:rPr>
          <w:noProof/>
        </w:rPr>
        <w:t>Jos jäsenvaltio tai komissio asettaa kyseenalaiseksi, täyttääkö oikeutettu yksikkö 4 artiklan 1 koh</w:t>
      </w:r>
      <w:r>
        <w:rPr>
          <w:noProof/>
        </w:rPr>
        <w:t xml:space="preserve">dan vaatimukset, jäsenvaltion, joka on nimennyt kyseisen oikeutetun </w:t>
      </w:r>
      <w:r>
        <w:rPr>
          <w:noProof/>
        </w:rPr>
        <w:lastRenderedPageBreak/>
        <w:t>yksikön, on tutkittava asia ja tarvittaessa peruutettava nimeäminen, jos yksi tai useampi vaatimus ei täyty.</w:t>
      </w:r>
    </w:p>
    <w:p w:rsidR="00D03C46" w:rsidRDefault="00BD37FC">
      <w:pPr>
        <w:pStyle w:val="ChapterTitle"/>
        <w:rPr>
          <w:noProof/>
        </w:rPr>
      </w:pPr>
      <w:r>
        <w:rPr>
          <w:noProof/>
        </w:rPr>
        <w:t>Luku 3</w:t>
      </w:r>
    </w:p>
    <w:p w:rsidR="00D03C46" w:rsidRDefault="00BD37FC">
      <w:pPr>
        <w:pStyle w:val="ChapterTitle"/>
        <w:rPr>
          <w:noProof/>
        </w:rPr>
      </w:pPr>
      <w:r>
        <w:rPr>
          <w:noProof/>
        </w:rPr>
        <w:t>Loppusäännökset</w:t>
      </w:r>
    </w:p>
    <w:p w:rsidR="00D03C46" w:rsidRDefault="00BD37FC">
      <w:pPr>
        <w:pStyle w:val="Titrearticle"/>
        <w:rPr>
          <w:noProof/>
        </w:rPr>
      </w:pPr>
      <w:r>
        <w:rPr>
          <w:noProof/>
        </w:rPr>
        <w:t>17 artikla</w:t>
      </w:r>
    </w:p>
    <w:p w:rsidR="00D03C46" w:rsidRDefault="00BD37FC">
      <w:pPr>
        <w:pStyle w:val="NormalCentered"/>
        <w:rPr>
          <w:b/>
          <w:noProof/>
        </w:rPr>
      </w:pPr>
      <w:r>
        <w:rPr>
          <w:b/>
          <w:noProof/>
        </w:rPr>
        <w:t>Kumoaminen</w:t>
      </w:r>
    </w:p>
    <w:p w:rsidR="00D03C46" w:rsidRDefault="00BD37FC">
      <w:pPr>
        <w:rPr>
          <w:rFonts w:eastAsia="Times New Roman"/>
          <w:noProof/>
        </w:rPr>
      </w:pPr>
      <w:r>
        <w:rPr>
          <w:noProof/>
        </w:rPr>
        <w:t>Kumotaan direktiivi 2009/22/EU [</w:t>
      </w:r>
      <w:r>
        <w:rPr>
          <w:i/>
          <w:noProof/>
        </w:rPr>
        <w:t>tä</w:t>
      </w:r>
      <w:r>
        <w:rPr>
          <w:i/>
          <w:noProof/>
        </w:rPr>
        <w:t>män direktiivin soveltamisen alkamispäivä]</w:t>
      </w:r>
      <w:r>
        <w:rPr>
          <w:noProof/>
        </w:rPr>
        <w:t xml:space="preserve"> lähtien, sanotun kuitenkaan rajoittamatta 20 artiklan 2 kohdan soveltamista.</w:t>
      </w:r>
    </w:p>
    <w:p w:rsidR="00D03C46" w:rsidRDefault="00BD37FC">
      <w:pPr>
        <w:rPr>
          <w:rFonts w:eastAsia="Times New Roman"/>
          <w:noProof/>
        </w:rPr>
      </w:pPr>
      <w:r>
        <w:rPr>
          <w:noProof/>
        </w:rPr>
        <w:t>Viittauksia kumottuun direktiiviin pidetään viittauksina tähän direktiiviin liitteessä II olevan vastaavuustaulukon mukaisesti.</w:t>
      </w:r>
    </w:p>
    <w:p w:rsidR="00D03C46" w:rsidRDefault="00D03C46">
      <w:pPr>
        <w:rPr>
          <w:rFonts w:eastAsia="Times New Roman"/>
          <w:noProof/>
        </w:rPr>
      </w:pPr>
    </w:p>
    <w:p w:rsidR="00D03C46" w:rsidRDefault="00BD37FC">
      <w:pPr>
        <w:jc w:val="center"/>
        <w:rPr>
          <w:rFonts w:eastAsia="Times New Roman"/>
          <w:i/>
          <w:noProof/>
        </w:rPr>
      </w:pPr>
      <w:r>
        <w:rPr>
          <w:i/>
          <w:noProof/>
        </w:rPr>
        <w:t>18 arti</w:t>
      </w:r>
      <w:r>
        <w:rPr>
          <w:i/>
          <w:noProof/>
        </w:rPr>
        <w:t>kla</w:t>
      </w:r>
    </w:p>
    <w:p w:rsidR="00D03C46" w:rsidRDefault="00BD37FC">
      <w:pPr>
        <w:pStyle w:val="NormalCentered"/>
        <w:rPr>
          <w:b/>
          <w:noProof/>
        </w:rPr>
      </w:pPr>
      <w:r>
        <w:rPr>
          <w:b/>
          <w:noProof/>
        </w:rPr>
        <w:t>Seuranta ja arviointi</w:t>
      </w:r>
    </w:p>
    <w:p w:rsidR="00D03C46" w:rsidRDefault="00BD37FC">
      <w:pPr>
        <w:pStyle w:val="ManualNumPar1"/>
        <w:rPr>
          <w:noProof/>
        </w:rPr>
      </w:pPr>
      <w:r>
        <w:t>1.</w:t>
      </w:r>
      <w:r>
        <w:tab/>
      </w:r>
      <w:r>
        <w:rPr>
          <w:noProof/>
        </w:rPr>
        <w:t>Komissio toteuttaa aikaisintaan viiden vuoden kuluttua tämän direktiivin soveltamisen alkamispäivästä direktiivin arvioinnin ja esittää Euroopan parlamentille, neuvostolle ja Euroopan talous- ja sosiaalikomitealle kertomuksen t</w:t>
      </w:r>
      <w:r>
        <w:rPr>
          <w:noProof/>
        </w:rPr>
        <w:t>ärkeimmistä arvioinnin yhteydessä tehdyistä havainnoista. Arviointi toteutetaan paremmasta sääntelystä annettujen komission suuntaviivojen mukaisesti. Kertomuksessaan komissio arvioi erityisesti direktiivin soveltamisalaa sellaisena kuin se on määritelty 2</w:t>
      </w:r>
      <w:r>
        <w:rPr>
          <w:noProof/>
        </w:rPr>
        <w:t xml:space="preserve"> artiklassa ja liitteessä I.</w:t>
      </w:r>
    </w:p>
    <w:p w:rsidR="00D03C46" w:rsidRDefault="00BD37FC">
      <w:pPr>
        <w:pStyle w:val="ManualNumPar1"/>
        <w:rPr>
          <w:noProof/>
        </w:rPr>
      </w:pPr>
      <w:r>
        <w:t>2.</w:t>
      </w:r>
      <w:r>
        <w:tab/>
      </w:r>
      <w:r>
        <w:rPr>
          <w:noProof/>
        </w:rPr>
        <w:t xml:space="preserve">Viimeistään vuoden kuluttua direktiivin voimaantulosta komissio arvioi, tarjoavatko lento- ja rautatiematkustajien oikeuksia koskevat säännöt kuluttajansuojan, joka vastaa tasoltaan tässä direktiivissä säädettyä suojaa. Jos </w:t>
      </w:r>
      <w:r>
        <w:rPr>
          <w:noProof/>
        </w:rPr>
        <w:t>direktiivin mukainen suoja toteutuu, komissio tekee asianmukaiset ehdotukset, joihin voi kuulua muun muassa se, että säädökset, joita tarkoitetaan liitteessä I olevissa 10 ja 15 kohdassa, poistetaan direktiivin soveltamisalasta, joka on määritelty direktii</w:t>
      </w:r>
      <w:r>
        <w:rPr>
          <w:noProof/>
        </w:rPr>
        <w:t>vin 2 artiklassa.</w:t>
      </w:r>
    </w:p>
    <w:p w:rsidR="00D03C46" w:rsidRDefault="00BD37FC">
      <w:pPr>
        <w:pStyle w:val="ManualNumPar1"/>
        <w:rPr>
          <w:rFonts w:eastAsia="Times New Roman"/>
          <w:noProof/>
        </w:rPr>
      </w:pPr>
      <w:r>
        <w:t>3.</w:t>
      </w:r>
      <w:r>
        <w:tab/>
      </w:r>
      <w:r>
        <w:rPr>
          <w:noProof/>
        </w:rPr>
        <w:t>Jäsenvaltioiden on toimitettava komissiolle vuosittain ja ensimmäisen kerran viimeistään neljän vuoden kuluttua tämän direktiivin soveltamisen alkamispäivästä 1 kohdassa tarkoitetun kertomuksen laatimiseksi seuraavat tiedot:</w:t>
      </w:r>
    </w:p>
    <w:p w:rsidR="00D03C46" w:rsidRDefault="00BD37FC">
      <w:pPr>
        <w:pStyle w:val="Point1"/>
        <w:rPr>
          <w:noProof/>
        </w:rPr>
      </w:pPr>
      <w:r>
        <w:rPr>
          <w:noProof/>
        </w:rPr>
        <w:t>a)</w:t>
      </w:r>
      <w:r>
        <w:rPr>
          <w:noProof/>
        </w:rPr>
        <w:tab/>
        <w:t>hallint</w:t>
      </w:r>
      <w:r>
        <w:rPr>
          <w:noProof/>
        </w:rPr>
        <w:t>oviranomaisissa ja tuomioistuimissa tämän direktiivin nojalla nostettujen edustajakanteiden määrä;</w:t>
      </w:r>
    </w:p>
    <w:p w:rsidR="00D03C46" w:rsidRDefault="00BD37FC">
      <w:pPr>
        <w:pStyle w:val="Point1"/>
        <w:rPr>
          <w:noProof/>
        </w:rPr>
      </w:pPr>
      <w:r>
        <w:rPr>
          <w:noProof/>
        </w:rPr>
        <w:t>b)</w:t>
      </w:r>
      <w:r>
        <w:rPr>
          <w:noProof/>
        </w:rPr>
        <w:tab/>
        <w:t>kanteita nostaneiden oikeutettujen yksiköiden tyypit;</w:t>
      </w:r>
    </w:p>
    <w:p w:rsidR="00D03C46" w:rsidRDefault="00BD37FC">
      <w:pPr>
        <w:pStyle w:val="Point1"/>
        <w:rPr>
          <w:noProof/>
        </w:rPr>
      </w:pPr>
      <w:r>
        <w:rPr>
          <w:noProof/>
        </w:rPr>
        <w:t>c)</w:t>
      </w:r>
      <w:r>
        <w:rPr>
          <w:noProof/>
        </w:rPr>
        <w:tab/>
        <w:t>niiden rikkomisten tyypit, joihin edustajakanteiden avulla on puututtu, edustajakanteiden osapuol</w:t>
      </w:r>
      <w:r>
        <w:rPr>
          <w:noProof/>
        </w:rPr>
        <w:t xml:space="preserve">et sekä talouden alat, joita edustajakanteet ovat koskeneet; </w:t>
      </w:r>
    </w:p>
    <w:p w:rsidR="00D03C46" w:rsidRDefault="00BD37FC">
      <w:pPr>
        <w:pStyle w:val="Point1"/>
        <w:rPr>
          <w:noProof/>
        </w:rPr>
      </w:pPr>
      <w:r>
        <w:rPr>
          <w:noProof/>
        </w:rPr>
        <w:t>d)</w:t>
      </w:r>
      <w:r>
        <w:rPr>
          <w:noProof/>
        </w:rPr>
        <w:tab/>
        <w:t>oikeudenkäyntien kesto kanteen nostamisesta siihen, kun asiassa on annettu 5 artiklassa tarkoitettu lainvoimainen kieltomääräys tai 6 artiklassa tarkoitettu hyvitysmääräys tai vahvistustuomio</w:t>
      </w:r>
      <w:r>
        <w:rPr>
          <w:noProof/>
        </w:rPr>
        <w:t xml:space="preserve"> tai kun 8 artiklassa tarkoitettu sovintoratkaisu on lainvoimaisesti hyväksytty;</w:t>
      </w:r>
    </w:p>
    <w:p w:rsidR="00D03C46" w:rsidRDefault="00BD37FC">
      <w:pPr>
        <w:pStyle w:val="Point1"/>
        <w:rPr>
          <w:noProof/>
        </w:rPr>
      </w:pPr>
      <w:r>
        <w:rPr>
          <w:noProof/>
        </w:rPr>
        <w:t>e)</w:t>
      </w:r>
      <w:r>
        <w:rPr>
          <w:noProof/>
        </w:rPr>
        <w:tab/>
        <w:t xml:space="preserve">edustajakanteiden tulokset; </w:t>
      </w:r>
    </w:p>
    <w:p w:rsidR="00D03C46" w:rsidRDefault="00BD37FC">
      <w:pPr>
        <w:pStyle w:val="Point1"/>
        <w:rPr>
          <w:noProof/>
        </w:rPr>
      </w:pPr>
      <w:r>
        <w:rPr>
          <w:noProof/>
        </w:rPr>
        <w:lastRenderedPageBreak/>
        <w:t>f)</w:t>
      </w:r>
      <w:r>
        <w:rPr>
          <w:noProof/>
        </w:rPr>
        <w:tab/>
        <w:t xml:space="preserve">niiden oikeutettujen yksiköiden lukumäärä, jotka osallistuvat 15 artiklan 3 kohdassa tarkoitettuun yhteistyötä ja parhaiden käytäntöjen </w:t>
      </w:r>
      <w:r>
        <w:rPr>
          <w:noProof/>
        </w:rPr>
        <w:t>vaihtoa koskevaan mekanismiin.</w:t>
      </w:r>
    </w:p>
    <w:p w:rsidR="00D03C46" w:rsidRDefault="00BD37FC">
      <w:pPr>
        <w:pStyle w:val="Titrearticle"/>
        <w:rPr>
          <w:noProof/>
        </w:rPr>
      </w:pPr>
      <w:r>
        <w:rPr>
          <w:noProof/>
        </w:rPr>
        <w:t>19 artikla</w:t>
      </w:r>
    </w:p>
    <w:p w:rsidR="00D03C46" w:rsidRDefault="00BD37FC">
      <w:pPr>
        <w:pStyle w:val="NormalCentered"/>
        <w:rPr>
          <w:b/>
          <w:noProof/>
        </w:rPr>
      </w:pPr>
      <w:r>
        <w:rPr>
          <w:b/>
          <w:noProof/>
        </w:rPr>
        <w:t>Saattaminen osaksi kansallista lainsäädäntöä</w:t>
      </w:r>
    </w:p>
    <w:p w:rsidR="00D03C46" w:rsidRDefault="00BD37FC">
      <w:pPr>
        <w:pStyle w:val="ManualNumPar1"/>
        <w:rPr>
          <w:noProof/>
        </w:rPr>
      </w:pPr>
      <w:r>
        <w:t>1.</w:t>
      </w:r>
      <w:r>
        <w:tab/>
      </w:r>
      <w:r>
        <w:rPr>
          <w:noProof/>
        </w:rPr>
        <w:t>Jäsenvaltioiden on annettava ja julkaistava viimeistään [</w:t>
      </w:r>
      <w:r>
        <w:rPr>
          <w:i/>
          <w:noProof/>
        </w:rPr>
        <w:t>18 kuukauden kuluttua tämän direktiivin voimaantulosta</w:t>
      </w:r>
      <w:r>
        <w:rPr>
          <w:noProof/>
        </w:rPr>
        <w:t xml:space="preserve">] tämän direktiivin noudattamisen edellyttämät lait, </w:t>
      </w:r>
      <w:r>
        <w:rPr>
          <w:noProof/>
        </w:rPr>
        <w:t>asetukset ja hallinnolliset määräykset. Niiden on viipymättä toimitettava nämä säännökset kirjallisina komissiolle.</w:t>
      </w:r>
    </w:p>
    <w:p w:rsidR="00D03C46" w:rsidRDefault="00BD37FC">
      <w:pPr>
        <w:pStyle w:val="Text1"/>
        <w:rPr>
          <w:noProof/>
        </w:rPr>
      </w:pPr>
      <w:r>
        <w:rPr>
          <w:noProof/>
        </w:rPr>
        <w:t>Jäsenvaltioiden on sovellettava näitä säännöksiä [</w:t>
      </w:r>
      <w:r>
        <w:rPr>
          <w:i/>
          <w:noProof/>
        </w:rPr>
        <w:t>kuusi kuukautta sen määräajan jälkeen, joka on asetettu saattamiselle osaksi kansallista l</w:t>
      </w:r>
      <w:r>
        <w:rPr>
          <w:i/>
          <w:noProof/>
        </w:rPr>
        <w:t>ainsäädäntöä</w:t>
      </w:r>
      <w:r>
        <w:rPr>
          <w:noProof/>
        </w:rPr>
        <w:t>] lähtien.</w:t>
      </w:r>
    </w:p>
    <w:p w:rsidR="00D03C46" w:rsidRDefault="00BD37FC">
      <w:pPr>
        <w:pStyle w:val="Text1"/>
        <w:rPr>
          <w:noProof/>
        </w:rPr>
      </w:pPr>
      <w:r>
        <w:rPr>
          <w:noProof/>
        </w:rPr>
        <w:t>Näissä jäsenvaltioiden antamissa säännöksissä on viitattava tähän direktiiviin tai niihin on liitettävä tällainen viittaus, kun ne julkaistaan virallisesti. Jäsenvaltioiden on säädettävä siitä, miten viittaukset tehdään.</w:t>
      </w:r>
    </w:p>
    <w:p w:rsidR="00D03C46" w:rsidRDefault="00BD37FC">
      <w:pPr>
        <w:pStyle w:val="ManualNumPar1"/>
        <w:rPr>
          <w:noProof/>
        </w:rPr>
      </w:pPr>
      <w:r>
        <w:t>2.</w:t>
      </w:r>
      <w:r>
        <w:tab/>
      </w:r>
      <w:r>
        <w:rPr>
          <w:noProof/>
        </w:rPr>
        <w:t>Jäsenvalt</w:t>
      </w:r>
      <w:r>
        <w:rPr>
          <w:noProof/>
        </w:rPr>
        <w:t>ioiden on toimitettava tässä direktiivissä säännellyistä kysymyksistä antamansa kansalliset säännökset kirjallisina komissiolle.</w:t>
      </w:r>
    </w:p>
    <w:p w:rsidR="00D03C46" w:rsidRDefault="00BD37FC">
      <w:pPr>
        <w:pStyle w:val="Titrearticle"/>
        <w:rPr>
          <w:noProof/>
        </w:rPr>
      </w:pPr>
      <w:r>
        <w:rPr>
          <w:noProof/>
        </w:rPr>
        <w:t>20 artikla</w:t>
      </w:r>
    </w:p>
    <w:p w:rsidR="00D03C46" w:rsidRDefault="00BD37FC">
      <w:pPr>
        <w:pStyle w:val="NormalCentered"/>
        <w:rPr>
          <w:b/>
          <w:noProof/>
        </w:rPr>
      </w:pPr>
      <w:r>
        <w:rPr>
          <w:b/>
          <w:noProof/>
        </w:rPr>
        <w:t>Siirtymäsäännökset</w:t>
      </w:r>
    </w:p>
    <w:p w:rsidR="00D03C46" w:rsidRDefault="00BD37FC">
      <w:pPr>
        <w:pStyle w:val="ManualNumPar1"/>
        <w:rPr>
          <w:noProof/>
        </w:rPr>
      </w:pPr>
      <w:r>
        <w:t>1.</w:t>
      </w:r>
      <w:r>
        <w:tab/>
      </w:r>
      <w:r>
        <w:rPr>
          <w:noProof/>
        </w:rPr>
        <w:t>Jäsenvaltioiden on sovellettava lakeja, asetuksia ja hallinnollisia määräyksiä, joilla tämä di</w:t>
      </w:r>
      <w:r>
        <w:rPr>
          <w:noProof/>
        </w:rPr>
        <w:t>rektiivi on saatettu osaksi kansallista lainsäädäntöä, rikkomisiin, jotka ovat alkaneet [</w:t>
      </w:r>
      <w:r>
        <w:rPr>
          <w:i/>
          <w:noProof/>
        </w:rPr>
        <w:t>direktiivin soveltamisen alkamispäivä</w:t>
      </w:r>
      <w:r>
        <w:rPr>
          <w:noProof/>
        </w:rPr>
        <w:t>] tai sen jälkeen.</w:t>
      </w:r>
    </w:p>
    <w:p w:rsidR="00D03C46" w:rsidRDefault="00BD37FC">
      <w:pPr>
        <w:pStyle w:val="ManualNumPar1"/>
        <w:rPr>
          <w:noProof/>
        </w:rPr>
      </w:pPr>
      <w:r>
        <w:t>2.</w:t>
      </w:r>
      <w:r>
        <w:tab/>
      </w:r>
      <w:r>
        <w:rPr>
          <w:noProof/>
        </w:rPr>
        <w:t>Jäsenvaltioiden on sovellettava lakeja, asetuksia ja hallinnollisia määräyksiä, joilla direktiivi 2009/22/EY</w:t>
      </w:r>
      <w:r>
        <w:rPr>
          <w:noProof/>
        </w:rPr>
        <w:t xml:space="preserve"> on saatettu osaksi kansallista lainsäädäntöä, rikkomisiin, jotka ovat alkaneet ennen [</w:t>
      </w:r>
      <w:r>
        <w:rPr>
          <w:i/>
          <w:noProof/>
        </w:rPr>
        <w:t>direktiivin soveltamisen alkamispäivä</w:t>
      </w:r>
      <w:r>
        <w:rPr>
          <w:noProof/>
        </w:rPr>
        <w:t>].</w:t>
      </w:r>
    </w:p>
    <w:p w:rsidR="00D03C46" w:rsidRDefault="00BD37FC">
      <w:pPr>
        <w:pStyle w:val="Titrearticle"/>
        <w:rPr>
          <w:noProof/>
        </w:rPr>
      </w:pPr>
      <w:r>
        <w:rPr>
          <w:noProof/>
        </w:rPr>
        <w:t>21 artikla</w:t>
      </w:r>
    </w:p>
    <w:p w:rsidR="00D03C46" w:rsidRDefault="00BD37FC">
      <w:pPr>
        <w:pStyle w:val="NormalCentered"/>
        <w:rPr>
          <w:b/>
          <w:noProof/>
        </w:rPr>
      </w:pPr>
      <w:r>
        <w:rPr>
          <w:b/>
          <w:noProof/>
        </w:rPr>
        <w:t>Voimaantulo</w:t>
      </w:r>
    </w:p>
    <w:p w:rsidR="00D03C46" w:rsidRDefault="00BD37FC">
      <w:pPr>
        <w:rPr>
          <w:noProof/>
        </w:rPr>
      </w:pPr>
      <w:r>
        <w:rPr>
          <w:noProof/>
        </w:rPr>
        <w:t xml:space="preserve">Tämä direktiivi tulee voimaan kahdentenakymmenentenä päivänä sen jälkeen, kun se on julkaistu </w:t>
      </w:r>
      <w:r>
        <w:rPr>
          <w:rStyle w:val="italic"/>
          <w:noProof/>
        </w:rPr>
        <w:t>Euroopan uni</w:t>
      </w:r>
      <w:r>
        <w:rPr>
          <w:rStyle w:val="italic"/>
          <w:noProof/>
        </w:rPr>
        <w:t>onin virallisessa lehdessä</w:t>
      </w:r>
      <w:r>
        <w:rPr>
          <w:noProof/>
        </w:rPr>
        <w:t>.</w:t>
      </w:r>
    </w:p>
    <w:p w:rsidR="00D03C46" w:rsidRDefault="00BD37FC">
      <w:pPr>
        <w:pStyle w:val="Titrearticle"/>
        <w:rPr>
          <w:noProof/>
        </w:rPr>
      </w:pPr>
      <w:r>
        <w:rPr>
          <w:noProof/>
        </w:rPr>
        <w:t>22 artikla</w:t>
      </w:r>
    </w:p>
    <w:p w:rsidR="00D03C46" w:rsidRDefault="00BD37FC">
      <w:pPr>
        <w:pStyle w:val="NormalCentered"/>
        <w:rPr>
          <w:b/>
          <w:noProof/>
        </w:rPr>
      </w:pPr>
      <w:r>
        <w:rPr>
          <w:b/>
          <w:noProof/>
        </w:rPr>
        <w:t>Osoitus</w:t>
      </w:r>
    </w:p>
    <w:p w:rsidR="00D03C46" w:rsidRDefault="00BD37FC">
      <w:pPr>
        <w:rPr>
          <w:noProof/>
        </w:rPr>
      </w:pPr>
      <w:r>
        <w:rPr>
          <w:noProof/>
        </w:rPr>
        <w:t>Tämä direktiivi on osoitettu kaikille jäsenvaltioille.</w:t>
      </w:r>
    </w:p>
    <w:p w:rsidR="00D03C46" w:rsidRDefault="00BD37FC" w:rsidP="00BD37FC">
      <w:pPr>
        <w:pStyle w:val="Fait"/>
        <w:rPr>
          <w:noProof/>
        </w:rPr>
      </w:pPr>
      <w:proofErr w:type="gramStart"/>
      <w:r w:rsidRPr="00BD37FC">
        <w:t>Tehty Brysselissä</w:t>
      </w:r>
      <w:proofErr w:type="gramEnd"/>
    </w:p>
    <w:p w:rsidR="00D03C46" w:rsidRDefault="00BD37FC">
      <w:pPr>
        <w:pStyle w:val="Institutionquisigne"/>
        <w:rPr>
          <w:noProof/>
        </w:rPr>
      </w:pPr>
      <w:r>
        <w:rPr>
          <w:noProof/>
        </w:rPr>
        <w:t>Euroopan parlamentin puolesta</w:t>
      </w:r>
      <w:r>
        <w:rPr>
          <w:noProof/>
        </w:rPr>
        <w:tab/>
        <w:t>Neuvoston puolesta</w:t>
      </w:r>
    </w:p>
    <w:p w:rsidR="00D03C46" w:rsidRDefault="00BD37FC">
      <w:pPr>
        <w:pStyle w:val="Personnequisigne"/>
        <w:rPr>
          <w:noProof/>
        </w:rPr>
      </w:pPr>
      <w:r>
        <w:rPr>
          <w:noProof/>
        </w:rPr>
        <w:t>Puhemies</w:t>
      </w:r>
      <w:r>
        <w:rPr>
          <w:noProof/>
        </w:rPr>
        <w:tab/>
        <w:t>Puheenjohtaja</w:t>
      </w:r>
    </w:p>
    <w:p w:rsidR="00D03C46" w:rsidRDefault="00D03C46">
      <w:pPr>
        <w:rPr>
          <w:noProof/>
        </w:rPr>
        <w:sectPr w:rsidR="00D03C46" w:rsidSect="00BD37FC">
          <w:pgSz w:w="11907" w:h="16839"/>
          <w:pgMar w:top="1134" w:right="1417" w:bottom="1134" w:left="1417" w:header="709" w:footer="709" w:gutter="0"/>
          <w:cols w:space="708"/>
          <w:docGrid w:linePitch="360"/>
        </w:sectPr>
      </w:pPr>
    </w:p>
    <w:p w:rsidR="00D03C46" w:rsidRDefault="00BD37FC">
      <w:pPr>
        <w:pStyle w:val="Fichefinanciretitre"/>
        <w:rPr>
          <w:noProof/>
        </w:rPr>
      </w:pPr>
      <w:r>
        <w:rPr>
          <w:noProof/>
        </w:rPr>
        <w:lastRenderedPageBreak/>
        <w:t>SÄÄDÖSEHDOTUKSEEN LIITTYVÄ RAHOITUSSELVITYS</w:t>
      </w:r>
    </w:p>
    <w:p w:rsidR="00D03C46" w:rsidRDefault="00BD37FC">
      <w:pPr>
        <w:pStyle w:val="ManualHeading1"/>
        <w:rPr>
          <w:noProof/>
        </w:rPr>
      </w:pPr>
      <w:r>
        <w:rPr>
          <w:noProof/>
        </w:rPr>
        <w:t>1.</w:t>
      </w:r>
      <w:r>
        <w:rPr>
          <w:noProof/>
        </w:rPr>
        <w:tab/>
        <w:t xml:space="preserve">PERUSTIEDOT EHDOTUKSESTA/ALOITTEESTA </w:t>
      </w:r>
    </w:p>
    <w:p w:rsidR="00D03C46" w:rsidRDefault="00BD37FC">
      <w:pPr>
        <w:pStyle w:val="ManualHeading2"/>
        <w:rPr>
          <w:b w:val="0"/>
          <w:noProof/>
        </w:rPr>
      </w:pPr>
      <w:r>
        <w:rPr>
          <w:noProof/>
        </w:rPr>
        <w:tab/>
      </w:r>
      <w:r>
        <w:rPr>
          <w:b w:val="0"/>
          <w:noProof/>
        </w:rPr>
        <w:t>1.1.</w:t>
      </w:r>
      <w:r>
        <w:rPr>
          <w:noProof/>
        </w:rPr>
        <w:tab/>
      </w:r>
      <w:r>
        <w:rPr>
          <w:b w:val="0"/>
          <w:noProof/>
        </w:rPr>
        <w:t xml:space="preserve">Ehdotuksen/aloitteen nimi </w:t>
      </w:r>
    </w:p>
    <w:p w:rsidR="00D03C46" w:rsidRDefault="00BD37FC">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rsidR="00D03C46" w:rsidRDefault="00BD37FC">
      <w:pPr>
        <w:pStyle w:val="ManualHeading2"/>
        <w:rPr>
          <w:b w:val="0"/>
          <w:noProof/>
        </w:rPr>
      </w:pPr>
      <w:r>
        <w:rPr>
          <w:noProof/>
        </w:rPr>
        <w:tab/>
      </w:r>
      <w:r>
        <w:rPr>
          <w:b w:val="0"/>
          <w:noProof/>
        </w:rPr>
        <w:t>1.3.</w:t>
      </w:r>
      <w:r>
        <w:rPr>
          <w:noProof/>
        </w:rPr>
        <w:tab/>
      </w:r>
      <w:r>
        <w:rPr>
          <w:b w:val="0"/>
          <w:noProof/>
        </w:rPr>
        <w:t xml:space="preserve">Ehdotuksen/aloitteen luonne </w:t>
      </w:r>
    </w:p>
    <w:p w:rsidR="00D03C46" w:rsidRDefault="00BD37FC">
      <w:pPr>
        <w:pStyle w:val="ManualHeading2"/>
        <w:rPr>
          <w:b w:val="0"/>
          <w:noProof/>
        </w:rPr>
      </w:pPr>
      <w:r>
        <w:rPr>
          <w:noProof/>
        </w:rPr>
        <w:tab/>
      </w:r>
      <w:r>
        <w:rPr>
          <w:b w:val="0"/>
          <w:noProof/>
        </w:rPr>
        <w:t>1.4.</w:t>
      </w:r>
      <w:r>
        <w:rPr>
          <w:noProof/>
        </w:rPr>
        <w:tab/>
      </w:r>
      <w:r>
        <w:rPr>
          <w:b w:val="0"/>
          <w:noProof/>
        </w:rPr>
        <w:t xml:space="preserve">Tavoite (Tavoitteet) </w:t>
      </w:r>
    </w:p>
    <w:p w:rsidR="00D03C46" w:rsidRDefault="00BD37FC">
      <w:pPr>
        <w:pStyle w:val="ManualHeading2"/>
        <w:rPr>
          <w:b w:val="0"/>
          <w:noProof/>
        </w:rPr>
      </w:pPr>
      <w:r>
        <w:rPr>
          <w:noProof/>
        </w:rPr>
        <w:tab/>
      </w:r>
      <w:r>
        <w:rPr>
          <w:b w:val="0"/>
          <w:noProof/>
        </w:rPr>
        <w:t>1.5.</w:t>
      </w:r>
      <w:r>
        <w:rPr>
          <w:noProof/>
        </w:rPr>
        <w:tab/>
      </w:r>
      <w:r>
        <w:rPr>
          <w:b w:val="0"/>
          <w:noProof/>
        </w:rPr>
        <w:t xml:space="preserve">Ehdotuksen/aloitteen </w:t>
      </w:r>
      <w:r>
        <w:rPr>
          <w:b w:val="0"/>
          <w:noProof/>
        </w:rPr>
        <w:t xml:space="preserve">perustelut </w:t>
      </w:r>
    </w:p>
    <w:p w:rsidR="00D03C46" w:rsidRDefault="00BD37FC">
      <w:pPr>
        <w:pStyle w:val="ManualHeading2"/>
        <w:rPr>
          <w:b w:val="0"/>
          <w:noProof/>
        </w:rPr>
      </w:pPr>
      <w:r>
        <w:rPr>
          <w:noProof/>
        </w:rPr>
        <w:tab/>
      </w:r>
      <w:r>
        <w:rPr>
          <w:b w:val="0"/>
          <w:noProof/>
        </w:rPr>
        <w:t>1.6.</w:t>
      </w:r>
      <w:r>
        <w:rPr>
          <w:noProof/>
        </w:rPr>
        <w:tab/>
      </w:r>
      <w:r>
        <w:rPr>
          <w:b w:val="0"/>
          <w:noProof/>
        </w:rPr>
        <w:t xml:space="preserve">Kesto ja rahoitusvaikutukset </w:t>
      </w:r>
    </w:p>
    <w:p w:rsidR="00D03C46" w:rsidRDefault="00BD37FC">
      <w:pPr>
        <w:pStyle w:val="ManualHeading2"/>
        <w:rPr>
          <w:b w:val="0"/>
          <w:noProof/>
        </w:rPr>
      </w:pPr>
      <w:r>
        <w:rPr>
          <w:noProof/>
        </w:rPr>
        <w:tab/>
      </w:r>
      <w:r>
        <w:rPr>
          <w:b w:val="0"/>
          <w:noProof/>
        </w:rPr>
        <w:t>1.7.</w:t>
      </w:r>
      <w:r>
        <w:rPr>
          <w:noProof/>
        </w:rPr>
        <w:tab/>
      </w:r>
      <w:r>
        <w:rPr>
          <w:b w:val="0"/>
          <w:noProof/>
        </w:rPr>
        <w:t xml:space="preserve">Hallinnointitapa (Hallinnointitavat) </w:t>
      </w:r>
    </w:p>
    <w:p w:rsidR="00D03C46" w:rsidRDefault="00BD37FC">
      <w:pPr>
        <w:pStyle w:val="ManualHeading1"/>
        <w:rPr>
          <w:noProof/>
        </w:rPr>
      </w:pPr>
      <w:r>
        <w:rPr>
          <w:noProof/>
        </w:rPr>
        <w:t>2.</w:t>
      </w:r>
      <w:r>
        <w:rPr>
          <w:noProof/>
        </w:rPr>
        <w:tab/>
        <w:t xml:space="preserve">HALLINNOINTI </w:t>
      </w:r>
    </w:p>
    <w:p w:rsidR="00D03C46" w:rsidRDefault="00BD37FC">
      <w:pPr>
        <w:pStyle w:val="ManualHeading2"/>
        <w:rPr>
          <w:b w:val="0"/>
          <w:noProof/>
        </w:rPr>
      </w:pPr>
      <w:r>
        <w:rPr>
          <w:noProof/>
        </w:rPr>
        <w:tab/>
      </w:r>
      <w:r>
        <w:rPr>
          <w:b w:val="0"/>
          <w:noProof/>
        </w:rPr>
        <w:t>2.1.</w:t>
      </w:r>
      <w:r>
        <w:rPr>
          <w:noProof/>
        </w:rPr>
        <w:tab/>
      </w:r>
      <w:r>
        <w:rPr>
          <w:b w:val="0"/>
          <w:noProof/>
        </w:rPr>
        <w:t xml:space="preserve">Seuranta- ja raportointisäännöt </w:t>
      </w:r>
    </w:p>
    <w:p w:rsidR="00D03C46" w:rsidRDefault="00BD37FC">
      <w:pPr>
        <w:pStyle w:val="ManualHeading2"/>
        <w:rPr>
          <w:b w:val="0"/>
          <w:noProof/>
        </w:rPr>
      </w:pPr>
      <w:r>
        <w:rPr>
          <w:noProof/>
        </w:rPr>
        <w:tab/>
      </w:r>
      <w:r>
        <w:rPr>
          <w:b w:val="0"/>
          <w:noProof/>
        </w:rPr>
        <w:t>2.2.</w:t>
      </w:r>
      <w:r>
        <w:rPr>
          <w:noProof/>
        </w:rPr>
        <w:tab/>
      </w:r>
      <w:r>
        <w:rPr>
          <w:b w:val="0"/>
          <w:noProof/>
        </w:rPr>
        <w:t xml:space="preserve">Hallinnointi- ja valvontajärjestelmä </w:t>
      </w:r>
    </w:p>
    <w:p w:rsidR="00D03C46" w:rsidRDefault="00BD37FC">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rsidR="00D03C46" w:rsidRDefault="00BD37FC">
      <w:pPr>
        <w:pStyle w:val="ManualHeading1"/>
        <w:rPr>
          <w:noProof/>
        </w:rPr>
      </w:pPr>
      <w:r>
        <w:rPr>
          <w:noProof/>
        </w:rPr>
        <w:t>3.</w:t>
      </w:r>
      <w:r>
        <w:rPr>
          <w:noProof/>
        </w:rPr>
        <w:tab/>
        <w:t xml:space="preserve">EHDOTUKSEN/ALOITTEEN ARVIOIDUT RAHOITUSVAIKUTUKSET </w:t>
      </w:r>
    </w:p>
    <w:p w:rsidR="00D03C46" w:rsidRDefault="00BD37FC">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rsidR="00D03C46" w:rsidRDefault="00BD37FC">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rsidR="00D03C46" w:rsidRDefault="00BD37FC">
      <w:pPr>
        <w:pStyle w:val="ManualHeading3"/>
        <w:rPr>
          <w:noProof/>
        </w:rPr>
      </w:pPr>
      <w:r>
        <w:rPr>
          <w:noProof/>
        </w:rPr>
        <w:tab/>
        <w:t>3.2</w:t>
      </w:r>
      <w:r>
        <w:rPr>
          <w:noProof/>
        </w:rPr>
        <w:t>.1.</w:t>
      </w:r>
      <w:r>
        <w:rPr>
          <w:noProof/>
        </w:rPr>
        <w:tab/>
        <w:t xml:space="preserve">Yhteenveto arvioiduista vaikutuksista menoihin </w:t>
      </w:r>
    </w:p>
    <w:p w:rsidR="00D03C46" w:rsidRDefault="00BD37FC">
      <w:pPr>
        <w:pStyle w:val="ManualHeading3"/>
        <w:rPr>
          <w:noProof/>
        </w:rPr>
      </w:pPr>
      <w:r>
        <w:rPr>
          <w:noProof/>
        </w:rPr>
        <w:tab/>
        <w:t>3.2.2.</w:t>
      </w:r>
      <w:r>
        <w:rPr>
          <w:noProof/>
        </w:rPr>
        <w:tab/>
        <w:t xml:space="preserve">Arvioidut vaikutukset toimintamäärärahoihin </w:t>
      </w:r>
    </w:p>
    <w:p w:rsidR="00D03C46" w:rsidRDefault="00BD37FC">
      <w:pPr>
        <w:pStyle w:val="ManualHeading3"/>
        <w:rPr>
          <w:noProof/>
        </w:rPr>
      </w:pPr>
      <w:r>
        <w:rPr>
          <w:noProof/>
        </w:rPr>
        <w:tab/>
        <w:t>3.2.3.</w:t>
      </w:r>
      <w:r>
        <w:rPr>
          <w:noProof/>
        </w:rPr>
        <w:tab/>
        <w:t>Arvioidut vaikutukset hallintomäärärahoihin</w:t>
      </w:r>
    </w:p>
    <w:p w:rsidR="00D03C46" w:rsidRDefault="00BD37FC">
      <w:pPr>
        <w:pStyle w:val="ManualHeading3"/>
        <w:rPr>
          <w:noProof/>
        </w:rPr>
      </w:pPr>
      <w:r>
        <w:rPr>
          <w:noProof/>
        </w:rPr>
        <w:tab/>
        <w:t>3.2.4.</w:t>
      </w:r>
      <w:r>
        <w:rPr>
          <w:noProof/>
        </w:rPr>
        <w:tab/>
        <w:t>Yhteensopivuus nykyisen monivuotisen rahoituskehyksen kanssa</w:t>
      </w:r>
    </w:p>
    <w:p w:rsidR="00D03C46" w:rsidRDefault="00BD37FC">
      <w:pPr>
        <w:pStyle w:val="ManualHeading3"/>
        <w:rPr>
          <w:noProof/>
        </w:rPr>
      </w:pPr>
      <w:r>
        <w:rPr>
          <w:noProof/>
        </w:rPr>
        <w:tab/>
        <w:t>3.2.5.</w:t>
      </w:r>
      <w:r>
        <w:rPr>
          <w:noProof/>
        </w:rPr>
        <w:tab/>
        <w:t xml:space="preserve">Ulkopuolisten tahojen </w:t>
      </w:r>
      <w:r>
        <w:rPr>
          <w:noProof/>
        </w:rPr>
        <w:t xml:space="preserve">rahoitusosuudet </w:t>
      </w:r>
    </w:p>
    <w:p w:rsidR="00D03C46" w:rsidRDefault="00BD37FC">
      <w:pPr>
        <w:pStyle w:val="ManualHeading2"/>
        <w:jc w:val="left"/>
        <w:rPr>
          <w:b w:val="0"/>
          <w:noProof/>
        </w:rPr>
        <w:sectPr w:rsidR="00D03C46" w:rsidSect="00BD37FC">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rsidR="00D03C46" w:rsidRDefault="00BD37FC">
      <w:pPr>
        <w:jc w:val="center"/>
        <w:rPr>
          <w:noProof/>
        </w:rPr>
      </w:pPr>
      <w:r>
        <w:rPr>
          <w:b/>
          <w:noProof/>
          <w:u w:val="single"/>
        </w:rPr>
        <w:lastRenderedPageBreak/>
        <w:t>SÄÄDÖSEHDOTUKSEEN LIITTYVÄ RAHOITUSSELVITYS</w:t>
      </w:r>
    </w:p>
    <w:p w:rsidR="00D03C46" w:rsidRDefault="00BD37FC">
      <w:pPr>
        <w:pStyle w:val="ManualHeading1"/>
        <w:rPr>
          <w:noProof/>
        </w:rPr>
      </w:pPr>
      <w:r>
        <w:t>1.</w:t>
      </w:r>
      <w:r>
        <w:tab/>
      </w:r>
      <w:r>
        <w:rPr>
          <w:noProof/>
        </w:rPr>
        <w:t>PERUSTIEDOT EHDOTUKSESTA/ALOITTEESTA</w:t>
      </w:r>
    </w:p>
    <w:p w:rsidR="00D03C46" w:rsidRDefault="00BD37FC">
      <w:pPr>
        <w:pStyle w:val="ManualHeading2"/>
        <w:rPr>
          <w:noProof/>
        </w:rPr>
      </w:pPr>
      <w:r>
        <w:t>1.1.</w:t>
      </w:r>
      <w:r>
        <w:tab/>
      </w:r>
      <w:r>
        <w:rPr>
          <w:noProof/>
        </w:rPr>
        <w:t>Ehdotuksen/aloitteen nimi</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Ehdotus edustajakanteista kuluttajien yhteisten etujen suojaamis</w:t>
      </w:r>
      <w:r>
        <w:rPr>
          <w:noProof/>
        </w:rPr>
        <w:t>eksi ja kuluttajien etujen suojaamista tarkoittavista kieltokanteista annetun direktiivin 2009/22/EY kumoamisesta annettavaksi Euroopan parlamentin ja neuvoston direktiiviksi</w:t>
      </w:r>
    </w:p>
    <w:p w:rsidR="00D03C46" w:rsidRDefault="00BD37FC">
      <w:pPr>
        <w:pStyle w:val="ManualHeading2"/>
        <w:rPr>
          <w:noProof/>
          <w:szCs w:val="24"/>
        </w:rPr>
      </w:pPr>
      <w:r>
        <w:t>1.2.</w:t>
      </w:r>
      <w:r>
        <w:tab/>
      </w:r>
      <w:r>
        <w:rPr>
          <w:noProof/>
        </w:rPr>
        <w:t>Toimintalohko(t) toimintoperusteisessa johtamis- ja budjetointijärjestelmäss</w:t>
      </w:r>
      <w:r>
        <w:rPr>
          <w:noProof/>
        </w:rPr>
        <w:t>ä (ABM/ABB)</w:t>
      </w:r>
      <w:r>
        <w:rPr>
          <w:rStyle w:val="FootnoteReference"/>
          <w:noProof/>
        </w:rPr>
        <w:footnoteReference w:id="35"/>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color w:val="444444"/>
        </w:rPr>
        <w:t>Osasto 33 – Oikeus- ja kuluttaja-asiat – Luku</w:t>
      </w:r>
      <w:r>
        <w:rPr>
          <w:noProof/>
        </w:rPr>
        <w:t xml:space="preserve"> 33 02 01 – Perusoikeus-, tasa-arvo- ja kansalaisuusohjelma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Muut toimintalohkot, joihin ehdotuksella on vaikutusta – ks. ehdotuksen liite I</w:t>
      </w:r>
    </w:p>
    <w:p w:rsidR="00D03C46" w:rsidRDefault="00BD37FC">
      <w:pPr>
        <w:pStyle w:val="ManualHeading2"/>
        <w:rPr>
          <w:bCs/>
          <w:noProof/>
          <w:szCs w:val="24"/>
        </w:rPr>
      </w:pPr>
      <w:r>
        <w:t>1.3.</w:t>
      </w:r>
      <w:r>
        <w:tab/>
      </w:r>
      <w:r>
        <w:rPr>
          <w:noProof/>
        </w:rPr>
        <w:t xml:space="preserve">Ehdotuksen/aloitteen luonne </w:t>
      </w:r>
    </w:p>
    <w:p w:rsidR="00D03C46" w:rsidRDefault="00BD37FC">
      <w:pPr>
        <w:pStyle w:val="Text1"/>
        <w:rPr>
          <w:b/>
          <w:noProof/>
          <w:sz w:val="22"/>
        </w:rPr>
      </w:pPr>
      <w:r>
        <w:rPr>
          <w:noProof/>
          <w:sz w:val="22"/>
        </w:rPr>
        <w:sym w:font="Wingdings" w:char="F0A8"/>
      </w:r>
      <w:r>
        <w:rPr>
          <w:b/>
          <w:i/>
          <w:noProof/>
          <w:sz w:val="22"/>
        </w:rPr>
        <w:t xml:space="preserve"> </w:t>
      </w:r>
      <w:r>
        <w:rPr>
          <w:noProof/>
        </w:rPr>
        <w:t xml:space="preserve">Ehdotus/aloite liittyy </w:t>
      </w:r>
      <w:r>
        <w:rPr>
          <w:b/>
          <w:noProof/>
        </w:rPr>
        <w:t>uuteen toimeen</w:t>
      </w:r>
      <w:r>
        <w:rPr>
          <w:b/>
          <w:noProof/>
          <w:sz w:val="22"/>
        </w:rPr>
        <w:t xml:space="preserve"> </w:t>
      </w:r>
    </w:p>
    <w:p w:rsidR="00D03C46" w:rsidRDefault="00BD37FC">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uuteen toimeen, joka perustuu pilottihankkeeseen tai valmistelutoimeen</w:t>
      </w:r>
      <w:r>
        <w:rPr>
          <w:rStyle w:val="FootnoteReference"/>
          <w:b/>
          <w:noProof/>
        </w:rPr>
        <w:footnoteReference w:id="36"/>
      </w:r>
      <w:r>
        <w:rPr>
          <w:noProof/>
          <w:sz w:val="22"/>
        </w:rPr>
        <w:t xml:space="preserve"> </w:t>
      </w:r>
    </w:p>
    <w:p w:rsidR="00D03C46" w:rsidRDefault="00BD37FC">
      <w:pPr>
        <w:pStyle w:val="Text1"/>
        <w:rPr>
          <w:noProof/>
          <w:sz w:val="22"/>
        </w:rPr>
      </w:pPr>
      <w:r>
        <w:rPr>
          <w:noProof/>
          <w:sz w:val="22"/>
        </w:rPr>
        <w:t>X</w:t>
      </w:r>
      <w:r>
        <w:rPr>
          <w:i/>
          <w:noProof/>
          <w:sz w:val="22"/>
        </w:rPr>
        <w:t xml:space="preserve"> </w:t>
      </w:r>
      <w:r>
        <w:rPr>
          <w:noProof/>
        </w:rPr>
        <w:t xml:space="preserve">Ehdotus/aloite liittyy </w:t>
      </w:r>
      <w:r>
        <w:rPr>
          <w:b/>
          <w:noProof/>
        </w:rPr>
        <w:t>käynnissä olevan toimen jatkamiseen</w:t>
      </w:r>
    </w:p>
    <w:p w:rsidR="00D03C46" w:rsidRDefault="00BD37FC">
      <w:pPr>
        <w:pStyle w:val="Text1"/>
        <w:rPr>
          <w:noProof/>
        </w:rPr>
      </w:pPr>
      <w:r>
        <w:rPr>
          <w:noProof/>
          <w:sz w:val="22"/>
        </w:rPr>
        <w:sym w:font="Wingdings" w:char="F0A8"/>
      </w:r>
      <w:r>
        <w:rPr>
          <w:i/>
          <w:noProof/>
          <w:sz w:val="22"/>
        </w:rPr>
        <w:t xml:space="preserve"> </w:t>
      </w:r>
      <w:r>
        <w:rPr>
          <w:noProof/>
        </w:rPr>
        <w:t xml:space="preserve">Ehdotus/aloite liittyy </w:t>
      </w:r>
      <w:r>
        <w:rPr>
          <w:b/>
          <w:noProof/>
        </w:rPr>
        <w:t xml:space="preserve">toimeen, joka on suunnattu </w:t>
      </w:r>
      <w:r>
        <w:rPr>
          <w:b/>
          <w:noProof/>
        </w:rPr>
        <w:t>uudelleen</w:t>
      </w:r>
    </w:p>
    <w:p w:rsidR="00D03C46" w:rsidRDefault="00BD37FC">
      <w:pPr>
        <w:pStyle w:val="ManualHeading2"/>
        <w:rPr>
          <w:bCs/>
          <w:noProof/>
          <w:szCs w:val="24"/>
        </w:rPr>
      </w:pPr>
      <w:r>
        <w:t>1.4.</w:t>
      </w:r>
      <w:r>
        <w:tab/>
      </w:r>
      <w:r>
        <w:rPr>
          <w:noProof/>
        </w:rPr>
        <w:t>Tavoite (Tavoitteet)</w:t>
      </w:r>
    </w:p>
    <w:p w:rsidR="00D03C46" w:rsidRDefault="00BD37FC">
      <w:pPr>
        <w:pStyle w:val="ManualHeading3"/>
        <w:rPr>
          <w:noProof/>
        </w:rPr>
      </w:pPr>
      <w:r>
        <w:t>1.4.1.</w:t>
      </w:r>
      <w:r>
        <w:tab/>
      </w:r>
      <w:r>
        <w:rPr>
          <w:noProof/>
        </w:rPr>
        <w:t xml:space="preserve">Komission monivuotinen strateginen tavoite (monivuotiset strategiset tavoitteet), jonka (joiden) saavuttamista ehdotus/aloite tukee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Syvemmät ja oikeudenmukaisemmat sisämarkkinat; digitaaliset sisämarkkinat </w:t>
      </w:r>
    </w:p>
    <w:p w:rsidR="00D03C46" w:rsidRDefault="00D03C46">
      <w:pPr>
        <w:pStyle w:val="Text1"/>
        <w:ind w:left="0"/>
        <w:rPr>
          <w:noProof/>
          <w:sz w:val="16"/>
          <w:szCs w:val="16"/>
        </w:rPr>
      </w:pP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Oike</w:t>
      </w:r>
      <w:r>
        <w:rPr>
          <w:noProof/>
        </w:rPr>
        <w:t>us- ja kuluttaja-asioiden pääosasto – Perusoikeus-, tasa-arvo- ja kansalaisuusohjelma, erityistavoite nro 9, joka liittyy kuluttajapolitiikkaan:</w:t>
      </w:r>
    </w:p>
    <w:p w:rsidR="00D03C46" w:rsidRDefault="00BD37FC">
      <w:pPr>
        <w:pStyle w:val="Tiret1"/>
        <w:numPr>
          <w:ilvl w:val="0"/>
          <w:numId w:val="30"/>
        </w:numPr>
        <w:pBdr>
          <w:top w:val="single" w:sz="4" w:space="1" w:color="auto"/>
          <w:left w:val="single" w:sz="4" w:space="4" w:color="auto"/>
          <w:bottom w:val="single" w:sz="4" w:space="1" w:color="auto"/>
          <w:right w:val="single" w:sz="4" w:space="4" w:color="auto"/>
        </w:pBdr>
        <w:rPr>
          <w:noProof/>
        </w:rPr>
      </w:pPr>
      <w:r>
        <w:rPr>
          <w:noProof/>
        </w:rPr>
        <w:t xml:space="preserve">Ehdotuksella annetaan kansalaisille, jotka toimivat kuluttajina sisämarkkinoilla, välineet valvoa, että heidän </w:t>
      </w:r>
      <w:r>
        <w:rPr>
          <w:noProof/>
        </w:rPr>
        <w:t>unionin lainsäädännön mukaiset oikeutensa toteutuvat.</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Ehdotuksen erityistavoite: </w:t>
      </w:r>
    </w:p>
    <w:p w:rsidR="00D03C46" w:rsidRDefault="00BD37FC">
      <w:pPr>
        <w:pStyle w:val="Tiret1"/>
        <w:pBdr>
          <w:top w:val="single" w:sz="4" w:space="1" w:color="auto"/>
          <w:left w:val="single" w:sz="4" w:space="4" w:color="auto"/>
          <w:bottom w:val="single" w:sz="4" w:space="1" w:color="auto"/>
          <w:right w:val="single" w:sz="4" w:space="4" w:color="auto"/>
        </w:pBdr>
        <w:rPr>
          <w:noProof/>
        </w:rPr>
      </w:pPr>
      <w:r>
        <w:rPr>
          <w:noProof/>
        </w:rPr>
        <w:t>Tavoitteena on edustajakanteita parantamalla vähentää sellaisten unionin oikeuden rikkomisten määrää, jotka vaikuttavat kuluttajien yhteisiin etuihin. Näin edistetään sääntöj</w:t>
      </w:r>
      <w:r>
        <w:rPr>
          <w:noProof/>
        </w:rPr>
        <w:t xml:space="preserve">en noudattamista ja estetään vahinkojen aiheutumista kuluttajille.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Ehdotetun talousarviovaikutteisen toimen erityistavoite: </w:t>
      </w:r>
    </w:p>
    <w:p w:rsidR="00D03C46" w:rsidRDefault="00BD37FC">
      <w:pPr>
        <w:pStyle w:val="Tiret1"/>
        <w:pBdr>
          <w:top w:val="single" w:sz="4" w:space="1" w:color="auto"/>
          <w:left w:val="single" w:sz="4" w:space="4" w:color="auto"/>
          <w:bottom w:val="single" w:sz="4" w:space="1" w:color="auto"/>
          <w:right w:val="single" w:sz="4" w:space="4" w:color="auto"/>
        </w:pBdr>
        <w:rPr>
          <w:noProof/>
        </w:rPr>
      </w:pPr>
      <w:r>
        <w:rPr>
          <w:noProof/>
        </w:rPr>
        <w:t>Ehdotuksella jatketaan koulutus- ja yhteistyötoimenpiteitä ja laajennetaan niitä koskemaan suurempaa määrää oikeutettuja yksiköitä</w:t>
      </w:r>
      <w:r>
        <w:rPr>
          <w:noProof/>
        </w:rPr>
        <w:t xml:space="preserve"> kaikkialta unionin </w:t>
      </w:r>
      <w:r>
        <w:rPr>
          <w:noProof/>
        </w:rPr>
        <w:lastRenderedPageBreak/>
        <w:t xml:space="preserve">alueelta. Tavoitteena on lisätä sellaisten edustajakanteiden hyödyntämistä, joilla puututaan rajat ylittäviin rikkomisiin. </w:t>
      </w:r>
    </w:p>
    <w:p w:rsidR="00D03C46" w:rsidRDefault="00D03C46">
      <w:pPr>
        <w:pStyle w:val="Text1"/>
        <w:rPr>
          <w:noProof/>
        </w:rPr>
      </w:pPr>
    </w:p>
    <w:p w:rsidR="00D03C46" w:rsidRDefault="00BD37FC">
      <w:pPr>
        <w:pStyle w:val="ManualHeading3"/>
        <w:rPr>
          <w:bCs/>
          <w:noProof/>
          <w:szCs w:val="24"/>
        </w:rPr>
      </w:pPr>
      <w:r>
        <w:t>1.4.2.</w:t>
      </w:r>
      <w:r>
        <w:tab/>
      </w:r>
      <w:r>
        <w:rPr>
          <w:noProof/>
        </w:rPr>
        <w:t>Erityistavoite (erityistavoitteet) sekä toiminto (toiminnot) toimintoperusteisessa johtamis- ja budjetoi</w:t>
      </w:r>
      <w:r>
        <w:rPr>
          <w:noProof/>
        </w:rPr>
        <w:t xml:space="preserve">ntijärjestelmässä </w:t>
      </w:r>
    </w:p>
    <w:p w:rsidR="00D03C46" w:rsidRDefault="00BD37FC">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Analyysien toteuttaminen (tietojen keruu ja tilastojen laatiminen)</w:t>
      </w:r>
    </w:p>
    <w:p w:rsidR="00D03C46" w:rsidRDefault="00BD37FC">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Keskinäinen oppiminen ja yhteistyö (tapahtumat, sähköinen tiedonvaihtofoorumi, </w:t>
      </w:r>
      <w:r>
        <w:rPr>
          <w:noProof/>
        </w:rPr>
        <w:t>etäviestintävälineet)</w:t>
      </w:r>
    </w:p>
    <w:p w:rsidR="00D03C46" w:rsidRDefault="00D03C46">
      <w:pPr>
        <w:rPr>
          <w:bCs/>
          <w:noProof/>
          <w:szCs w:val="24"/>
        </w:rPr>
      </w:pPr>
    </w:p>
    <w:p w:rsidR="00D03C46" w:rsidRDefault="00BD37FC">
      <w:pPr>
        <w:pStyle w:val="ManualHeading3"/>
        <w:rPr>
          <w:bCs/>
          <w:noProof/>
          <w:szCs w:val="24"/>
        </w:rPr>
      </w:pPr>
      <w:r>
        <w:t>1.4.3.</w:t>
      </w:r>
      <w:r>
        <w:tab/>
      </w:r>
      <w:r>
        <w:rPr>
          <w:noProof/>
        </w:rPr>
        <w:t>Odotettavissa olevat tulokset ja vaikutukset</w:t>
      </w:r>
    </w:p>
    <w:p w:rsidR="00D03C46" w:rsidRDefault="00BD37FC">
      <w:pPr>
        <w:pStyle w:val="Text1"/>
        <w:rPr>
          <w:i/>
          <w:noProof/>
          <w:sz w:val="20"/>
        </w:rPr>
      </w:pPr>
      <w:r>
        <w:rPr>
          <w:i/>
          <w:noProof/>
          <w:sz w:val="20"/>
        </w:rPr>
        <w:t>Selvitys siitä, miten ehdotuksella/aloitteella on tarkoitus vaikuttaa edunsaajien/kohderyhmän tilanteeseen</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Kuluttajat: Kuluttajansuoja paranee ja kuluttajien kokemat vahingot vähene</w:t>
      </w:r>
      <w:r>
        <w:rPr>
          <w:noProof/>
        </w:rPr>
        <w:t>vät siitä syystä, että mekanismeja, joilla vaaditaan kollektiivista hyvitystä joukkovahinkotilanteissa, lujitetaan ja tämän seurauksena elinkeinonharjoittajilla on vahvemmat kannustimet toimia EU:n kuluttajalainsäädännön mukaisesti.</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Oikeutetut yksiköt: Ehd</w:t>
      </w:r>
      <w:r>
        <w:rPr>
          <w:noProof/>
        </w:rPr>
        <w:t>otuksessa käynnistetään uusia toimenpiteitä ja annetaan selkeämpiä sääntöjä, jotka liittyvät oikeutettujen yksiköiden mahdollisuuksiin nostaa edustajakanteita erityisesti rajat ylittävissä tapauksissa.</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Elinkeinonharjoittajat: Elinkeinonharjoittajat saavat </w:t>
      </w:r>
      <w:r>
        <w:rPr>
          <w:noProof/>
        </w:rPr>
        <w:t xml:space="preserve">tasapuolisemmat toimintaedellytykset, ja kilpailusta tulee oikeudenmukaisempaa. </w:t>
      </w:r>
    </w:p>
    <w:p w:rsidR="00D03C46" w:rsidRDefault="00BD37FC">
      <w:pPr>
        <w:pStyle w:val="ManualHeading3"/>
        <w:rPr>
          <w:bCs/>
          <w:noProof/>
          <w:szCs w:val="24"/>
        </w:rPr>
      </w:pPr>
      <w:r>
        <w:t>1.4.4.</w:t>
      </w:r>
      <w:r>
        <w:tab/>
      </w:r>
      <w:r>
        <w:rPr>
          <w:noProof/>
        </w:rPr>
        <w:t>Tulos- ja vaikutusindikaattorit</w:t>
      </w:r>
    </w:p>
    <w:p w:rsidR="00D03C46" w:rsidRDefault="00BD37FC">
      <w:pPr>
        <w:pStyle w:val="Text1"/>
        <w:rPr>
          <w:i/>
          <w:noProof/>
          <w:sz w:val="20"/>
        </w:rPr>
      </w:pPr>
      <w:r>
        <w:rPr>
          <w:i/>
          <w:noProof/>
          <w:sz w:val="20"/>
        </w:rPr>
        <w:t>Selvitys siitä, millaisin indikaattorein ehdotuksen/aloitteen toteuttamista seurataan</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Tämän ehdotuksen 18 artiklassa (Seuranta ja arvioi</w:t>
      </w:r>
      <w:r>
        <w:rPr>
          <w:noProof/>
        </w:rPr>
        <w:t>nti) edellytetään, että jäsenvaltiot toimittavat tilastotietoja seuraavista indikaattoreista:</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hallintoviranomaisissa ja tuomioistuimissa tämän direktiivin nojalla nostettujen edustajakanteiden määrä ja tyypit;</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kanteita nostaneiden oikeutettujen yksiköi</w:t>
      </w:r>
      <w:r>
        <w:rPr>
          <w:noProof/>
        </w:rPr>
        <w:t>den tyypit;</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 niiden rikkomisten tyypit, joihin edustajakanteiden avulla on puututtu, edustajakanteiden osapuolet sekä talouden alat, joita edustajakanteet ovat koskeneet;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 oikeudenkäyntien kesto kanteen nostamisesta siihen, kun asiassa on annettu tämän </w:t>
      </w:r>
      <w:r>
        <w:rPr>
          <w:noProof/>
        </w:rPr>
        <w:t>direktiivin 5 artiklassa tarkoitettu kieltomääräys tai 6 artiklassa tarkoitettu hyvitysmääräys tai vahvistustuomio tai kun 8 artiklassa tarkoitettu sovintoratkaisu on lainvoimaisesti hyväksytty;</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edustajakanteiden lopulliset tulokset (esimerkiksi sovintor</w:t>
      </w:r>
      <w:r>
        <w:rPr>
          <w:noProof/>
        </w:rPr>
        <w:t>atkaisut tai hyvitysmääräykset);</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niiden oikeutettujen yksiköiden lukumäärä, jotka osallistuvat tämän direktiivin 15 artiklan 3 kohdassa tarkoitettuun yhteistyötä ja parhaiden käytäntöjen vaihtoa koskevaan mekanismiin.</w:t>
      </w:r>
    </w:p>
    <w:p w:rsidR="00D03C46" w:rsidRDefault="00D03C46">
      <w:pPr>
        <w:pStyle w:val="Text1"/>
        <w:pBdr>
          <w:top w:val="single" w:sz="4" w:space="1" w:color="auto"/>
          <w:left w:val="single" w:sz="4" w:space="4" w:color="auto"/>
          <w:bottom w:val="single" w:sz="4" w:space="1" w:color="auto"/>
          <w:right w:val="single" w:sz="4" w:space="4" w:color="auto"/>
        </w:pBdr>
        <w:rPr>
          <w:noProof/>
        </w:rPr>
      </w:pPr>
    </w:p>
    <w:p w:rsidR="00D03C46" w:rsidRDefault="00BD37FC">
      <w:pPr>
        <w:pStyle w:val="ManualHeading2"/>
        <w:rPr>
          <w:bCs/>
          <w:noProof/>
          <w:szCs w:val="24"/>
        </w:rPr>
      </w:pPr>
      <w:r>
        <w:lastRenderedPageBreak/>
        <w:t>1.5.</w:t>
      </w:r>
      <w:r>
        <w:tab/>
      </w:r>
      <w:r>
        <w:rPr>
          <w:noProof/>
        </w:rPr>
        <w:t>Ehdotuksen/aloitteen perustelu</w:t>
      </w:r>
      <w:r>
        <w:rPr>
          <w:noProof/>
        </w:rPr>
        <w:t xml:space="preserve">t </w:t>
      </w:r>
    </w:p>
    <w:p w:rsidR="00D03C46" w:rsidRDefault="00BD37FC">
      <w:pPr>
        <w:pStyle w:val="ManualHeading3"/>
        <w:rPr>
          <w:noProof/>
        </w:rPr>
      </w:pPr>
      <w:r>
        <w:t>1.5.1.</w:t>
      </w:r>
      <w:r>
        <w:tab/>
      </w:r>
      <w:r>
        <w:rPr>
          <w:noProof/>
        </w:rPr>
        <w:t xml:space="preserve">Tarpeet, joihin ehdotuksella/aloitteella vastataan lyhyellä tai pitkällä aikavälillä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Ehdotuksella pyritään parantamaan kieltokannemenettelyn vaikuttavuutta ja ottamaan käyttöön toimenpiteitä, joilla poistetaan kuluttajien oikeuksien loukkaamises</w:t>
      </w:r>
      <w:r>
        <w:rPr>
          <w:noProof/>
        </w:rPr>
        <w:t>ta aiheutuvat seuraamukset. Tavoitteena on edustajakanteita parantamalla vähentää sellaisten unionin oikeuden rikkomisten määrää, jotka vaikuttavat kuluttajien yhteisiin etuihin. Näin edistetään sääntöjen noudattamista ja estetään vahinkojen aiheutumista k</w:t>
      </w:r>
      <w:r>
        <w:rPr>
          <w:noProof/>
        </w:rPr>
        <w:t>uluttajille.</w:t>
      </w:r>
    </w:p>
    <w:p w:rsidR="00D03C46" w:rsidRDefault="00BD37FC">
      <w:pPr>
        <w:pStyle w:val="ManualHeading3"/>
        <w:rPr>
          <w:bCs/>
          <w:noProof/>
          <w:szCs w:val="24"/>
        </w:rPr>
      </w:pPr>
      <w:r>
        <w:t>1.5.2.</w:t>
      </w:r>
      <w:r>
        <w:tab/>
      </w:r>
      <w:r>
        <w:rPr>
          <w:noProof/>
        </w:rPr>
        <w:t>EU:n osallistumisesta saatava lisäarvo</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Kaikkien jäsenvaltioiden kuluttajilla ei ole vielä käytössään toimivia hyvitysmekanismeja. On havaittu, että jäsenvaltioiden kesken on merkittäviä eroja sen suhteen, kuinka tuloksellisesti kieltoka</w:t>
      </w:r>
      <w:r>
        <w:rPr>
          <w:noProof/>
        </w:rPr>
        <w:t>nnedirektiivi toimii. Tämä edellyttää EU:n toimia, varsinkin kun tilanteella on rajat ylittäviä vaikutuksia. Jos jäsenvaltiot toimivat kukin erikseen, seurauksena on todennäköisesti yhä suurempi hajanaisuus. Tämä puolestaan ylläpitäisi tilannetta, jossa ku</w:t>
      </w:r>
      <w:r>
        <w:rPr>
          <w:noProof/>
        </w:rPr>
        <w:t>luttajia ja elinkeinonharjoittajia kohdellaan eriarvoisesti sisämarkkinoilla ja kuluttajien hyvityskeinot eri puolilla EU:ta ovat eritasoisia. Lopulta sisämarkkinat toimisivat kuluttajien kannalta huonommin.</w:t>
      </w:r>
    </w:p>
    <w:p w:rsidR="00D03C46" w:rsidRDefault="00BD37FC">
      <w:pPr>
        <w:pStyle w:val="ManualHeading3"/>
        <w:rPr>
          <w:bCs/>
          <w:noProof/>
          <w:szCs w:val="24"/>
        </w:rPr>
      </w:pPr>
      <w:r>
        <w:t>1.5.3.</w:t>
      </w:r>
      <w:r>
        <w:tab/>
      </w:r>
      <w:r>
        <w:rPr>
          <w:noProof/>
        </w:rPr>
        <w:t>Vastaavista toimista saadut kokemukset</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Vuonna 2008 annetussa kieltokannedirektiivin soveltamista koskevassa komission kertomuksessa todettiin, että kieltokannemenettelyä oli käytetty jossain määrin menestyksekkäästi kansallisissa rikkomistapauksissa mutta että tulokset olivat vähäisempiä rajat </w:t>
      </w:r>
      <w:r>
        <w:rPr>
          <w:noProof/>
        </w:rPr>
        <w:t>ylittävien rikkomisten torjumisessa. Tämä johtui lähinnä siitä, että oikeutetuilla yksiköillä ei ollut riittävästi resursseja erilaisten menettelyiden hoitamiseen eri jäsenvaltioissa. Komission vuonna 2012 antamassa kertomuksessa todettiin, että kieltokant</w:t>
      </w:r>
      <w:r>
        <w:rPr>
          <w:noProof/>
        </w:rPr>
        <w:t>eisiin liittyi huomattavia mahdollisuuksia, kunhan havaitut ongelmat saataisiin poistetuksi. Epäkohtia olivat erityisesti oikeudenkäyntien kalleus, menettelytapojen pitkä kesto ja mutkikkuus sekä kieltotuomioiden suhteellisen rajalliset vaikutukset kulutta</w:t>
      </w:r>
      <w:r>
        <w:rPr>
          <w:noProof/>
        </w:rPr>
        <w:t>jien kannalta ja niiden täytäntöönpanon vaikeus. Vuonna 2017 tehdyssä EU:n kuluttaja- ja markkinointilainsäädännön toimivuustarkastuksessa, jossa arvioitiin kattavasti myös kieltokannedirektiiviä, havaittiin pitkälti samoja ongelmia, erityisesti se, että k</w:t>
      </w:r>
      <w:r>
        <w:rPr>
          <w:noProof/>
        </w:rPr>
        <w:t>uluttajilta puuttuivat riittävät hyvitysmekanismit.</w:t>
      </w:r>
    </w:p>
    <w:p w:rsidR="00D03C46" w:rsidRDefault="00BD37FC">
      <w:pPr>
        <w:pStyle w:val="ManualHeading3"/>
        <w:rPr>
          <w:bCs/>
          <w:noProof/>
          <w:szCs w:val="24"/>
        </w:rPr>
      </w:pPr>
      <w:r>
        <w:t>1.5.4.</w:t>
      </w:r>
      <w:r>
        <w:tab/>
      </w:r>
      <w:r>
        <w:rPr>
          <w:noProof/>
        </w:rPr>
        <w:t>Yhteensopivuus muiden kyseeseen tulevien välineiden kanssa ja mahdolliset synergiaedut</w:t>
      </w:r>
    </w:p>
    <w:p w:rsidR="00D03C46" w:rsidRDefault="00BD37FC">
      <w:pPr>
        <w:pStyle w:val="Text1"/>
        <w:pBdr>
          <w:top w:val="single" w:sz="4" w:space="1" w:color="auto"/>
          <w:left w:val="single" w:sz="4" w:space="4" w:color="auto"/>
          <w:bottom w:val="single" w:sz="4" w:space="1" w:color="auto"/>
          <w:right w:val="single" w:sz="4" w:space="4" w:color="auto"/>
        </w:pBdr>
        <w:rPr>
          <w:noProof/>
          <w:szCs w:val="24"/>
        </w:rPr>
      </w:pPr>
      <w:r>
        <w:rPr>
          <w:noProof/>
        </w:rPr>
        <w:t>Ehdotus on täysin yhdenmukainen ja yhteensopiva unionin voimassa olevien politiikkojen kanssa. Se täydentää al</w:t>
      </w:r>
      <w:r>
        <w:rPr>
          <w:noProof/>
        </w:rPr>
        <w:t>akohtaisiin välineisiin sisältyviä kielto- ja hyvitysmenettelyitä sellaisella erityisellä edustajakannemekanismilla, jota voidaan hyödyntää, jos kuluttajien yhteisiä etuja on vahingoitettu tai saatetaan vahingoittaa. Ehdotuksen soveltamisalan piiriin kuulu</w:t>
      </w:r>
      <w:r>
        <w:rPr>
          <w:noProof/>
        </w:rPr>
        <w:t>vien Euroopan unionin säädösten täytäntöönpanon parempi valvonta tukee varsinkin strategioita, jotka liittyvät digitaalisiin sisämarkkinoihin, pääomamarkkinaunioniin, energiaunioniin ja kiertotalouteen.</w:t>
      </w:r>
    </w:p>
    <w:p w:rsidR="00D03C46" w:rsidRDefault="00D03C46">
      <w:pPr>
        <w:pStyle w:val="Text1"/>
        <w:rPr>
          <w:noProof/>
        </w:rPr>
      </w:pPr>
    </w:p>
    <w:p w:rsidR="00D03C46" w:rsidRDefault="00BD37FC">
      <w:pPr>
        <w:pStyle w:val="ManualHeading2"/>
        <w:rPr>
          <w:bCs/>
          <w:noProof/>
          <w:szCs w:val="24"/>
        </w:rPr>
      </w:pPr>
      <w:r>
        <w:lastRenderedPageBreak/>
        <w:t>1.6.</w:t>
      </w:r>
      <w:r>
        <w:tab/>
      </w:r>
      <w:r>
        <w:rPr>
          <w:noProof/>
        </w:rPr>
        <w:t xml:space="preserve">Kesto ja rahoitusvaikutukset </w:t>
      </w:r>
    </w:p>
    <w:p w:rsidR="00D03C46" w:rsidRDefault="00BD37FC">
      <w:pPr>
        <w:pStyle w:val="Text1"/>
        <w:rPr>
          <w:noProof/>
        </w:rPr>
      </w:pPr>
      <w:r>
        <w:rPr>
          <w:noProof/>
        </w:rPr>
        <w:sym w:font="Wingdings" w:char="F0A8"/>
      </w:r>
      <w:r>
        <w:rPr>
          <w:b/>
          <w:i/>
          <w:noProof/>
        </w:rPr>
        <w:t xml:space="preserve"> </w:t>
      </w:r>
      <w:r>
        <w:rPr>
          <w:noProof/>
        </w:rPr>
        <w:t>Ehdotuksen/aloi</w:t>
      </w:r>
      <w:r>
        <w:rPr>
          <w:noProof/>
        </w:rPr>
        <w:t xml:space="preserve">tteen mukaisen toiminnan </w:t>
      </w:r>
      <w:r>
        <w:rPr>
          <w:b/>
          <w:noProof/>
        </w:rPr>
        <w:t xml:space="preserve">kesto on rajattu </w:t>
      </w:r>
    </w:p>
    <w:p w:rsidR="00D03C46" w:rsidRDefault="00BD37FC">
      <w:pPr>
        <w:pStyle w:val="ListDash2"/>
        <w:rPr>
          <w:noProof/>
        </w:rPr>
      </w:pPr>
      <w:r>
        <w:rPr>
          <w:noProof/>
        </w:rPr>
        <w:sym w:font="Wingdings" w:char="F0A8"/>
      </w:r>
      <w:r>
        <w:rPr>
          <w:noProof/>
        </w:rPr>
        <w:tab/>
        <w:t xml:space="preserve">Ehdotuksen/aloitteen mukainen toiminta alkaa [PP/KK]VVVV ja päättyy [PP/KK]VVVV. </w:t>
      </w:r>
    </w:p>
    <w:p w:rsidR="00D03C46" w:rsidRDefault="00BD37FC">
      <w:pPr>
        <w:pStyle w:val="ListDash2"/>
        <w:rPr>
          <w:noProof/>
        </w:rPr>
      </w:pPr>
      <w:r>
        <w:rPr>
          <w:noProof/>
        </w:rPr>
        <w:sym w:font="Wingdings" w:char="F0A8"/>
      </w:r>
      <w:r>
        <w:rPr>
          <w:noProof/>
        </w:rPr>
        <w:tab/>
        <w:t xml:space="preserve">Rahoitusvaikutukset alkavat vuonna VVVV ja päättyvät vuonna VVVV. </w:t>
      </w:r>
    </w:p>
    <w:p w:rsidR="00D03C46" w:rsidRDefault="00BD37FC">
      <w:pPr>
        <w:pStyle w:val="Text1"/>
        <w:rPr>
          <w:noProof/>
        </w:rPr>
      </w:pPr>
      <w:r>
        <w:rPr>
          <w:noProof/>
        </w:rPr>
        <w:t>X</w:t>
      </w:r>
      <w:r>
        <w:rPr>
          <w:b/>
          <w:i/>
          <w:noProof/>
        </w:rPr>
        <w:t xml:space="preserve"> </w:t>
      </w:r>
      <w:r>
        <w:rPr>
          <w:noProof/>
        </w:rPr>
        <w:t xml:space="preserve">Ehdotuksen/aloitteen mukaisen </w:t>
      </w:r>
      <w:r>
        <w:rPr>
          <w:b/>
          <w:noProof/>
        </w:rPr>
        <w:t xml:space="preserve">toiminnan kestoa ei ole </w:t>
      </w:r>
      <w:r>
        <w:rPr>
          <w:b/>
          <w:noProof/>
        </w:rPr>
        <w:t>rajattu</w:t>
      </w:r>
    </w:p>
    <w:p w:rsidR="00D03C46" w:rsidRDefault="00BD37FC">
      <w:pPr>
        <w:pStyle w:val="ListDash1"/>
        <w:rPr>
          <w:noProof/>
        </w:rPr>
      </w:pPr>
      <w:r>
        <w:rPr>
          <w:noProof/>
        </w:rPr>
        <w:t>Käynnistysvaihe alkaa vuonna VVVV ja päättyy vuonna VVVV,</w:t>
      </w:r>
    </w:p>
    <w:p w:rsidR="00D03C46" w:rsidRDefault="00BD37FC">
      <w:pPr>
        <w:pStyle w:val="ListDash1"/>
        <w:rPr>
          <w:noProof/>
        </w:rPr>
      </w:pPr>
      <w:r>
        <w:rPr>
          <w:noProof/>
        </w:rPr>
        <w:t>minkä jälkeen toteutus täydessä laajuudessa.</w:t>
      </w:r>
    </w:p>
    <w:p w:rsidR="00D03C46" w:rsidRDefault="00BD37FC">
      <w:pPr>
        <w:pStyle w:val="ManualHeading2"/>
        <w:rPr>
          <w:bCs/>
          <w:noProof/>
          <w:szCs w:val="24"/>
        </w:rPr>
      </w:pPr>
      <w:r>
        <w:t>1.7.</w:t>
      </w:r>
      <w:r>
        <w:tab/>
      </w:r>
      <w:r>
        <w:rPr>
          <w:noProof/>
        </w:rPr>
        <w:t>Hallinnointitapa (Hallinnointitavat)</w:t>
      </w:r>
      <w:r>
        <w:rPr>
          <w:rStyle w:val="FootnoteReference"/>
          <w:noProof/>
        </w:rPr>
        <w:footnoteReference w:id="37"/>
      </w:r>
      <w:r>
        <w:rPr>
          <w:rStyle w:val="FootnoteReference"/>
          <w:noProof/>
        </w:rPr>
        <w:t xml:space="preserve"> </w:t>
      </w:r>
    </w:p>
    <w:p w:rsidR="00D03C46" w:rsidRDefault="00BD37FC">
      <w:pPr>
        <w:pStyle w:val="Text1"/>
        <w:rPr>
          <w:noProof/>
        </w:rPr>
      </w:pPr>
      <w:r>
        <w:rPr>
          <w:noProof/>
        </w:rPr>
        <w:t>X</w:t>
      </w:r>
      <w:r>
        <w:rPr>
          <w:i/>
          <w:noProof/>
        </w:rPr>
        <w:t xml:space="preserve"> </w:t>
      </w:r>
      <w:r>
        <w:rPr>
          <w:b/>
          <w:noProof/>
        </w:rPr>
        <w:t>Suora hallinnointi</w:t>
      </w:r>
      <w:r>
        <w:rPr>
          <w:noProof/>
        </w:rPr>
        <w:t>, jonka komissio toteuttaa käyttämällä</w:t>
      </w:r>
    </w:p>
    <w:p w:rsidR="00D03C46" w:rsidRDefault="00BD37FC">
      <w:pPr>
        <w:pStyle w:val="ListDash2"/>
        <w:rPr>
          <w:rFonts w:cs="EUAlbertina"/>
          <w:noProof/>
        </w:rPr>
      </w:pPr>
      <w:r>
        <w:rPr>
          <w:noProof/>
        </w:rPr>
        <w:t xml:space="preserve">X yksiköitään, myös unionin edustustoissa </w:t>
      </w:r>
      <w:r>
        <w:rPr>
          <w:noProof/>
        </w:rPr>
        <w:t xml:space="preserve">olevaa henkilöstöään; </w:t>
      </w:r>
    </w:p>
    <w:p w:rsidR="00D03C46" w:rsidRDefault="00BD37FC">
      <w:pPr>
        <w:pStyle w:val="ListDash2"/>
        <w:rPr>
          <w:noProof/>
        </w:rPr>
      </w:pPr>
      <w:r>
        <w:rPr>
          <w:noProof/>
        </w:rPr>
        <w:sym w:font="Wingdings" w:char="F0A8"/>
      </w:r>
      <w:r>
        <w:rPr>
          <w:noProof/>
        </w:rPr>
        <w:tab/>
        <w:t xml:space="preserve">toimeenpanovirastoja </w:t>
      </w:r>
    </w:p>
    <w:p w:rsidR="00D03C46" w:rsidRDefault="00BD37FC">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rsidR="00D03C46" w:rsidRDefault="00BD37FC">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rsidR="00D03C46" w:rsidRDefault="00BD37FC">
      <w:pPr>
        <w:pStyle w:val="ListDash2"/>
        <w:rPr>
          <w:noProof/>
        </w:rPr>
      </w:pPr>
      <w:r>
        <w:rPr>
          <w:noProof/>
        </w:rPr>
        <w:sym w:font="Wingdings" w:char="F0A8"/>
      </w:r>
      <w:r>
        <w:rPr>
          <w:noProof/>
        </w:rPr>
        <w:t xml:space="preserve"> kolmansille maille tai niiden nimeämille elimille;</w:t>
      </w:r>
    </w:p>
    <w:p w:rsidR="00D03C46" w:rsidRDefault="00BD37FC">
      <w:pPr>
        <w:pStyle w:val="ListDash2"/>
        <w:rPr>
          <w:noProof/>
        </w:rPr>
      </w:pPr>
      <w:r>
        <w:rPr>
          <w:noProof/>
        </w:rPr>
        <w:sym w:font="Wingdings" w:char="F0A8"/>
      </w:r>
      <w:r>
        <w:rPr>
          <w:noProof/>
        </w:rPr>
        <w:t xml:space="preserve"> kansainvälisille järjestöille ja</w:t>
      </w:r>
      <w:r>
        <w:rPr>
          <w:noProof/>
        </w:rPr>
        <w:t xml:space="preserve"> niiden erityisjärjestöille (tarkennettava);</w:t>
      </w:r>
    </w:p>
    <w:p w:rsidR="00D03C46" w:rsidRDefault="00BD37FC">
      <w:pPr>
        <w:pStyle w:val="ListDash2"/>
        <w:rPr>
          <w:noProof/>
        </w:rPr>
      </w:pPr>
      <w:r>
        <w:rPr>
          <w:noProof/>
        </w:rPr>
        <w:sym w:font="Wingdings" w:char="F0A8"/>
      </w:r>
      <w:r>
        <w:rPr>
          <w:noProof/>
        </w:rPr>
        <w:t>Euroopan investointipankille tai Euroopan investointirahastolle;</w:t>
      </w:r>
    </w:p>
    <w:p w:rsidR="00D03C46" w:rsidRDefault="00BD37FC">
      <w:pPr>
        <w:pStyle w:val="ListDash2"/>
        <w:rPr>
          <w:noProof/>
        </w:rPr>
      </w:pPr>
      <w:r>
        <w:rPr>
          <w:noProof/>
        </w:rPr>
        <w:sym w:font="Wingdings" w:char="F0A8"/>
      </w:r>
      <w:r>
        <w:rPr>
          <w:noProof/>
        </w:rPr>
        <w:t xml:space="preserve"> varainhoitoasetuksen 208 ja 209 artiklassa tarkoitetuille elimille;</w:t>
      </w:r>
    </w:p>
    <w:p w:rsidR="00D03C46" w:rsidRDefault="00BD37FC">
      <w:pPr>
        <w:pStyle w:val="ListDash2"/>
        <w:rPr>
          <w:noProof/>
        </w:rPr>
      </w:pPr>
      <w:r>
        <w:rPr>
          <w:noProof/>
        </w:rPr>
        <w:sym w:font="Wingdings" w:char="F0A8"/>
      </w:r>
      <w:r>
        <w:rPr>
          <w:noProof/>
        </w:rPr>
        <w:t xml:space="preserve"> julkisoikeudellisille yhteisöille;</w:t>
      </w:r>
    </w:p>
    <w:p w:rsidR="00D03C46" w:rsidRDefault="00BD37FC">
      <w:pPr>
        <w:pStyle w:val="ListDash2"/>
        <w:rPr>
          <w:noProof/>
        </w:rPr>
      </w:pPr>
      <w:r>
        <w:rPr>
          <w:noProof/>
        </w:rPr>
        <w:sym w:font="Wingdings" w:char="F0A8"/>
      </w:r>
      <w:r>
        <w:rPr>
          <w:noProof/>
        </w:rPr>
        <w:t xml:space="preserve"> sellaisille julkisen palvelun tehtäv</w:t>
      </w:r>
      <w:r>
        <w:rPr>
          <w:noProof/>
        </w:rPr>
        <w:t>iä hoitaville yksityisoikeudellisille elimille, jotka antavat riittävät rahoitustakuut;</w:t>
      </w:r>
    </w:p>
    <w:p w:rsidR="00D03C46" w:rsidRDefault="00BD37FC">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rsidR="00D03C46" w:rsidRDefault="00BD37FC">
      <w:pPr>
        <w:pStyle w:val="ListDash2"/>
        <w:rPr>
          <w:noProof/>
        </w:rPr>
      </w:pPr>
      <w:r>
        <w:rPr>
          <w:noProof/>
        </w:rPr>
        <w:sym w:font="Wingdings" w:char="F0A8"/>
      </w:r>
      <w:r>
        <w:rPr>
          <w:noProof/>
        </w:rPr>
        <w:t xml:space="preserve"> henkilöille, joille on annettu tehtäväksi toteuttaa SEU-so</w:t>
      </w:r>
      <w:r>
        <w:rPr>
          <w:noProof/>
        </w:rPr>
        <w:t>pimuksen V osaston mukaisia yhteisen ulko- ja turvallisuuspolitiikan erityistoimia ja jotka nimetään asiaa koskevassa perussäädöksessä.</w:t>
      </w:r>
    </w:p>
    <w:p w:rsidR="00D03C46" w:rsidRDefault="00BD37FC">
      <w:pPr>
        <w:pStyle w:val="ListDash2"/>
        <w:rPr>
          <w:i/>
          <w:noProof/>
          <w:sz w:val="18"/>
          <w:u w:val="single"/>
        </w:rPr>
      </w:pPr>
      <w:r>
        <w:rPr>
          <w:i/>
          <w:noProof/>
          <w:sz w:val="18"/>
        </w:rPr>
        <w:t>Jos käytetään useampaa kuin yhtä hallinnointitapaa, huomautuksille varatussa kohdassa olisi annettava lisätietoja.</w:t>
      </w:r>
    </w:p>
    <w:p w:rsidR="00D03C46" w:rsidRDefault="00BD37FC">
      <w:pPr>
        <w:rPr>
          <w:noProof/>
        </w:rPr>
      </w:pPr>
      <w:r>
        <w:rPr>
          <w:noProof/>
        </w:rPr>
        <w:t>Huoma</w:t>
      </w:r>
      <w:r>
        <w:rPr>
          <w:noProof/>
        </w:rPr>
        <w:t xml:space="preserve">utukset: </w:t>
      </w:r>
    </w:p>
    <w:p w:rsidR="00D03C46" w:rsidRDefault="00BD37FC">
      <w:pPr>
        <w:pStyle w:val="CommentText"/>
        <w:rPr>
          <w:noProof/>
        </w:rPr>
      </w:pPr>
      <w:r>
        <w:rPr>
          <w:noProof/>
        </w:rPr>
        <w:t xml:space="preserve"> </w:t>
      </w:r>
    </w:p>
    <w:p w:rsidR="00D03C46" w:rsidRDefault="00BD37FC">
      <w:pPr>
        <w:pBdr>
          <w:top w:val="single" w:sz="4" w:space="1" w:color="auto"/>
          <w:left w:val="single" w:sz="4" w:space="4" w:color="auto"/>
          <w:bottom w:val="single" w:sz="4" w:space="1" w:color="auto"/>
          <w:right w:val="single" w:sz="4" w:space="4" w:color="auto"/>
        </w:pBdr>
        <w:rPr>
          <w:noProof/>
        </w:rPr>
      </w:pPr>
      <w:r>
        <w:rPr>
          <w:noProof/>
        </w:rPr>
        <w:t>Sekä jäsenvaltioiden ja Euroopan komission on tuettava ja edistettävä oikeutettujen yksiköiden välistä yhteistyötä ja parhaiden käytäntöjen vaihtoa (ehdotuksen 15 artiklan 3 kohta).</w:t>
      </w:r>
    </w:p>
    <w:p w:rsidR="00D03C46" w:rsidRDefault="00D03C46">
      <w:pPr>
        <w:rPr>
          <w:noProof/>
        </w:rPr>
        <w:sectPr w:rsidR="00D03C46" w:rsidSect="00BD37FC">
          <w:pgSz w:w="11907" w:h="16840" w:code="9"/>
          <w:pgMar w:top="1134" w:right="1418" w:bottom="1134" w:left="1418" w:header="709" w:footer="709" w:gutter="0"/>
          <w:cols w:space="708"/>
          <w:docGrid w:linePitch="360"/>
        </w:sectPr>
      </w:pPr>
    </w:p>
    <w:p w:rsidR="00D03C46" w:rsidRDefault="00BD37FC">
      <w:pPr>
        <w:pStyle w:val="ManualHeading1"/>
        <w:rPr>
          <w:bCs/>
          <w:noProof/>
          <w:szCs w:val="24"/>
        </w:rPr>
      </w:pPr>
      <w:r>
        <w:lastRenderedPageBreak/>
        <w:t>2.</w:t>
      </w:r>
      <w:r>
        <w:tab/>
      </w:r>
      <w:r>
        <w:rPr>
          <w:noProof/>
        </w:rPr>
        <w:t xml:space="preserve">HALLINNOINTI </w:t>
      </w:r>
    </w:p>
    <w:p w:rsidR="00D03C46" w:rsidRDefault="00BD37FC">
      <w:pPr>
        <w:pStyle w:val="ManualHeading2"/>
        <w:rPr>
          <w:noProof/>
        </w:rPr>
      </w:pPr>
      <w:r>
        <w:t>2.1.</w:t>
      </w:r>
      <w:r>
        <w:tab/>
      </w:r>
      <w:r>
        <w:rPr>
          <w:noProof/>
        </w:rPr>
        <w:t xml:space="preserve">Seuranta- ja raportointisäännöt </w:t>
      </w:r>
    </w:p>
    <w:p w:rsidR="00D03C46" w:rsidRDefault="00BD37FC">
      <w:pPr>
        <w:pStyle w:val="Text1"/>
        <w:rPr>
          <w:i/>
          <w:noProof/>
          <w:sz w:val="20"/>
          <w:u w:val="single"/>
        </w:rPr>
      </w:pPr>
      <w:r>
        <w:rPr>
          <w:i/>
          <w:noProof/>
          <w:sz w:val="20"/>
        </w:rPr>
        <w:t>Ilmoitetaan sovellettavat aikavälit ja edellytykset.</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Direktiivin 18 artiklassa (Seuranta ja arviointi) edellytetään, että komissio tekee arvioinnin aikaisintaan viiden vuoden kuluttua direktiivin soveltamisen alkamispäiväst</w:t>
      </w:r>
      <w:r>
        <w:rPr>
          <w:noProof/>
        </w:rPr>
        <w:t>ä. Komissio laatii yksityiskohtaisen ohjelman, jolla seurataan direktiivin tuloksia ja vaikutuksia. Lisäksi komissio luo indikaattorit ja määrittelee, kuinka usein tietoja on kerättävä. Jäsenvaltioiden on tässä toimenpiteessä erityisesti toimitettava tarvi</w:t>
      </w:r>
      <w:r>
        <w:rPr>
          <w:noProof/>
        </w:rPr>
        <w:t>ttavat tilastotiedot 18 artiklan mukaisesti.</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Arvioinnissa käytetään apuna tämän rahoitusselvityksen kohdassa 1.4. esimerkinomaisesti lueteltuja indikaattoreita.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Varainkäytön seurannan osalta sovelletaan säännöksiä, jotka ovat perusoikeus-, tasa-arvo- ja k</w:t>
      </w:r>
      <w:r>
        <w:rPr>
          <w:noProof/>
        </w:rPr>
        <w:t xml:space="preserve">ansalaisuusohjelman perustamisesta kaudelle 2014–2020 17 päivänä joulukuuta 2013 annetussa Euroopan parlamentin ja neuvoston asetuksessa (EU) N:o 1381/2013. </w:t>
      </w:r>
    </w:p>
    <w:p w:rsidR="00D03C46" w:rsidRDefault="00BD37FC">
      <w:pPr>
        <w:pStyle w:val="ManualHeading2"/>
        <w:rPr>
          <w:bCs/>
          <w:noProof/>
          <w:szCs w:val="24"/>
        </w:rPr>
      </w:pPr>
      <w:r>
        <w:t>2.2.</w:t>
      </w:r>
      <w:r>
        <w:tab/>
      </w:r>
      <w:r>
        <w:rPr>
          <w:noProof/>
        </w:rPr>
        <w:t xml:space="preserve">Hallinnointi- ja valvontajärjestelmä </w:t>
      </w:r>
    </w:p>
    <w:p w:rsidR="00D03C46" w:rsidRDefault="00BD37FC">
      <w:pPr>
        <w:pStyle w:val="ManualHeading3"/>
        <w:rPr>
          <w:noProof/>
        </w:rPr>
      </w:pPr>
      <w:r>
        <w:t>2.2.1.</w:t>
      </w:r>
      <w:r>
        <w:tab/>
      </w:r>
      <w:r>
        <w:rPr>
          <w:noProof/>
        </w:rPr>
        <w:t xml:space="preserve">Todetut riskit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Ei ole.    </w:t>
      </w:r>
    </w:p>
    <w:p w:rsidR="00D03C46" w:rsidRDefault="00BD37FC">
      <w:pPr>
        <w:pStyle w:val="ManualHeading3"/>
        <w:rPr>
          <w:bCs/>
          <w:noProof/>
          <w:szCs w:val="24"/>
        </w:rPr>
      </w:pPr>
      <w:r>
        <w:t>2.2.2.</w:t>
      </w:r>
      <w:r>
        <w:tab/>
      </w:r>
      <w:r>
        <w:rPr>
          <w:noProof/>
        </w:rPr>
        <w:t>Tiedot käyttö</w:t>
      </w:r>
      <w:r>
        <w:rPr>
          <w:noProof/>
        </w:rPr>
        <w:t>ön otetusta sisäisen valvonnan järjestelmästä</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Ei sovelleta.</w:t>
      </w:r>
    </w:p>
    <w:p w:rsidR="00D03C46" w:rsidRDefault="00BD37FC">
      <w:pPr>
        <w:pStyle w:val="ManualHeading3"/>
        <w:rPr>
          <w:noProof/>
        </w:rPr>
      </w:pPr>
      <w:r>
        <w:t>2.2.3.</w:t>
      </w:r>
      <w:r>
        <w:tab/>
      </w:r>
      <w:r>
        <w:rPr>
          <w:noProof/>
        </w:rPr>
        <w:t xml:space="preserve">Arvio tarkastusten kustannustehokkuudesta ja odotettavissa olevasta virheriskin tasosta. </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 xml:space="preserve">Ei sovelleta. </w:t>
      </w:r>
    </w:p>
    <w:p w:rsidR="00D03C46" w:rsidRDefault="00BD37FC">
      <w:pPr>
        <w:pStyle w:val="ManualHeading2"/>
        <w:rPr>
          <w:bCs/>
          <w:noProof/>
          <w:szCs w:val="24"/>
        </w:rPr>
      </w:pPr>
      <w:r>
        <w:t>2.3.</w:t>
      </w:r>
      <w:r>
        <w:tab/>
      </w:r>
      <w:r>
        <w:rPr>
          <w:noProof/>
        </w:rPr>
        <w:t xml:space="preserve">Toimenpiteet petosten ja sääntöjenvastaisuuksien ehkäisemiseksi </w:t>
      </w:r>
    </w:p>
    <w:p w:rsidR="00D03C46" w:rsidRDefault="00BD37FC">
      <w:pPr>
        <w:pStyle w:val="Text1"/>
        <w:rPr>
          <w:i/>
          <w:noProof/>
          <w:sz w:val="20"/>
        </w:rPr>
      </w:pPr>
      <w:r>
        <w:rPr>
          <w:i/>
          <w:noProof/>
          <w:sz w:val="20"/>
        </w:rPr>
        <w:t xml:space="preserve">Ilmoitetaan </w:t>
      </w:r>
      <w:r>
        <w:rPr>
          <w:i/>
          <w:noProof/>
          <w:sz w:val="20"/>
        </w:rPr>
        <w:t>käytössä olevat ja suunnitellut torjunta- ja suojatoimenpiteet</w:t>
      </w:r>
    </w:p>
    <w:p w:rsidR="00D03C46" w:rsidRDefault="00BD37FC">
      <w:pPr>
        <w:pStyle w:val="Text1"/>
        <w:pBdr>
          <w:top w:val="single" w:sz="4" w:space="1" w:color="auto"/>
          <w:left w:val="single" w:sz="4" w:space="4" w:color="auto"/>
          <w:bottom w:val="single" w:sz="4" w:space="1" w:color="auto"/>
          <w:right w:val="single" w:sz="4" w:space="4" w:color="auto"/>
        </w:pBdr>
        <w:rPr>
          <w:noProof/>
        </w:rPr>
      </w:pPr>
      <w:r>
        <w:rPr>
          <w:noProof/>
        </w:rPr>
        <w:t>Sen lisäksi että petosten ja sääntöjenvastaisuuksien ehkäisemiseksi sovelletaan varainhoitoasetusta, mahdollisten puutteiden tai sääntöjenvastaisuuksien korjaamiseksi tarkistetaan toimitettujen</w:t>
      </w:r>
      <w:r>
        <w:rPr>
          <w:noProof/>
        </w:rPr>
        <w:t xml:space="preserve"> tietojen sisältö ja varmistetaan niiden laatu.</w:t>
      </w:r>
    </w:p>
    <w:p w:rsidR="00D03C46" w:rsidRDefault="00D03C46">
      <w:pPr>
        <w:rPr>
          <w:noProof/>
        </w:rPr>
        <w:sectPr w:rsidR="00D03C46" w:rsidSect="00BD37FC">
          <w:pgSz w:w="11907" w:h="16840" w:code="9"/>
          <w:pgMar w:top="1134" w:right="1418" w:bottom="1134" w:left="1418" w:header="709" w:footer="709" w:gutter="0"/>
          <w:cols w:space="708"/>
          <w:docGrid w:linePitch="360"/>
        </w:sectPr>
      </w:pPr>
    </w:p>
    <w:p w:rsidR="00D03C46" w:rsidRDefault="00BD37FC">
      <w:pPr>
        <w:pStyle w:val="ManualHeading1"/>
        <w:rPr>
          <w:bCs/>
          <w:noProof/>
          <w:szCs w:val="24"/>
        </w:rPr>
      </w:pPr>
      <w:r>
        <w:lastRenderedPageBreak/>
        <w:t>3.</w:t>
      </w:r>
      <w:r>
        <w:tab/>
      </w:r>
      <w:r>
        <w:rPr>
          <w:noProof/>
        </w:rPr>
        <w:t xml:space="preserve">EHDOTUKSEN/ALOITTEEN ARVIOIDUT RAHOITUSVAIKUTUKSET </w:t>
      </w:r>
    </w:p>
    <w:p w:rsidR="00D03C46" w:rsidRDefault="00BD37FC">
      <w:pPr>
        <w:pStyle w:val="ManualHeading2"/>
        <w:rPr>
          <w:noProof/>
        </w:rPr>
      </w:pPr>
      <w:r>
        <w:t>3.1.</w:t>
      </w:r>
      <w:r>
        <w:tab/>
      </w:r>
      <w:r>
        <w:rPr>
          <w:noProof/>
        </w:rPr>
        <w:t xml:space="preserve">Kyseeseen tulevat monivuotisen rahoituskehyksen otsakkeet ja menopuolen budjettikohdat </w:t>
      </w:r>
    </w:p>
    <w:p w:rsidR="00D03C46" w:rsidRDefault="00BD37FC">
      <w:pPr>
        <w:pStyle w:val="ListBullet1"/>
        <w:rPr>
          <w:noProof/>
        </w:rPr>
      </w:pPr>
      <w:r>
        <w:rPr>
          <w:noProof/>
        </w:rPr>
        <w:t>Talousarviossa jo olevat budjettikoh</w:t>
      </w:r>
      <w:r>
        <w:rPr>
          <w:noProof/>
        </w:rPr>
        <w:t xml:space="preserve">dat </w:t>
      </w:r>
    </w:p>
    <w:p w:rsidR="00D03C46" w:rsidRDefault="00BD37FC">
      <w:pPr>
        <w:pStyle w:val="Text1"/>
        <w:rPr>
          <w:noProof/>
        </w:rPr>
      </w:pPr>
      <w:r>
        <w:rPr>
          <w:noProof/>
        </w:rPr>
        <w:t xml:space="preserve">Monivuotisen rahoituskehyksen otsakkeiden ja budjettikohtien mukaisessa </w:t>
      </w:r>
      <w:r>
        <w:rPr>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03C46">
        <w:tc>
          <w:tcPr>
            <w:tcW w:w="1080" w:type="dxa"/>
            <w:vMerge w:val="restart"/>
            <w:vAlign w:val="center"/>
          </w:tcPr>
          <w:p w:rsidR="00D03C46" w:rsidRDefault="00BD37FC">
            <w:pPr>
              <w:spacing w:before="60" w:after="60"/>
              <w:jc w:val="center"/>
              <w:rPr>
                <w:noProof/>
                <w:sz w:val="22"/>
              </w:rPr>
            </w:pPr>
            <w:r>
              <w:rPr>
                <w:noProof/>
                <w:sz w:val="18"/>
              </w:rPr>
              <w:t>Moni-vuotisen rahoitus-kehyksen otsake</w:t>
            </w:r>
          </w:p>
        </w:tc>
        <w:tc>
          <w:tcPr>
            <w:tcW w:w="3960" w:type="dxa"/>
            <w:vAlign w:val="center"/>
          </w:tcPr>
          <w:p w:rsidR="00D03C46" w:rsidRDefault="00BD37FC">
            <w:pPr>
              <w:spacing w:before="60" w:after="60"/>
              <w:jc w:val="center"/>
              <w:rPr>
                <w:noProof/>
                <w:sz w:val="22"/>
              </w:rPr>
            </w:pPr>
            <w:r>
              <w:rPr>
                <w:noProof/>
                <w:sz w:val="20"/>
              </w:rPr>
              <w:t>Budjettikohta</w:t>
            </w:r>
          </w:p>
        </w:tc>
        <w:tc>
          <w:tcPr>
            <w:tcW w:w="1080" w:type="dxa"/>
            <w:vAlign w:val="center"/>
          </w:tcPr>
          <w:p w:rsidR="00D03C46" w:rsidRDefault="00BD37FC">
            <w:pPr>
              <w:spacing w:before="60" w:after="60"/>
              <w:jc w:val="center"/>
              <w:rPr>
                <w:noProof/>
                <w:sz w:val="22"/>
              </w:rPr>
            </w:pPr>
            <w:r>
              <w:rPr>
                <w:noProof/>
                <w:sz w:val="18"/>
              </w:rPr>
              <w:t>Määräraha-laji</w:t>
            </w:r>
          </w:p>
        </w:tc>
        <w:tc>
          <w:tcPr>
            <w:tcW w:w="4440" w:type="dxa"/>
            <w:gridSpan w:val="4"/>
            <w:vAlign w:val="center"/>
          </w:tcPr>
          <w:p w:rsidR="00D03C46" w:rsidRDefault="00BD37FC">
            <w:pPr>
              <w:spacing w:before="60" w:after="60"/>
              <w:jc w:val="center"/>
              <w:rPr>
                <w:noProof/>
                <w:sz w:val="22"/>
              </w:rPr>
            </w:pPr>
            <w:r>
              <w:rPr>
                <w:noProof/>
                <w:sz w:val="20"/>
              </w:rPr>
              <w:t xml:space="preserve">Rahoitusosuudet </w:t>
            </w:r>
          </w:p>
        </w:tc>
      </w:tr>
      <w:tr w:rsidR="00D03C46">
        <w:tc>
          <w:tcPr>
            <w:tcW w:w="1080" w:type="dxa"/>
            <w:vMerge/>
            <w:vAlign w:val="center"/>
          </w:tcPr>
          <w:p w:rsidR="00D03C46" w:rsidRDefault="00D03C46">
            <w:pPr>
              <w:jc w:val="center"/>
              <w:rPr>
                <w:noProof/>
                <w:sz w:val="22"/>
              </w:rPr>
            </w:pPr>
          </w:p>
        </w:tc>
        <w:tc>
          <w:tcPr>
            <w:tcW w:w="3960" w:type="dxa"/>
            <w:vAlign w:val="center"/>
          </w:tcPr>
          <w:p w:rsidR="00D03C46" w:rsidRDefault="00BD37FC">
            <w:pPr>
              <w:rPr>
                <w:noProof/>
                <w:sz w:val="22"/>
              </w:rPr>
            </w:pPr>
            <w:r>
              <w:rPr>
                <w:noProof/>
                <w:sz w:val="20"/>
              </w:rPr>
              <w:t xml:space="preserve">Numero 3. </w:t>
            </w:r>
            <w:r>
              <w:rPr>
                <w:noProof/>
                <w:sz w:val="22"/>
              </w:rPr>
              <w:t>Turvallisuus ja kansalaisuus</w:t>
            </w:r>
          </w:p>
        </w:tc>
        <w:tc>
          <w:tcPr>
            <w:tcW w:w="1080" w:type="dxa"/>
            <w:vAlign w:val="center"/>
          </w:tcPr>
          <w:p w:rsidR="00D03C46" w:rsidRDefault="00BD37FC">
            <w:pPr>
              <w:jc w:val="center"/>
              <w:rPr>
                <w:noProof/>
                <w:sz w:val="22"/>
              </w:rPr>
            </w:pPr>
            <w:r>
              <w:rPr>
                <w:noProof/>
                <w:sz w:val="18"/>
              </w:rPr>
              <w:t>JM/EI-JM</w:t>
            </w:r>
            <w:r>
              <w:rPr>
                <w:rStyle w:val="FootnoteReference"/>
                <w:noProof/>
                <w:sz w:val="18"/>
              </w:rPr>
              <w:footnoteReference w:id="38"/>
            </w:r>
            <w:r>
              <w:rPr>
                <w:noProof/>
              </w:rPr>
              <w:t>.</w:t>
            </w:r>
          </w:p>
        </w:tc>
        <w:tc>
          <w:tcPr>
            <w:tcW w:w="956" w:type="dxa"/>
            <w:vAlign w:val="center"/>
          </w:tcPr>
          <w:p w:rsidR="00D03C46" w:rsidRDefault="00BD37FC">
            <w:pPr>
              <w:jc w:val="center"/>
              <w:rPr>
                <w:noProof/>
                <w:sz w:val="22"/>
              </w:rPr>
            </w:pPr>
            <w:r>
              <w:rPr>
                <w:noProof/>
                <w:sz w:val="18"/>
              </w:rPr>
              <w:t>EFTA-mailta</w:t>
            </w:r>
            <w:r>
              <w:rPr>
                <w:rStyle w:val="FootnoteReference"/>
                <w:noProof/>
                <w:sz w:val="18"/>
              </w:rPr>
              <w:footnoteReference w:id="39"/>
            </w:r>
          </w:p>
          <w:p w:rsidR="00D03C46" w:rsidRDefault="00D03C46">
            <w:pPr>
              <w:spacing w:before="0" w:after="0"/>
              <w:jc w:val="center"/>
              <w:rPr>
                <w:b/>
                <w:noProof/>
                <w:sz w:val="18"/>
              </w:rPr>
            </w:pPr>
          </w:p>
        </w:tc>
        <w:tc>
          <w:tcPr>
            <w:tcW w:w="1080" w:type="dxa"/>
            <w:vAlign w:val="center"/>
          </w:tcPr>
          <w:p w:rsidR="00D03C46" w:rsidRDefault="00BD37FC">
            <w:pPr>
              <w:jc w:val="center"/>
              <w:rPr>
                <w:noProof/>
                <w:sz w:val="22"/>
              </w:rPr>
            </w:pPr>
            <w:r>
              <w:rPr>
                <w:noProof/>
                <w:sz w:val="18"/>
              </w:rPr>
              <w:t>Ehdokas-mailta</w:t>
            </w:r>
            <w:r>
              <w:rPr>
                <w:rStyle w:val="FootnoteReference"/>
                <w:noProof/>
                <w:sz w:val="18"/>
              </w:rPr>
              <w:footnoteReference w:id="40"/>
            </w:r>
          </w:p>
          <w:p w:rsidR="00D03C46" w:rsidRDefault="00D03C46">
            <w:pPr>
              <w:spacing w:before="0" w:after="0"/>
              <w:jc w:val="center"/>
              <w:rPr>
                <w:noProof/>
                <w:sz w:val="18"/>
              </w:rPr>
            </w:pPr>
          </w:p>
        </w:tc>
        <w:tc>
          <w:tcPr>
            <w:tcW w:w="956" w:type="dxa"/>
            <w:vAlign w:val="center"/>
          </w:tcPr>
          <w:p w:rsidR="00D03C46" w:rsidRDefault="00BD37FC">
            <w:pPr>
              <w:jc w:val="center"/>
              <w:rPr>
                <w:noProof/>
                <w:sz w:val="18"/>
              </w:rPr>
            </w:pPr>
            <w:r>
              <w:rPr>
                <w:noProof/>
                <w:sz w:val="18"/>
              </w:rPr>
              <w:t>Kolman-silta mailta</w:t>
            </w:r>
          </w:p>
        </w:tc>
        <w:tc>
          <w:tcPr>
            <w:tcW w:w="1448" w:type="dxa"/>
            <w:vAlign w:val="center"/>
          </w:tcPr>
          <w:p w:rsidR="00D03C46" w:rsidRDefault="00BD37FC">
            <w:pPr>
              <w:jc w:val="center"/>
              <w:rPr>
                <w:noProof/>
                <w:sz w:val="22"/>
              </w:rPr>
            </w:pPr>
            <w:r>
              <w:rPr>
                <w:noProof/>
                <w:sz w:val="16"/>
              </w:rPr>
              <w:t xml:space="preserve">Varainhoitoasetuk-sen 21 artiklan 2 kohdan b alakohdassa tarkoitetut rahoitusosuudet </w:t>
            </w:r>
          </w:p>
        </w:tc>
      </w:tr>
      <w:tr w:rsidR="00D03C46">
        <w:tc>
          <w:tcPr>
            <w:tcW w:w="1080" w:type="dxa"/>
            <w:vAlign w:val="center"/>
          </w:tcPr>
          <w:p w:rsidR="00D03C46" w:rsidRDefault="00D03C46">
            <w:pPr>
              <w:jc w:val="center"/>
              <w:rPr>
                <w:noProof/>
                <w:color w:val="0000FF"/>
                <w:sz w:val="22"/>
              </w:rPr>
            </w:pPr>
          </w:p>
        </w:tc>
        <w:tc>
          <w:tcPr>
            <w:tcW w:w="3960" w:type="dxa"/>
            <w:vAlign w:val="center"/>
          </w:tcPr>
          <w:p w:rsidR="00D03C46" w:rsidRDefault="00BD37FC">
            <w:pPr>
              <w:spacing w:before="60"/>
              <w:rPr>
                <w:noProof/>
                <w:sz w:val="22"/>
              </w:rPr>
            </w:pPr>
            <w:r>
              <w:rPr>
                <w:noProof/>
                <w:sz w:val="22"/>
              </w:rPr>
              <w:t>33 02 01</w:t>
            </w:r>
          </w:p>
          <w:p w:rsidR="00D03C46" w:rsidRDefault="00D03C46">
            <w:pPr>
              <w:spacing w:after="60"/>
              <w:rPr>
                <w:noProof/>
                <w:sz w:val="22"/>
              </w:rPr>
            </w:pPr>
          </w:p>
        </w:tc>
        <w:tc>
          <w:tcPr>
            <w:tcW w:w="1080" w:type="dxa"/>
            <w:vAlign w:val="center"/>
          </w:tcPr>
          <w:p w:rsidR="00D03C46" w:rsidRDefault="00BD37FC">
            <w:pPr>
              <w:jc w:val="center"/>
              <w:rPr>
                <w:noProof/>
                <w:color w:val="0000FF"/>
                <w:sz w:val="22"/>
              </w:rPr>
            </w:pPr>
            <w:r>
              <w:rPr>
                <w:noProof/>
                <w:sz w:val="22"/>
              </w:rPr>
              <w:t>JM</w:t>
            </w:r>
          </w:p>
        </w:tc>
        <w:tc>
          <w:tcPr>
            <w:tcW w:w="956" w:type="dxa"/>
            <w:vAlign w:val="center"/>
          </w:tcPr>
          <w:p w:rsidR="00D03C46" w:rsidRDefault="00BD37FC">
            <w:pPr>
              <w:jc w:val="center"/>
              <w:rPr>
                <w:noProof/>
                <w:sz w:val="22"/>
              </w:rPr>
            </w:pPr>
            <w:r>
              <w:rPr>
                <w:noProof/>
                <w:sz w:val="22"/>
              </w:rPr>
              <w:t>KYL-LÄ</w:t>
            </w:r>
          </w:p>
        </w:tc>
        <w:tc>
          <w:tcPr>
            <w:tcW w:w="1080" w:type="dxa"/>
            <w:vAlign w:val="center"/>
          </w:tcPr>
          <w:p w:rsidR="00D03C46" w:rsidRDefault="00BD37FC">
            <w:pPr>
              <w:jc w:val="center"/>
              <w:rPr>
                <w:noProof/>
                <w:sz w:val="22"/>
              </w:rPr>
            </w:pPr>
            <w:r>
              <w:rPr>
                <w:noProof/>
                <w:sz w:val="22"/>
              </w:rPr>
              <w:t>EI</w:t>
            </w:r>
          </w:p>
        </w:tc>
        <w:tc>
          <w:tcPr>
            <w:tcW w:w="956" w:type="dxa"/>
            <w:vAlign w:val="center"/>
          </w:tcPr>
          <w:p w:rsidR="00D03C46" w:rsidRDefault="00BD37FC">
            <w:pPr>
              <w:jc w:val="center"/>
              <w:rPr>
                <w:noProof/>
                <w:sz w:val="22"/>
              </w:rPr>
            </w:pPr>
            <w:r>
              <w:rPr>
                <w:noProof/>
                <w:sz w:val="22"/>
              </w:rPr>
              <w:t>EI</w:t>
            </w:r>
          </w:p>
        </w:tc>
        <w:tc>
          <w:tcPr>
            <w:tcW w:w="1448" w:type="dxa"/>
            <w:vAlign w:val="center"/>
          </w:tcPr>
          <w:p w:rsidR="00D03C46" w:rsidRDefault="00BD37FC">
            <w:pPr>
              <w:jc w:val="center"/>
              <w:rPr>
                <w:noProof/>
                <w:sz w:val="22"/>
              </w:rPr>
            </w:pPr>
            <w:r>
              <w:rPr>
                <w:noProof/>
                <w:sz w:val="22"/>
              </w:rPr>
              <w:t>EI</w:t>
            </w:r>
          </w:p>
        </w:tc>
      </w:tr>
    </w:tbl>
    <w:p w:rsidR="00D03C46" w:rsidRDefault="00BD37FC">
      <w:pPr>
        <w:pStyle w:val="ListBullet1"/>
        <w:rPr>
          <w:noProof/>
        </w:rPr>
      </w:pPr>
      <w:r>
        <w:rPr>
          <w:noProof/>
        </w:rPr>
        <w:t>Uudet perustettaviksi esitetyt budjettikohdat: ei sovelleta</w:t>
      </w:r>
    </w:p>
    <w:p w:rsidR="00D03C46" w:rsidRDefault="00BD37FC">
      <w:pPr>
        <w:pStyle w:val="Text1"/>
        <w:rPr>
          <w:i/>
          <w:noProof/>
          <w:sz w:val="20"/>
        </w:rPr>
      </w:pPr>
      <w:r>
        <w:rPr>
          <w:i/>
          <w:noProof/>
        </w:rPr>
        <w:t>Monivuotisen rahoituskehyksen otsakkeiden</w:t>
      </w:r>
      <w:r>
        <w:rPr>
          <w:i/>
          <w:noProof/>
        </w:rPr>
        <w:t xml:space="preserve"> ja budjettikohtien mukaisessa</w:t>
      </w:r>
      <w:r>
        <w:rPr>
          <w:noProof/>
        </w:rPr>
        <w:t xml:space="preserve"> </w:t>
      </w:r>
      <w:r>
        <w:rPr>
          <w:i/>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03C46">
        <w:tc>
          <w:tcPr>
            <w:tcW w:w="1080" w:type="dxa"/>
            <w:vMerge w:val="restart"/>
            <w:vAlign w:val="center"/>
          </w:tcPr>
          <w:p w:rsidR="00D03C46" w:rsidRDefault="00BD37FC">
            <w:pPr>
              <w:spacing w:before="60" w:after="60"/>
              <w:jc w:val="center"/>
              <w:rPr>
                <w:noProof/>
                <w:sz w:val="18"/>
                <w:szCs w:val="18"/>
              </w:rPr>
            </w:pPr>
            <w:r>
              <w:rPr>
                <w:noProof/>
                <w:sz w:val="18"/>
              </w:rPr>
              <w:t>Moni-vuotisen rahoitus-kehyksen otsake</w:t>
            </w:r>
          </w:p>
        </w:tc>
        <w:tc>
          <w:tcPr>
            <w:tcW w:w="3960" w:type="dxa"/>
            <w:vAlign w:val="center"/>
          </w:tcPr>
          <w:p w:rsidR="00D03C46" w:rsidRDefault="00BD37FC">
            <w:pPr>
              <w:spacing w:before="60" w:after="60"/>
              <w:jc w:val="center"/>
              <w:rPr>
                <w:noProof/>
                <w:sz w:val="22"/>
              </w:rPr>
            </w:pPr>
            <w:r>
              <w:rPr>
                <w:noProof/>
                <w:sz w:val="20"/>
              </w:rPr>
              <w:t>Budjettikohta</w:t>
            </w:r>
          </w:p>
        </w:tc>
        <w:tc>
          <w:tcPr>
            <w:tcW w:w="1080" w:type="dxa"/>
            <w:vAlign w:val="center"/>
          </w:tcPr>
          <w:p w:rsidR="00D03C46" w:rsidRDefault="00BD37FC">
            <w:pPr>
              <w:spacing w:before="60" w:after="60"/>
              <w:jc w:val="center"/>
              <w:rPr>
                <w:noProof/>
                <w:sz w:val="22"/>
              </w:rPr>
            </w:pPr>
            <w:r>
              <w:rPr>
                <w:noProof/>
                <w:sz w:val="18"/>
              </w:rPr>
              <w:t>Määräraha-laji</w:t>
            </w:r>
          </w:p>
        </w:tc>
        <w:tc>
          <w:tcPr>
            <w:tcW w:w="4440" w:type="dxa"/>
            <w:gridSpan w:val="4"/>
            <w:vAlign w:val="center"/>
          </w:tcPr>
          <w:p w:rsidR="00D03C46" w:rsidRDefault="00BD37FC">
            <w:pPr>
              <w:spacing w:before="60" w:after="60"/>
              <w:jc w:val="center"/>
              <w:rPr>
                <w:noProof/>
                <w:sz w:val="22"/>
              </w:rPr>
            </w:pPr>
            <w:r>
              <w:rPr>
                <w:noProof/>
                <w:sz w:val="20"/>
              </w:rPr>
              <w:t xml:space="preserve">Rahoitusosuudet </w:t>
            </w:r>
          </w:p>
        </w:tc>
      </w:tr>
      <w:tr w:rsidR="00D03C46">
        <w:tc>
          <w:tcPr>
            <w:tcW w:w="1080" w:type="dxa"/>
            <w:vMerge/>
            <w:vAlign w:val="center"/>
          </w:tcPr>
          <w:p w:rsidR="00D03C46" w:rsidRDefault="00D03C46">
            <w:pPr>
              <w:jc w:val="center"/>
              <w:rPr>
                <w:noProof/>
                <w:sz w:val="22"/>
              </w:rPr>
            </w:pPr>
          </w:p>
        </w:tc>
        <w:tc>
          <w:tcPr>
            <w:tcW w:w="3960" w:type="dxa"/>
            <w:vAlign w:val="center"/>
          </w:tcPr>
          <w:p w:rsidR="00D03C46" w:rsidRDefault="00BD37FC">
            <w:pPr>
              <w:rPr>
                <w:noProof/>
                <w:sz w:val="22"/>
              </w:rPr>
            </w:pPr>
            <w:r>
              <w:rPr>
                <w:noProof/>
              </w:rPr>
              <w:t>Numero</w:t>
            </w:r>
            <w:r>
              <w:rPr>
                <w:noProof/>
                <w:sz w:val="20"/>
              </w:rPr>
              <w:t>[Nimi…...….]</w:t>
            </w:r>
          </w:p>
        </w:tc>
        <w:tc>
          <w:tcPr>
            <w:tcW w:w="1080" w:type="dxa"/>
            <w:vAlign w:val="center"/>
          </w:tcPr>
          <w:p w:rsidR="00D03C46" w:rsidRDefault="00BD37FC">
            <w:pPr>
              <w:jc w:val="center"/>
              <w:rPr>
                <w:noProof/>
                <w:sz w:val="22"/>
              </w:rPr>
            </w:pPr>
            <w:r>
              <w:rPr>
                <w:noProof/>
                <w:sz w:val="18"/>
              </w:rPr>
              <w:t>JM/EI-JM</w:t>
            </w:r>
          </w:p>
        </w:tc>
        <w:tc>
          <w:tcPr>
            <w:tcW w:w="956" w:type="dxa"/>
            <w:vAlign w:val="center"/>
          </w:tcPr>
          <w:p w:rsidR="00D03C46" w:rsidRDefault="00BD37FC">
            <w:pPr>
              <w:jc w:val="center"/>
              <w:rPr>
                <w:noProof/>
                <w:sz w:val="18"/>
              </w:rPr>
            </w:pPr>
            <w:r>
              <w:rPr>
                <w:noProof/>
                <w:sz w:val="18"/>
              </w:rPr>
              <w:t>EFTA-mailta</w:t>
            </w:r>
          </w:p>
        </w:tc>
        <w:tc>
          <w:tcPr>
            <w:tcW w:w="1080" w:type="dxa"/>
            <w:vAlign w:val="center"/>
          </w:tcPr>
          <w:p w:rsidR="00D03C46" w:rsidRDefault="00BD37FC">
            <w:pPr>
              <w:jc w:val="center"/>
              <w:rPr>
                <w:noProof/>
                <w:sz w:val="18"/>
              </w:rPr>
            </w:pPr>
            <w:r>
              <w:rPr>
                <w:noProof/>
                <w:sz w:val="18"/>
              </w:rPr>
              <w:t>Ehdokas-mailta</w:t>
            </w:r>
          </w:p>
        </w:tc>
        <w:tc>
          <w:tcPr>
            <w:tcW w:w="956" w:type="dxa"/>
            <w:vAlign w:val="center"/>
          </w:tcPr>
          <w:p w:rsidR="00D03C46" w:rsidRDefault="00BD37FC">
            <w:pPr>
              <w:jc w:val="center"/>
              <w:rPr>
                <w:noProof/>
                <w:sz w:val="18"/>
              </w:rPr>
            </w:pPr>
            <w:r>
              <w:rPr>
                <w:noProof/>
                <w:sz w:val="18"/>
              </w:rPr>
              <w:t>Kolman-silta mailta</w:t>
            </w:r>
          </w:p>
        </w:tc>
        <w:tc>
          <w:tcPr>
            <w:tcW w:w="1448" w:type="dxa"/>
            <w:vAlign w:val="center"/>
          </w:tcPr>
          <w:p w:rsidR="00D03C46" w:rsidRDefault="00BD37FC">
            <w:pPr>
              <w:jc w:val="center"/>
              <w:rPr>
                <w:noProof/>
                <w:sz w:val="22"/>
              </w:rPr>
            </w:pPr>
            <w:r>
              <w:rPr>
                <w:noProof/>
                <w:sz w:val="16"/>
              </w:rPr>
              <w:t xml:space="preserve">Varainhoitoasetuk-sen 21 artiklan 2 kohdan b alakohdassa tarkoitetut rahoitusosuudet </w:t>
            </w:r>
          </w:p>
        </w:tc>
      </w:tr>
      <w:tr w:rsidR="00D03C46">
        <w:tc>
          <w:tcPr>
            <w:tcW w:w="1080" w:type="dxa"/>
            <w:vAlign w:val="center"/>
          </w:tcPr>
          <w:p w:rsidR="00D03C46" w:rsidRDefault="00D03C46">
            <w:pPr>
              <w:jc w:val="center"/>
              <w:rPr>
                <w:noProof/>
                <w:color w:val="0000FF"/>
                <w:sz w:val="22"/>
              </w:rPr>
            </w:pPr>
          </w:p>
        </w:tc>
        <w:tc>
          <w:tcPr>
            <w:tcW w:w="3960" w:type="dxa"/>
            <w:vAlign w:val="center"/>
          </w:tcPr>
          <w:p w:rsidR="00D03C46" w:rsidRDefault="00D03C46">
            <w:pPr>
              <w:spacing w:before="60"/>
              <w:rPr>
                <w:noProof/>
                <w:color w:val="0000FF"/>
                <w:sz w:val="22"/>
              </w:rPr>
            </w:pPr>
          </w:p>
        </w:tc>
        <w:tc>
          <w:tcPr>
            <w:tcW w:w="1080" w:type="dxa"/>
            <w:vAlign w:val="center"/>
          </w:tcPr>
          <w:p w:rsidR="00D03C46" w:rsidRDefault="00D03C46">
            <w:pPr>
              <w:jc w:val="center"/>
              <w:rPr>
                <w:noProof/>
                <w:color w:val="0000FF"/>
                <w:sz w:val="22"/>
              </w:rPr>
            </w:pPr>
          </w:p>
        </w:tc>
        <w:tc>
          <w:tcPr>
            <w:tcW w:w="956" w:type="dxa"/>
            <w:vAlign w:val="center"/>
          </w:tcPr>
          <w:p w:rsidR="00D03C46" w:rsidRDefault="00D03C46">
            <w:pPr>
              <w:jc w:val="center"/>
              <w:rPr>
                <w:noProof/>
                <w:sz w:val="22"/>
              </w:rPr>
            </w:pPr>
          </w:p>
        </w:tc>
        <w:tc>
          <w:tcPr>
            <w:tcW w:w="1080" w:type="dxa"/>
            <w:vAlign w:val="center"/>
          </w:tcPr>
          <w:p w:rsidR="00D03C46" w:rsidRDefault="00D03C46">
            <w:pPr>
              <w:jc w:val="center"/>
              <w:rPr>
                <w:noProof/>
                <w:color w:val="0000FF"/>
                <w:sz w:val="18"/>
              </w:rPr>
            </w:pPr>
          </w:p>
        </w:tc>
        <w:tc>
          <w:tcPr>
            <w:tcW w:w="956" w:type="dxa"/>
            <w:vAlign w:val="center"/>
          </w:tcPr>
          <w:p w:rsidR="00D03C46" w:rsidRDefault="00D03C46">
            <w:pPr>
              <w:jc w:val="center"/>
              <w:rPr>
                <w:noProof/>
                <w:color w:val="0000FF"/>
                <w:sz w:val="18"/>
              </w:rPr>
            </w:pPr>
          </w:p>
        </w:tc>
        <w:tc>
          <w:tcPr>
            <w:tcW w:w="1448" w:type="dxa"/>
            <w:vAlign w:val="center"/>
          </w:tcPr>
          <w:p w:rsidR="00D03C46" w:rsidRDefault="00D03C46">
            <w:pPr>
              <w:jc w:val="center"/>
              <w:rPr>
                <w:noProof/>
                <w:sz w:val="22"/>
              </w:rPr>
            </w:pPr>
          </w:p>
        </w:tc>
      </w:tr>
    </w:tbl>
    <w:p w:rsidR="00D03C46" w:rsidRDefault="00D03C46">
      <w:pPr>
        <w:rPr>
          <w:noProof/>
        </w:rPr>
        <w:sectPr w:rsidR="00D03C46" w:rsidSect="00BD37FC">
          <w:pgSz w:w="11907" w:h="16840" w:code="1"/>
          <w:pgMar w:top="1134" w:right="1418" w:bottom="1134" w:left="1418" w:header="709" w:footer="709" w:gutter="0"/>
          <w:cols w:space="708"/>
          <w:docGrid w:linePitch="360"/>
        </w:sectPr>
      </w:pPr>
    </w:p>
    <w:p w:rsidR="00D03C46" w:rsidRDefault="00BD37FC">
      <w:pPr>
        <w:pStyle w:val="ManualHeading2"/>
        <w:rPr>
          <w:bCs/>
          <w:noProof/>
          <w:szCs w:val="24"/>
        </w:rPr>
      </w:pPr>
      <w:r>
        <w:lastRenderedPageBreak/>
        <w:t>3.2.</w:t>
      </w:r>
      <w:r>
        <w:tab/>
      </w:r>
      <w:r>
        <w:rPr>
          <w:noProof/>
        </w:rPr>
        <w:t xml:space="preserve">Arvioidut vaikutukset menoihin </w:t>
      </w:r>
    </w:p>
    <w:p w:rsidR="00D03C46" w:rsidRDefault="00BD37FC">
      <w:pPr>
        <w:pStyle w:val="ManualHeading3"/>
        <w:rPr>
          <w:noProof/>
          <w:u w:val="single"/>
        </w:rPr>
      </w:pPr>
      <w:r>
        <w:t>3.2.1.</w:t>
      </w:r>
      <w:r>
        <w:tab/>
      </w:r>
      <w:r>
        <w:rPr>
          <w:noProof/>
        </w:rPr>
        <w:t xml:space="preserve">Yhteenveto arvioiduista vaikutuksista menoihin </w:t>
      </w:r>
    </w:p>
    <w:p w:rsidR="00D03C46" w:rsidRDefault="00BD37FC">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7"/>
        <w:gridCol w:w="1080"/>
        <w:gridCol w:w="5777"/>
      </w:tblGrid>
      <w:tr w:rsidR="00D03C46">
        <w:trPr>
          <w:jc w:val="center"/>
        </w:trPr>
        <w:tc>
          <w:tcPr>
            <w:tcW w:w="6087" w:type="dxa"/>
            <w:shd w:val="thinDiagStripe" w:color="C0C0C0" w:fill="auto"/>
            <w:vAlign w:val="center"/>
          </w:tcPr>
          <w:p w:rsidR="00D03C46" w:rsidRDefault="00BD37FC">
            <w:pPr>
              <w:spacing w:before="60" w:after="60"/>
              <w:jc w:val="center"/>
              <w:rPr>
                <w:b/>
                <w:noProof/>
                <w:sz w:val="22"/>
              </w:rPr>
            </w:pPr>
            <w:r>
              <w:rPr>
                <w:b/>
                <w:noProof/>
                <w:sz w:val="22"/>
              </w:rPr>
              <w:t>Monivuotisen rahoituskehyksen</w:t>
            </w:r>
            <w:r>
              <w:rPr>
                <w:noProof/>
                <w:sz w:val="22"/>
              </w:rPr>
              <w:br/>
            </w:r>
            <w:r>
              <w:rPr>
                <w:b/>
                <w:noProof/>
                <w:sz w:val="22"/>
              </w:rPr>
              <w:t xml:space="preserve">otsake </w:t>
            </w:r>
          </w:p>
        </w:tc>
        <w:tc>
          <w:tcPr>
            <w:tcW w:w="1080" w:type="dxa"/>
            <w:vAlign w:val="center"/>
          </w:tcPr>
          <w:p w:rsidR="00D03C46" w:rsidRDefault="00BD37FC">
            <w:pPr>
              <w:spacing w:before="60" w:after="60"/>
              <w:jc w:val="center"/>
              <w:rPr>
                <w:noProof/>
                <w:sz w:val="22"/>
              </w:rPr>
            </w:pPr>
            <w:r>
              <w:rPr>
                <w:noProof/>
                <w:sz w:val="22"/>
              </w:rPr>
              <w:t>3</w:t>
            </w:r>
          </w:p>
        </w:tc>
        <w:tc>
          <w:tcPr>
            <w:tcW w:w="5777" w:type="dxa"/>
            <w:vAlign w:val="center"/>
          </w:tcPr>
          <w:p w:rsidR="00D03C46" w:rsidRDefault="00BD37FC">
            <w:pPr>
              <w:spacing w:before="60" w:after="60"/>
              <w:rPr>
                <w:noProof/>
                <w:sz w:val="22"/>
              </w:rPr>
            </w:pPr>
            <w:r>
              <w:rPr>
                <w:noProof/>
                <w:sz w:val="22"/>
              </w:rPr>
              <w:t>Turvallisuus ja kansalaisuus</w:t>
            </w:r>
          </w:p>
        </w:tc>
      </w:tr>
    </w:tbl>
    <w:p w:rsidR="00D03C46" w:rsidRDefault="00D03C4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777"/>
      </w:tblGrid>
      <w:tr w:rsidR="00D03C46">
        <w:tc>
          <w:tcPr>
            <w:tcW w:w="3960" w:type="dxa"/>
            <w:vAlign w:val="center"/>
          </w:tcPr>
          <w:p w:rsidR="00D03C46" w:rsidRDefault="00BD37FC">
            <w:pPr>
              <w:jc w:val="center"/>
              <w:rPr>
                <w:noProof/>
                <w:sz w:val="22"/>
              </w:rPr>
            </w:pPr>
            <w:r>
              <w:rPr>
                <w:noProof/>
                <w:sz w:val="22"/>
              </w:rPr>
              <w:t>Oikeus- ja kuluttaja-asioiden PO</w:t>
            </w:r>
          </w:p>
        </w:tc>
        <w:tc>
          <w:tcPr>
            <w:tcW w:w="1560" w:type="dxa"/>
            <w:gridSpan w:val="2"/>
          </w:tcPr>
          <w:p w:rsidR="00D03C46" w:rsidRDefault="00D03C46">
            <w:pPr>
              <w:rPr>
                <w:noProof/>
                <w:sz w:val="20"/>
              </w:rPr>
            </w:pPr>
          </w:p>
        </w:tc>
        <w:tc>
          <w:tcPr>
            <w:tcW w:w="534" w:type="dxa"/>
          </w:tcPr>
          <w:p w:rsidR="00D03C46" w:rsidRDefault="00D03C46">
            <w:pPr>
              <w:jc w:val="center"/>
              <w:rPr>
                <w:noProof/>
                <w:sz w:val="20"/>
              </w:rPr>
            </w:pP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2019</w:t>
            </w: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2020</w:t>
            </w: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2021</w:t>
            </w: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2022</w:t>
            </w: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2023</w:t>
            </w:r>
          </w:p>
        </w:tc>
        <w:tc>
          <w:tcPr>
            <w:tcW w:w="868" w:type="dxa"/>
            <w:vAlign w:val="center"/>
          </w:tcPr>
          <w:p w:rsidR="00D03C46" w:rsidRDefault="00BD37FC">
            <w:pPr>
              <w:jc w:val="center"/>
              <w:rPr>
                <w:b/>
                <w:noProof/>
                <w:sz w:val="18"/>
              </w:rPr>
            </w:pPr>
            <w:r>
              <w:rPr>
                <w:noProof/>
                <w:sz w:val="20"/>
              </w:rPr>
              <w:t>Vuosi</w:t>
            </w:r>
            <w:r>
              <w:rPr>
                <w:noProof/>
                <w:sz w:val="22"/>
              </w:rPr>
              <w:br/>
            </w:r>
            <w:r>
              <w:rPr>
                <w:b/>
                <w:noProof/>
                <w:sz w:val="20"/>
              </w:rPr>
              <w:t>2024</w:t>
            </w:r>
          </w:p>
        </w:tc>
        <w:tc>
          <w:tcPr>
            <w:tcW w:w="1777" w:type="dxa"/>
            <w:vAlign w:val="center"/>
          </w:tcPr>
          <w:p w:rsidR="00D03C46" w:rsidRDefault="00BD37FC">
            <w:pPr>
              <w:jc w:val="center"/>
              <w:rPr>
                <w:b/>
                <w:noProof/>
                <w:sz w:val="20"/>
              </w:rPr>
            </w:pPr>
            <w:r>
              <w:rPr>
                <w:b/>
                <w:noProof/>
                <w:sz w:val="20"/>
              </w:rPr>
              <w:t>YHTEENSÄ</w:t>
            </w:r>
          </w:p>
        </w:tc>
      </w:tr>
      <w:tr w:rsidR="00D03C46">
        <w:trPr>
          <w:trHeight w:val="213"/>
        </w:trPr>
        <w:tc>
          <w:tcPr>
            <w:tcW w:w="6054" w:type="dxa"/>
            <w:gridSpan w:val="4"/>
            <w:vAlign w:val="center"/>
          </w:tcPr>
          <w:p w:rsidR="00D03C46" w:rsidRDefault="00BD37FC">
            <w:pPr>
              <w:spacing w:before="20" w:after="20"/>
              <w:rPr>
                <w:noProof/>
                <w:sz w:val="21"/>
              </w:rPr>
            </w:pPr>
            <w:r>
              <w:rPr>
                <w:noProof/>
                <w:sz w:val="21"/>
              </w:rPr>
              <w:sym w:font="Wingdings" w:char="F09F"/>
            </w:r>
            <w:r>
              <w:rPr>
                <w:noProof/>
                <w:sz w:val="21"/>
              </w:rPr>
              <w:t xml:space="preserve"> Toimintamäärärahat</w:t>
            </w:r>
          </w:p>
        </w:tc>
        <w:tc>
          <w:tcPr>
            <w:tcW w:w="868" w:type="dxa"/>
            <w:vAlign w:val="center"/>
          </w:tcPr>
          <w:p w:rsidR="00D03C46" w:rsidRDefault="00D03C46">
            <w:pPr>
              <w:rPr>
                <w:noProof/>
                <w:sz w:val="20"/>
              </w:rPr>
            </w:pPr>
          </w:p>
        </w:tc>
        <w:tc>
          <w:tcPr>
            <w:tcW w:w="868" w:type="dxa"/>
            <w:vAlign w:val="center"/>
          </w:tcPr>
          <w:p w:rsidR="00D03C46" w:rsidRDefault="00D03C46">
            <w:pPr>
              <w:rPr>
                <w:noProof/>
                <w:sz w:val="20"/>
              </w:rPr>
            </w:pPr>
          </w:p>
        </w:tc>
        <w:tc>
          <w:tcPr>
            <w:tcW w:w="868" w:type="dxa"/>
            <w:vAlign w:val="center"/>
          </w:tcPr>
          <w:p w:rsidR="00D03C46" w:rsidRDefault="00D03C46">
            <w:pPr>
              <w:rPr>
                <w:noProof/>
                <w:sz w:val="20"/>
              </w:rPr>
            </w:pPr>
          </w:p>
        </w:tc>
        <w:tc>
          <w:tcPr>
            <w:tcW w:w="868" w:type="dxa"/>
            <w:vAlign w:val="center"/>
          </w:tcPr>
          <w:p w:rsidR="00D03C46" w:rsidRDefault="00D03C46">
            <w:pPr>
              <w:rPr>
                <w:noProof/>
                <w:sz w:val="20"/>
              </w:rPr>
            </w:pPr>
          </w:p>
        </w:tc>
        <w:tc>
          <w:tcPr>
            <w:tcW w:w="868" w:type="dxa"/>
            <w:vAlign w:val="center"/>
          </w:tcPr>
          <w:p w:rsidR="00D03C46" w:rsidRDefault="00D03C46">
            <w:pPr>
              <w:rPr>
                <w:noProof/>
                <w:sz w:val="20"/>
              </w:rPr>
            </w:pPr>
          </w:p>
        </w:tc>
        <w:tc>
          <w:tcPr>
            <w:tcW w:w="868" w:type="dxa"/>
            <w:vAlign w:val="center"/>
          </w:tcPr>
          <w:p w:rsidR="00D03C46" w:rsidRDefault="00D03C46">
            <w:pPr>
              <w:rPr>
                <w:b/>
                <w:noProof/>
                <w:sz w:val="20"/>
              </w:rPr>
            </w:pPr>
          </w:p>
        </w:tc>
        <w:tc>
          <w:tcPr>
            <w:tcW w:w="1777" w:type="dxa"/>
            <w:vAlign w:val="center"/>
          </w:tcPr>
          <w:p w:rsidR="00D03C46" w:rsidRDefault="00D03C46">
            <w:pPr>
              <w:rPr>
                <w:b/>
                <w:noProof/>
                <w:sz w:val="20"/>
              </w:rPr>
            </w:pPr>
          </w:p>
        </w:tc>
      </w:tr>
      <w:tr w:rsidR="00D03C46">
        <w:trPr>
          <w:trHeight w:val="277"/>
        </w:trPr>
        <w:tc>
          <w:tcPr>
            <w:tcW w:w="3960" w:type="dxa"/>
            <w:vMerge w:val="restart"/>
            <w:vAlign w:val="center"/>
          </w:tcPr>
          <w:p w:rsidR="00D03C46" w:rsidRDefault="00BD37FC">
            <w:pPr>
              <w:rPr>
                <w:noProof/>
                <w:sz w:val="22"/>
              </w:rPr>
            </w:pPr>
            <w:r>
              <w:rPr>
                <w:noProof/>
                <w:sz w:val="20"/>
              </w:rPr>
              <w:t>Budjettikohdan numero</w:t>
            </w:r>
            <w:r>
              <w:rPr>
                <w:noProof/>
                <w:sz w:val="22"/>
              </w:rPr>
              <w:t xml:space="preserve"> 33 02 01</w:t>
            </w:r>
          </w:p>
        </w:tc>
        <w:tc>
          <w:tcPr>
            <w:tcW w:w="1440" w:type="dxa"/>
            <w:vAlign w:val="center"/>
          </w:tcPr>
          <w:p w:rsidR="00D03C46" w:rsidRDefault="00BD37FC">
            <w:pPr>
              <w:spacing w:before="20" w:after="20"/>
              <w:rPr>
                <w:noProof/>
                <w:sz w:val="18"/>
              </w:rPr>
            </w:pPr>
            <w:r>
              <w:rPr>
                <w:noProof/>
                <w:sz w:val="18"/>
              </w:rPr>
              <w:t>Sitoumukset</w:t>
            </w:r>
          </w:p>
        </w:tc>
        <w:tc>
          <w:tcPr>
            <w:tcW w:w="654" w:type="dxa"/>
            <w:gridSpan w:val="2"/>
            <w:vAlign w:val="center"/>
          </w:tcPr>
          <w:p w:rsidR="00D03C46" w:rsidRDefault="00BD37FC">
            <w:pPr>
              <w:spacing w:before="20" w:after="20"/>
              <w:jc w:val="center"/>
              <w:rPr>
                <w:noProof/>
                <w:sz w:val="14"/>
              </w:rPr>
            </w:pPr>
            <w:r>
              <w:rPr>
                <w:noProof/>
                <w:sz w:val="14"/>
              </w:rPr>
              <w:t>(1)</w:t>
            </w:r>
          </w:p>
        </w:tc>
        <w:tc>
          <w:tcPr>
            <w:tcW w:w="868" w:type="dxa"/>
            <w:vAlign w:val="center"/>
          </w:tcPr>
          <w:p w:rsidR="00D03C46" w:rsidRDefault="00BD37FC">
            <w:pPr>
              <w:spacing w:before="20" w:after="20"/>
              <w:jc w:val="right"/>
              <w:rPr>
                <w:noProof/>
                <w:sz w:val="20"/>
              </w:rPr>
            </w:pPr>
            <w:r>
              <w:rPr>
                <w:noProof/>
                <w:sz w:val="20"/>
              </w:rPr>
              <w:t>0,700</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0,700</w:t>
            </w:r>
          </w:p>
        </w:tc>
      </w:tr>
      <w:tr w:rsidR="00D03C46">
        <w:tc>
          <w:tcPr>
            <w:tcW w:w="3960" w:type="dxa"/>
            <w:vMerge/>
          </w:tcPr>
          <w:p w:rsidR="00D03C46" w:rsidRDefault="00D03C46">
            <w:pPr>
              <w:jc w:val="center"/>
              <w:rPr>
                <w:noProof/>
                <w:sz w:val="20"/>
              </w:rPr>
            </w:pPr>
          </w:p>
        </w:tc>
        <w:tc>
          <w:tcPr>
            <w:tcW w:w="1440" w:type="dxa"/>
            <w:vAlign w:val="center"/>
          </w:tcPr>
          <w:p w:rsidR="00D03C46" w:rsidRDefault="00BD37FC">
            <w:pPr>
              <w:spacing w:before="20" w:after="20"/>
              <w:rPr>
                <w:noProof/>
                <w:sz w:val="18"/>
              </w:rPr>
            </w:pPr>
            <w:r>
              <w:rPr>
                <w:noProof/>
                <w:sz w:val="18"/>
              </w:rPr>
              <w:t>Maksut</w:t>
            </w:r>
          </w:p>
        </w:tc>
        <w:tc>
          <w:tcPr>
            <w:tcW w:w="654" w:type="dxa"/>
            <w:gridSpan w:val="2"/>
            <w:vAlign w:val="center"/>
          </w:tcPr>
          <w:p w:rsidR="00D03C46" w:rsidRDefault="00BD37FC">
            <w:pPr>
              <w:spacing w:before="20" w:after="20"/>
              <w:jc w:val="center"/>
              <w:rPr>
                <w:noProof/>
                <w:sz w:val="14"/>
              </w:rPr>
            </w:pPr>
            <w:r>
              <w:rPr>
                <w:noProof/>
                <w:sz w:val="14"/>
              </w:rPr>
              <w:t>(2)</w:t>
            </w:r>
          </w:p>
        </w:tc>
        <w:tc>
          <w:tcPr>
            <w:tcW w:w="868" w:type="dxa"/>
            <w:vAlign w:val="center"/>
          </w:tcPr>
          <w:p w:rsidR="00D03C46" w:rsidRDefault="00BD37FC">
            <w:pPr>
              <w:spacing w:before="20" w:after="20"/>
              <w:jc w:val="right"/>
              <w:rPr>
                <w:noProof/>
                <w:sz w:val="20"/>
              </w:rPr>
            </w:pPr>
            <w:r>
              <w:rPr>
                <w:noProof/>
                <w:sz w:val="20"/>
              </w:rPr>
              <w:t xml:space="preserve">    0,560</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0,560</w:t>
            </w:r>
          </w:p>
        </w:tc>
      </w:tr>
      <w:tr w:rsidR="00D03C46">
        <w:tc>
          <w:tcPr>
            <w:tcW w:w="3960" w:type="dxa"/>
            <w:vMerge w:val="restart"/>
            <w:vAlign w:val="center"/>
          </w:tcPr>
          <w:p w:rsidR="00D03C46" w:rsidRDefault="00BD37FC">
            <w:pPr>
              <w:rPr>
                <w:noProof/>
                <w:sz w:val="22"/>
              </w:rPr>
            </w:pPr>
            <w:r>
              <w:rPr>
                <w:noProof/>
                <w:sz w:val="20"/>
              </w:rPr>
              <w:t xml:space="preserve">Budjettikohdan numero </w:t>
            </w:r>
          </w:p>
        </w:tc>
        <w:tc>
          <w:tcPr>
            <w:tcW w:w="1440" w:type="dxa"/>
            <w:vAlign w:val="center"/>
          </w:tcPr>
          <w:p w:rsidR="00D03C46" w:rsidRDefault="00BD37FC">
            <w:pPr>
              <w:spacing w:before="20" w:after="20"/>
              <w:rPr>
                <w:noProof/>
                <w:sz w:val="18"/>
              </w:rPr>
            </w:pPr>
            <w:r>
              <w:rPr>
                <w:noProof/>
                <w:sz w:val="18"/>
              </w:rPr>
              <w:t>Sitoumukset</w:t>
            </w:r>
          </w:p>
        </w:tc>
        <w:tc>
          <w:tcPr>
            <w:tcW w:w="654" w:type="dxa"/>
            <w:gridSpan w:val="2"/>
            <w:vAlign w:val="center"/>
          </w:tcPr>
          <w:p w:rsidR="00D03C46" w:rsidRDefault="00BD37FC">
            <w:pPr>
              <w:spacing w:before="20" w:after="20"/>
              <w:jc w:val="center"/>
              <w:rPr>
                <w:noProof/>
                <w:sz w:val="14"/>
              </w:rPr>
            </w:pPr>
            <w:r>
              <w:rPr>
                <w:noProof/>
                <w:sz w:val="14"/>
              </w:rPr>
              <w:t>(1a)</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D03C46">
            <w:pPr>
              <w:spacing w:before="20" w:after="20"/>
              <w:jc w:val="right"/>
              <w:rPr>
                <w:b/>
                <w:noProof/>
                <w:sz w:val="20"/>
              </w:rPr>
            </w:pPr>
          </w:p>
        </w:tc>
      </w:tr>
      <w:tr w:rsidR="00D03C46">
        <w:tc>
          <w:tcPr>
            <w:tcW w:w="3960" w:type="dxa"/>
            <w:vMerge/>
          </w:tcPr>
          <w:p w:rsidR="00D03C46" w:rsidRDefault="00D03C46">
            <w:pPr>
              <w:jc w:val="center"/>
              <w:rPr>
                <w:noProof/>
                <w:sz w:val="20"/>
              </w:rPr>
            </w:pPr>
          </w:p>
        </w:tc>
        <w:tc>
          <w:tcPr>
            <w:tcW w:w="1440" w:type="dxa"/>
            <w:vAlign w:val="center"/>
          </w:tcPr>
          <w:p w:rsidR="00D03C46" w:rsidRDefault="00BD37FC">
            <w:pPr>
              <w:spacing w:before="20" w:after="20"/>
              <w:rPr>
                <w:noProof/>
                <w:sz w:val="18"/>
              </w:rPr>
            </w:pPr>
            <w:r>
              <w:rPr>
                <w:noProof/>
                <w:sz w:val="18"/>
              </w:rPr>
              <w:t>Maksut</w:t>
            </w:r>
          </w:p>
        </w:tc>
        <w:tc>
          <w:tcPr>
            <w:tcW w:w="654" w:type="dxa"/>
            <w:gridSpan w:val="2"/>
            <w:vAlign w:val="center"/>
          </w:tcPr>
          <w:p w:rsidR="00D03C46" w:rsidRDefault="00BD37FC">
            <w:pPr>
              <w:spacing w:before="20" w:after="20"/>
              <w:jc w:val="center"/>
              <w:rPr>
                <w:noProof/>
                <w:sz w:val="14"/>
              </w:rPr>
            </w:pPr>
            <w:r>
              <w:rPr>
                <w:noProof/>
                <w:sz w:val="14"/>
              </w:rPr>
              <w:t>(2a)</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D03C46">
            <w:pPr>
              <w:spacing w:before="20" w:after="20"/>
              <w:jc w:val="right"/>
              <w:rPr>
                <w:b/>
                <w:noProof/>
                <w:sz w:val="20"/>
              </w:rPr>
            </w:pPr>
          </w:p>
        </w:tc>
      </w:tr>
      <w:tr w:rsidR="00D03C46">
        <w:trPr>
          <w:trHeight w:val="231"/>
        </w:trPr>
        <w:tc>
          <w:tcPr>
            <w:tcW w:w="6054" w:type="dxa"/>
            <w:gridSpan w:val="4"/>
            <w:vAlign w:val="center"/>
          </w:tcPr>
          <w:p w:rsidR="00D03C46" w:rsidRDefault="00BD37FC">
            <w:pPr>
              <w:spacing w:before="20" w:after="20"/>
              <w:rPr>
                <w:noProof/>
                <w:sz w:val="22"/>
              </w:rPr>
            </w:pPr>
            <w:r>
              <w:rPr>
                <w:noProof/>
                <w:sz w:val="21"/>
              </w:rPr>
              <w:t>Tiettyjen ohjelmien määrärahoista katettavat hallintomäärärahat</w:t>
            </w:r>
            <w:r>
              <w:rPr>
                <w:rStyle w:val="FootnoteReference"/>
                <w:noProof/>
                <w:sz w:val="21"/>
              </w:rPr>
              <w:footnoteReference w:id="41"/>
            </w:r>
            <w:r>
              <w:rPr>
                <w:noProof/>
                <w:sz w:val="21"/>
              </w:rPr>
              <w:t xml:space="preserve"> </w:t>
            </w:r>
          </w:p>
          <w:p w:rsidR="00D03C46" w:rsidRDefault="00D03C46">
            <w:pPr>
              <w:spacing w:before="0" w:after="0"/>
              <w:rPr>
                <w:noProof/>
                <w:sz w:val="22"/>
              </w:rPr>
            </w:pPr>
          </w:p>
        </w:tc>
        <w:tc>
          <w:tcPr>
            <w:tcW w:w="868" w:type="dxa"/>
            <w:vAlign w:val="center"/>
          </w:tcPr>
          <w:p w:rsidR="00D03C46" w:rsidRDefault="00D03C46">
            <w:pPr>
              <w:rPr>
                <w:b/>
                <w:noProof/>
                <w:sz w:val="20"/>
              </w:rPr>
            </w:pPr>
          </w:p>
        </w:tc>
        <w:tc>
          <w:tcPr>
            <w:tcW w:w="868" w:type="dxa"/>
            <w:vAlign w:val="center"/>
          </w:tcPr>
          <w:p w:rsidR="00D03C46" w:rsidRDefault="00D03C46">
            <w:pPr>
              <w:rPr>
                <w:b/>
                <w:noProof/>
                <w:sz w:val="20"/>
              </w:rPr>
            </w:pPr>
          </w:p>
        </w:tc>
        <w:tc>
          <w:tcPr>
            <w:tcW w:w="868" w:type="dxa"/>
            <w:vAlign w:val="center"/>
          </w:tcPr>
          <w:p w:rsidR="00D03C46" w:rsidRDefault="00D03C46">
            <w:pPr>
              <w:rPr>
                <w:b/>
                <w:noProof/>
                <w:sz w:val="20"/>
              </w:rPr>
            </w:pPr>
          </w:p>
        </w:tc>
        <w:tc>
          <w:tcPr>
            <w:tcW w:w="868" w:type="dxa"/>
            <w:vAlign w:val="center"/>
          </w:tcPr>
          <w:p w:rsidR="00D03C46" w:rsidRDefault="00D03C46">
            <w:pPr>
              <w:rPr>
                <w:b/>
                <w:noProof/>
                <w:sz w:val="20"/>
              </w:rPr>
            </w:pPr>
          </w:p>
        </w:tc>
        <w:tc>
          <w:tcPr>
            <w:tcW w:w="868" w:type="dxa"/>
            <w:vAlign w:val="center"/>
          </w:tcPr>
          <w:p w:rsidR="00D03C46" w:rsidRDefault="00D03C46">
            <w:pPr>
              <w:rPr>
                <w:b/>
                <w:noProof/>
                <w:sz w:val="20"/>
              </w:rPr>
            </w:pPr>
          </w:p>
        </w:tc>
        <w:tc>
          <w:tcPr>
            <w:tcW w:w="868" w:type="dxa"/>
            <w:vAlign w:val="center"/>
          </w:tcPr>
          <w:p w:rsidR="00D03C46" w:rsidRDefault="00D03C46">
            <w:pPr>
              <w:rPr>
                <w:b/>
                <w:noProof/>
                <w:sz w:val="20"/>
              </w:rPr>
            </w:pPr>
          </w:p>
        </w:tc>
        <w:tc>
          <w:tcPr>
            <w:tcW w:w="1777" w:type="dxa"/>
            <w:vAlign w:val="center"/>
          </w:tcPr>
          <w:p w:rsidR="00D03C46" w:rsidRDefault="00D03C46">
            <w:pPr>
              <w:rPr>
                <w:b/>
                <w:noProof/>
                <w:sz w:val="20"/>
              </w:rPr>
            </w:pPr>
          </w:p>
        </w:tc>
      </w:tr>
      <w:tr w:rsidR="00D03C46">
        <w:trPr>
          <w:trHeight w:val="319"/>
        </w:trPr>
        <w:tc>
          <w:tcPr>
            <w:tcW w:w="3960" w:type="dxa"/>
            <w:vAlign w:val="center"/>
          </w:tcPr>
          <w:p w:rsidR="00D03C46" w:rsidRDefault="00BD37FC">
            <w:pPr>
              <w:spacing w:before="60" w:after="60"/>
              <w:rPr>
                <w:noProof/>
                <w:sz w:val="22"/>
              </w:rPr>
            </w:pPr>
            <w:r>
              <w:rPr>
                <w:noProof/>
                <w:sz w:val="20"/>
              </w:rPr>
              <w:t>Budjettikohdan numero 33.01 04 01</w:t>
            </w:r>
          </w:p>
        </w:tc>
        <w:tc>
          <w:tcPr>
            <w:tcW w:w="1440" w:type="dxa"/>
            <w:vAlign w:val="center"/>
          </w:tcPr>
          <w:p w:rsidR="00D03C46" w:rsidRDefault="00D03C46">
            <w:pPr>
              <w:spacing w:before="40" w:after="40"/>
              <w:jc w:val="right"/>
              <w:rPr>
                <w:noProof/>
                <w:sz w:val="18"/>
              </w:rPr>
            </w:pPr>
          </w:p>
        </w:tc>
        <w:tc>
          <w:tcPr>
            <w:tcW w:w="654" w:type="dxa"/>
            <w:gridSpan w:val="2"/>
            <w:vAlign w:val="center"/>
          </w:tcPr>
          <w:p w:rsidR="00D03C46" w:rsidRDefault="00BD37FC">
            <w:pPr>
              <w:spacing w:before="40" w:after="40"/>
              <w:jc w:val="center"/>
              <w:rPr>
                <w:noProof/>
                <w:sz w:val="14"/>
              </w:rPr>
            </w:pPr>
            <w:r>
              <w:rPr>
                <w:noProof/>
                <w:sz w:val="14"/>
              </w:rPr>
              <w:t>(3)</w:t>
            </w:r>
          </w:p>
        </w:tc>
        <w:tc>
          <w:tcPr>
            <w:tcW w:w="868" w:type="dxa"/>
            <w:vAlign w:val="center"/>
          </w:tcPr>
          <w:p w:rsidR="00D03C46" w:rsidRDefault="00BD37FC">
            <w:pPr>
              <w:spacing w:before="40" w:after="40"/>
              <w:jc w:val="right"/>
              <w:rPr>
                <w:b/>
                <w:noProof/>
                <w:sz w:val="20"/>
              </w:rPr>
            </w:pPr>
            <w:r>
              <w:rPr>
                <w:noProof/>
                <w:sz w:val="20"/>
              </w:rPr>
              <w:t>0,125</w:t>
            </w:r>
          </w:p>
        </w:tc>
        <w:tc>
          <w:tcPr>
            <w:tcW w:w="868" w:type="dxa"/>
            <w:vAlign w:val="center"/>
          </w:tcPr>
          <w:p w:rsidR="00D03C46" w:rsidRDefault="00BD37FC">
            <w:pPr>
              <w:spacing w:before="40" w:after="40"/>
              <w:jc w:val="right"/>
              <w:rPr>
                <w:b/>
                <w:noProof/>
                <w:sz w:val="20"/>
              </w:rPr>
            </w:pPr>
            <w:r>
              <w:rPr>
                <w:noProof/>
                <w:sz w:val="20"/>
              </w:rPr>
              <w:t>0,125</w:t>
            </w:r>
          </w:p>
        </w:tc>
        <w:tc>
          <w:tcPr>
            <w:tcW w:w="868" w:type="dxa"/>
            <w:vAlign w:val="center"/>
          </w:tcPr>
          <w:p w:rsidR="00D03C46" w:rsidRDefault="00D03C46">
            <w:pPr>
              <w:spacing w:before="40" w:after="40"/>
              <w:jc w:val="right"/>
              <w:rPr>
                <w:b/>
                <w:noProof/>
                <w:sz w:val="20"/>
              </w:rPr>
            </w:pPr>
          </w:p>
        </w:tc>
        <w:tc>
          <w:tcPr>
            <w:tcW w:w="868" w:type="dxa"/>
            <w:vAlign w:val="center"/>
          </w:tcPr>
          <w:p w:rsidR="00D03C46" w:rsidRDefault="00D03C46">
            <w:pPr>
              <w:spacing w:before="40" w:after="40"/>
              <w:jc w:val="right"/>
              <w:rPr>
                <w:b/>
                <w:noProof/>
                <w:sz w:val="20"/>
              </w:rPr>
            </w:pPr>
          </w:p>
        </w:tc>
        <w:tc>
          <w:tcPr>
            <w:tcW w:w="868" w:type="dxa"/>
            <w:vAlign w:val="center"/>
          </w:tcPr>
          <w:p w:rsidR="00D03C46" w:rsidRDefault="00D03C46">
            <w:pPr>
              <w:spacing w:before="40" w:after="40"/>
              <w:jc w:val="right"/>
              <w:rPr>
                <w:b/>
                <w:noProof/>
                <w:sz w:val="20"/>
              </w:rPr>
            </w:pPr>
          </w:p>
        </w:tc>
        <w:tc>
          <w:tcPr>
            <w:tcW w:w="868" w:type="dxa"/>
            <w:vAlign w:val="center"/>
          </w:tcPr>
          <w:p w:rsidR="00D03C46" w:rsidRDefault="00D03C46">
            <w:pPr>
              <w:spacing w:before="40" w:after="40"/>
              <w:jc w:val="right"/>
              <w:rPr>
                <w:b/>
                <w:noProof/>
                <w:sz w:val="20"/>
              </w:rPr>
            </w:pPr>
          </w:p>
        </w:tc>
        <w:tc>
          <w:tcPr>
            <w:tcW w:w="1777" w:type="dxa"/>
            <w:vAlign w:val="center"/>
          </w:tcPr>
          <w:p w:rsidR="00D03C46" w:rsidRDefault="00BD37FC">
            <w:pPr>
              <w:spacing w:before="40" w:after="40"/>
              <w:jc w:val="right"/>
              <w:rPr>
                <w:b/>
                <w:noProof/>
                <w:sz w:val="20"/>
              </w:rPr>
            </w:pPr>
            <w:r>
              <w:rPr>
                <w:b/>
                <w:noProof/>
                <w:sz w:val="20"/>
              </w:rPr>
              <w:t>0,250</w:t>
            </w:r>
          </w:p>
        </w:tc>
      </w:tr>
      <w:tr w:rsidR="00D03C46">
        <w:tc>
          <w:tcPr>
            <w:tcW w:w="3960" w:type="dxa"/>
            <w:vMerge w:val="restart"/>
            <w:vAlign w:val="center"/>
          </w:tcPr>
          <w:p w:rsidR="00D03C46" w:rsidRDefault="00BD37FC">
            <w:pPr>
              <w:jc w:val="center"/>
              <w:rPr>
                <w:b/>
                <w:noProof/>
                <w:sz w:val="22"/>
              </w:rPr>
            </w:pPr>
            <w:r>
              <w:rPr>
                <w:b/>
                <w:noProof/>
                <w:sz w:val="22"/>
              </w:rPr>
              <w:t>Oikeus- ja kuluttaja-asioiden pääosaston</w:t>
            </w:r>
            <w:r>
              <w:rPr>
                <w:noProof/>
              </w:rPr>
              <w:t xml:space="preserve"> </w:t>
            </w:r>
            <w:r>
              <w:rPr>
                <w:b/>
                <w:noProof/>
                <w:sz w:val="22"/>
              </w:rPr>
              <w:t>määrärahat YHTEENSÄ (perusoikeus-, tasa-arvo- ja kansalaisuusohjelmassa)</w:t>
            </w:r>
          </w:p>
        </w:tc>
        <w:tc>
          <w:tcPr>
            <w:tcW w:w="1440" w:type="dxa"/>
            <w:vAlign w:val="center"/>
          </w:tcPr>
          <w:p w:rsidR="00D03C46" w:rsidRDefault="00BD37FC">
            <w:pPr>
              <w:rPr>
                <w:noProof/>
                <w:sz w:val="18"/>
              </w:rPr>
            </w:pPr>
            <w:r>
              <w:rPr>
                <w:noProof/>
                <w:sz w:val="18"/>
              </w:rPr>
              <w:t>Sitoumukset</w:t>
            </w:r>
          </w:p>
        </w:tc>
        <w:tc>
          <w:tcPr>
            <w:tcW w:w="654" w:type="dxa"/>
            <w:gridSpan w:val="2"/>
            <w:vAlign w:val="center"/>
          </w:tcPr>
          <w:p w:rsidR="00D03C46" w:rsidRDefault="00BD37FC">
            <w:pPr>
              <w:jc w:val="center"/>
              <w:rPr>
                <w:noProof/>
                <w:sz w:val="14"/>
              </w:rPr>
            </w:pPr>
            <w:r>
              <w:rPr>
                <w:noProof/>
                <w:sz w:val="14"/>
              </w:rPr>
              <w:t>=1+1a +3</w:t>
            </w:r>
          </w:p>
        </w:tc>
        <w:tc>
          <w:tcPr>
            <w:tcW w:w="868" w:type="dxa"/>
            <w:vAlign w:val="center"/>
          </w:tcPr>
          <w:p w:rsidR="00D03C46" w:rsidRDefault="00BD37FC">
            <w:pPr>
              <w:spacing w:before="20" w:after="20"/>
              <w:jc w:val="right"/>
              <w:rPr>
                <w:noProof/>
                <w:sz w:val="20"/>
              </w:rPr>
            </w:pPr>
            <w:r>
              <w:rPr>
                <w:noProof/>
                <w:sz w:val="20"/>
              </w:rPr>
              <w:t>0,825</w:t>
            </w:r>
          </w:p>
        </w:tc>
        <w:tc>
          <w:tcPr>
            <w:tcW w:w="868" w:type="dxa"/>
            <w:vAlign w:val="center"/>
          </w:tcPr>
          <w:p w:rsidR="00D03C46" w:rsidRDefault="00BD37FC">
            <w:pPr>
              <w:spacing w:before="20" w:after="20"/>
              <w:jc w:val="right"/>
              <w:rPr>
                <w:noProof/>
                <w:sz w:val="20"/>
              </w:rPr>
            </w:pPr>
            <w:r>
              <w:rPr>
                <w:noProof/>
                <w:sz w:val="20"/>
              </w:rPr>
              <w:t>0,125</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0,950</w:t>
            </w:r>
          </w:p>
        </w:tc>
      </w:tr>
      <w:tr w:rsidR="00D03C46">
        <w:tc>
          <w:tcPr>
            <w:tcW w:w="3960" w:type="dxa"/>
            <w:vMerge/>
          </w:tcPr>
          <w:p w:rsidR="00D03C46" w:rsidRDefault="00D03C46">
            <w:pPr>
              <w:rPr>
                <w:noProof/>
                <w:sz w:val="20"/>
              </w:rPr>
            </w:pPr>
          </w:p>
        </w:tc>
        <w:tc>
          <w:tcPr>
            <w:tcW w:w="1440" w:type="dxa"/>
            <w:vAlign w:val="center"/>
          </w:tcPr>
          <w:p w:rsidR="00D03C46" w:rsidRDefault="00BD37FC">
            <w:pPr>
              <w:rPr>
                <w:noProof/>
                <w:sz w:val="18"/>
              </w:rPr>
            </w:pPr>
            <w:r>
              <w:rPr>
                <w:noProof/>
                <w:sz w:val="18"/>
              </w:rPr>
              <w:t>Maksut</w:t>
            </w:r>
          </w:p>
        </w:tc>
        <w:tc>
          <w:tcPr>
            <w:tcW w:w="654" w:type="dxa"/>
            <w:gridSpan w:val="2"/>
            <w:vAlign w:val="center"/>
          </w:tcPr>
          <w:p w:rsidR="00D03C46" w:rsidRDefault="00BD37FC">
            <w:pPr>
              <w:jc w:val="center"/>
              <w:rPr>
                <w:noProof/>
                <w:sz w:val="14"/>
              </w:rPr>
            </w:pPr>
            <w:r>
              <w:rPr>
                <w:noProof/>
                <w:sz w:val="14"/>
              </w:rPr>
              <w:t>=2+2a</w:t>
            </w:r>
          </w:p>
          <w:p w:rsidR="00D03C46" w:rsidRDefault="00BD37FC">
            <w:pPr>
              <w:jc w:val="center"/>
              <w:rPr>
                <w:noProof/>
                <w:sz w:val="14"/>
              </w:rPr>
            </w:pPr>
            <w:r>
              <w:rPr>
                <w:noProof/>
                <w:sz w:val="14"/>
              </w:rPr>
              <w:t>+3</w:t>
            </w:r>
          </w:p>
        </w:tc>
        <w:tc>
          <w:tcPr>
            <w:tcW w:w="868" w:type="dxa"/>
            <w:vAlign w:val="center"/>
          </w:tcPr>
          <w:p w:rsidR="00D03C46" w:rsidRDefault="00BD37FC">
            <w:pPr>
              <w:spacing w:before="20" w:after="20"/>
              <w:jc w:val="right"/>
              <w:rPr>
                <w:b/>
                <w:noProof/>
                <w:sz w:val="20"/>
              </w:rPr>
            </w:pPr>
            <w:r>
              <w:rPr>
                <w:b/>
                <w:noProof/>
                <w:sz w:val="20"/>
              </w:rPr>
              <w:t xml:space="preserve">    0,685</w:t>
            </w:r>
          </w:p>
        </w:tc>
        <w:tc>
          <w:tcPr>
            <w:tcW w:w="868" w:type="dxa"/>
            <w:vAlign w:val="center"/>
          </w:tcPr>
          <w:p w:rsidR="00D03C46" w:rsidRDefault="00BD37FC">
            <w:pPr>
              <w:spacing w:before="20" w:after="20"/>
              <w:jc w:val="right"/>
              <w:rPr>
                <w:b/>
                <w:noProof/>
                <w:sz w:val="20"/>
              </w:rPr>
            </w:pPr>
            <w:r>
              <w:rPr>
                <w:b/>
                <w:noProof/>
                <w:sz w:val="20"/>
              </w:rPr>
              <w:t>0,125</w:t>
            </w: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0,810</w:t>
            </w:r>
          </w:p>
        </w:tc>
      </w:tr>
    </w:tbl>
    <w:p w:rsidR="00D03C46" w:rsidRDefault="00BD37FC">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D03C46">
        <w:trPr>
          <w:trHeight w:val="277"/>
        </w:trPr>
        <w:tc>
          <w:tcPr>
            <w:tcW w:w="3960" w:type="dxa"/>
            <w:vMerge w:val="restart"/>
            <w:vAlign w:val="center"/>
          </w:tcPr>
          <w:p w:rsidR="00D03C46" w:rsidRDefault="00BD37FC">
            <w:pPr>
              <w:spacing w:before="20" w:after="20"/>
              <w:rPr>
                <w:noProof/>
                <w:sz w:val="22"/>
              </w:rPr>
            </w:pPr>
            <w:r>
              <w:rPr>
                <w:noProof/>
              </w:rPr>
              <w:br w:type="page"/>
            </w:r>
            <w:r>
              <w:rPr>
                <w:noProof/>
                <w:sz w:val="21"/>
              </w:rPr>
              <w:sym w:font="Wingdings" w:char="F09F"/>
            </w:r>
            <w:r>
              <w:rPr>
                <w:noProof/>
                <w:sz w:val="21"/>
              </w:rPr>
              <w:t xml:space="preserve"> Toimintamäärärahat YHTEENSÄ</w:t>
            </w:r>
          </w:p>
        </w:tc>
        <w:tc>
          <w:tcPr>
            <w:tcW w:w="1440" w:type="dxa"/>
            <w:vAlign w:val="center"/>
          </w:tcPr>
          <w:p w:rsidR="00D03C46" w:rsidRDefault="00BD37FC">
            <w:pPr>
              <w:spacing w:beforeLines="20" w:before="48" w:afterLines="20" w:after="48"/>
              <w:rPr>
                <w:noProof/>
                <w:sz w:val="18"/>
              </w:rPr>
            </w:pPr>
            <w:r>
              <w:rPr>
                <w:noProof/>
                <w:sz w:val="18"/>
              </w:rPr>
              <w:t>Sitoumukset</w:t>
            </w:r>
          </w:p>
        </w:tc>
        <w:tc>
          <w:tcPr>
            <w:tcW w:w="654" w:type="dxa"/>
            <w:vAlign w:val="center"/>
          </w:tcPr>
          <w:p w:rsidR="00D03C46" w:rsidRDefault="00BD37FC">
            <w:pPr>
              <w:spacing w:beforeLines="20" w:before="48" w:afterLines="20" w:after="48"/>
              <w:jc w:val="center"/>
              <w:rPr>
                <w:noProof/>
                <w:sz w:val="14"/>
              </w:rPr>
            </w:pPr>
            <w:r>
              <w:rPr>
                <w:noProof/>
                <w:sz w:val="14"/>
              </w:rPr>
              <w:t>(4)</w:t>
            </w:r>
          </w:p>
        </w:tc>
        <w:tc>
          <w:tcPr>
            <w:tcW w:w="868" w:type="dxa"/>
            <w:vAlign w:val="center"/>
          </w:tcPr>
          <w:p w:rsidR="00D03C46" w:rsidRDefault="00BD37FC">
            <w:pPr>
              <w:spacing w:before="20" w:after="20"/>
              <w:jc w:val="right"/>
              <w:rPr>
                <w:noProof/>
                <w:sz w:val="20"/>
              </w:rPr>
            </w:pPr>
            <w:r>
              <w:rPr>
                <w:noProof/>
                <w:sz w:val="20"/>
              </w:rPr>
              <w:t>0,700</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0,700</w:t>
            </w:r>
          </w:p>
        </w:tc>
      </w:tr>
      <w:tr w:rsidR="00D03C46">
        <w:tc>
          <w:tcPr>
            <w:tcW w:w="3960" w:type="dxa"/>
            <w:vMerge/>
          </w:tcPr>
          <w:p w:rsidR="00D03C46" w:rsidRDefault="00D03C46">
            <w:pPr>
              <w:jc w:val="center"/>
              <w:rPr>
                <w:noProof/>
                <w:sz w:val="20"/>
              </w:rPr>
            </w:pPr>
          </w:p>
        </w:tc>
        <w:tc>
          <w:tcPr>
            <w:tcW w:w="1440" w:type="dxa"/>
            <w:vAlign w:val="center"/>
          </w:tcPr>
          <w:p w:rsidR="00D03C46" w:rsidRDefault="00BD37FC">
            <w:pPr>
              <w:spacing w:beforeLines="20" w:before="48" w:afterLines="20" w:after="48"/>
              <w:rPr>
                <w:noProof/>
                <w:sz w:val="18"/>
              </w:rPr>
            </w:pPr>
            <w:r>
              <w:rPr>
                <w:noProof/>
                <w:sz w:val="18"/>
              </w:rPr>
              <w:t>Maksut</w:t>
            </w:r>
          </w:p>
        </w:tc>
        <w:tc>
          <w:tcPr>
            <w:tcW w:w="654" w:type="dxa"/>
            <w:vAlign w:val="center"/>
          </w:tcPr>
          <w:p w:rsidR="00D03C46" w:rsidRDefault="00BD37FC">
            <w:pPr>
              <w:spacing w:beforeLines="20" w:before="48" w:afterLines="20" w:after="48"/>
              <w:jc w:val="center"/>
              <w:rPr>
                <w:noProof/>
                <w:sz w:val="14"/>
              </w:rPr>
            </w:pPr>
            <w:r>
              <w:rPr>
                <w:noProof/>
                <w:sz w:val="14"/>
              </w:rPr>
              <w:t>(5)</w:t>
            </w:r>
          </w:p>
        </w:tc>
        <w:tc>
          <w:tcPr>
            <w:tcW w:w="868" w:type="dxa"/>
            <w:vAlign w:val="center"/>
          </w:tcPr>
          <w:p w:rsidR="00D03C46" w:rsidRDefault="00BD37FC">
            <w:pPr>
              <w:spacing w:before="20" w:after="20"/>
              <w:jc w:val="right"/>
              <w:rPr>
                <w:noProof/>
                <w:sz w:val="20"/>
              </w:rPr>
            </w:pPr>
            <w:r>
              <w:rPr>
                <w:noProof/>
                <w:sz w:val="20"/>
              </w:rPr>
              <w:t xml:space="preserve">    0,560</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0,560</w:t>
            </w:r>
          </w:p>
        </w:tc>
      </w:tr>
      <w:tr w:rsidR="00D03C46">
        <w:trPr>
          <w:trHeight w:val="533"/>
        </w:trPr>
        <w:tc>
          <w:tcPr>
            <w:tcW w:w="5400" w:type="dxa"/>
            <w:gridSpan w:val="2"/>
            <w:vAlign w:val="center"/>
          </w:tcPr>
          <w:p w:rsidR="00D03C46" w:rsidRDefault="00BD37FC">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w:t>
            </w:r>
          </w:p>
        </w:tc>
        <w:tc>
          <w:tcPr>
            <w:tcW w:w="654" w:type="dxa"/>
            <w:vAlign w:val="center"/>
          </w:tcPr>
          <w:p w:rsidR="00D03C46" w:rsidRDefault="00BD37FC">
            <w:pPr>
              <w:spacing w:beforeLines="20" w:before="48" w:afterLines="20" w:after="48"/>
              <w:jc w:val="center"/>
              <w:rPr>
                <w:noProof/>
                <w:sz w:val="14"/>
              </w:rPr>
            </w:pPr>
            <w:r>
              <w:rPr>
                <w:noProof/>
                <w:sz w:val="14"/>
              </w:rPr>
              <w:t>(6)</w:t>
            </w:r>
          </w:p>
        </w:tc>
        <w:tc>
          <w:tcPr>
            <w:tcW w:w="868" w:type="dxa"/>
            <w:vAlign w:val="center"/>
          </w:tcPr>
          <w:p w:rsidR="00D03C46" w:rsidRDefault="00BD37FC">
            <w:pPr>
              <w:spacing w:before="20" w:after="20"/>
              <w:jc w:val="right"/>
              <w:rPr>
                <w:noProof/>
                <w:sz w:val="20"/>
              </w:rPr>
            </w:pPr>
            <w:r>
              <w:rPr>
                <w:noProof/>
                <w:sz w:val="20"/>
              </w:rPr>
              <w:t>0,125</w:t>
            </w:r>
          </w:p>
        </w:tc>
        <w:tc>
          <w:tcPr>
            <w:tcW w:w="868" w:type="dxa"/>
            <w:vAlign w:val="center"/>
          </w:tcPr>
          <w:p w:rsidR="00D03C46" w:rsidRDefault="00BD37FC">
            <w:pPr>
              <w:spacing w:before="20" w:after="20"/>
              <w:jc w:val="right"/>
              <w:rPr>
                <w:noProof/>
                <w:sz w:val="20"/>
              </w:rPr>
            </w:pPr>
            <w:r>
              <w:rPr>
                <w:noProof/>
                <w:sz w:val="20"/>
              </w:rPr>
              <w:t>0,125</w:t>
            </w: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0,250</w:t>
            </w:r>
          </w:p>
        </w:tc>
      </w:tr>
      <w:tr w:rsidR="00D03C46">
        <w:tc>
          <w:tcPr>
            <w:tcW w:w="3960" w:type="dxa"/>
            <w:vMerge w:val="restart"/>
            <w:shd w:val="thinDiagStripe" w:color="C0C0C0" w:fill="auto"/>
            <w:vAlign w:val="center"/>
          </w:tcPr>
          <w:p w:rsidR="00D03C46" w:rsidRDefault="00BD37FC">
            <w:pPr>
              <w:jc w:val="center"/>
              <w:rPr>
                <w:b/>
                <w:noProof/>
                <w:sz w:val="22"/>
              </w:rPr>
            </w:pPr>
            <w:r>
              <w:rPr>
                <w:noProof/>
              </w:rPr>
              <w:t>Monivuotisen rahoituskehyksen</w:t>
            </w:r>
            <w:r>
              <w:rPr>
                <w:noProof/>
                <w:sz w:val="22"/>
              </w:rPr>
              <w:t xml:space="preserve"> </w:t>
            </w:r>
            <w:r>
              <w:rPr>
                <w:b/>
                <w:noProof/>
                <w:sz w:val="22"/>
              </w:rPr>
              <w:t xml:space="preserve">OTSAKKEESEEN 3 ”Turvallisuus ja kansalaisuus” kuuluvat määrärahat </w:t>
            </w:r>
            <w:r>
              <w:rPr>
                <w:b/>
                <w:noProof/>
                <w:sz w:val="22"/>
              </w:rPr>
              <w:t>YHTEENSÄ</w:t>
            </w:r>
          </w:p>
        </w:tc>
        <w:tc>
          <w:tcPr>
            <w:tcW w:w="1440" w:type="dxa"/>
            <w:vAlign w:val="center"/>
          </w:tcPr>
          <w:p w:rsidR="00D03C46" w:rsidRDefault="00BD37FC">
            <w:pPr>
              <w:rPr>
                <w:noProof/>
                <w:sz w:val="18"/>
              </w:rPr>
            </w:pPr>
            <w:r>
              <w:rPr>
                <w:noProof/>
                <w:sz w:val="18"/>
              </w:rPr>
              <w:t>Sitoumukset</w:t>
            </w:r>
          </w:p>
        </w:tc>
        <w:tc>
          <w:tcPr>
            <w:tcW w:w="654" w:type="dxa"/>
            <w:vAlign w:val="center"/>
          </w:tcPr>
          <w:p w:rsidR="00D03C46" w:rsidRDefault="00BD37FC">
            <w:pPr>
              <w:jc w:val="center"/>
              <w:rPr>
                <w:noProof/>
                <w:sz w:val="14"/>
              </w:rPr>
            </w:pPr>
            <w:r>
              <w:rPr>
                <w:noProof/>
                <w:sz w:val="14"/>
              </w:rPr>
              <w:t>=4+ 6</w:t>
            </w:r>
          </w:p>
        </w:tc>
        <w:tc>
          <w:tcPr>
            <w:tcW w:w="868" w:type="dxa"/>
            <w:vAlign w:val="center"/>
          </w:tcPr>
          <w:p w:rsidR="00D03C46" w:rsidRDefault="00BD37FC">
            <w:pPr>
              <w:spacing w:before="20" w:after="20"/>
              <w:jc w:val="right"/>
              <w:rPr>
                <w:noProof/>
                <w:sz w:val="20"/>
              </w:rPr>
            </w:pPr>
            <w:r>
              <w:rPr>
                <w:noProof/>
                <w:sz w:val="20"/>
              </w:rPr>
              <w:t>0,825</w:t>
            </w:r>
          </w:p>
        </w:tc>
        <w:tc>
          <w:tcPr>
            <w:tcW w:w="868" w:type="dxa"/>
            <w:vAlign w:val="center"/>
          </w:tcPr>
          <w:p w:rsidR="00D03C46" w:rsidRDefault="00BD37FC">
            <w:pPr>
              <w:spacing w:before="20" w:after="20"/>
              <w:jc w:val="right"/>
              <w:rPr>
                <w:noProof/>
                <w:sz w:val="20"/>
              </w:rPr>
            </w:pPr>
            <w:r>
              <w:rPr>
                <w:noProof/>
                <w:sz w:val="20"/>
              </w:rPr>
              <w:t>0,125</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0,950</w:t>
            </w:r>
          </w:p>
        </w:tc>
      </w:tr>
      <w:tr w:rsidR="00D03C46">
        <w:tc>
          <w:tcPr>
            <w:tcW w:w="3960" w:type="dxa"/>
            <w:vMerge/>
            <w:shd w:val="thinDiagStripe" w:color="C0C0C0" w:fill="auto"/>
          </w:tcPr>
          <w:p w:rsidR="00D03C46" w:rsidRDefault="00D03C46">
            <w:pPr>
              <w:rPr>
                <w:noProof/>
                <w:sz w:val="20"/>
              </w:rPr>
            </w:pPr>
          </w:p>
        </w:tc>
        <w:tc>
          <w:tcPr>
            <w:tcW w:w="1440" w:type="dxa"/>
            <w:vAlign w:val="center"/>
          </w:tcPr>
          <w:p w:rsidR="00D03C46" w:rsidRDefault="00BD37FC">
            <w:pPr>
              <w:rPr>
                <w:noProof/>
                <w:sz w:val="18"/>
              </w:rPr>
            </w:pPr>
            <w:r>
              <w:rPr>
                <w:noProof/>
                <w:sz w:val="18"/>
              </w:rPr>
              <w:t>Maksut</w:t>
            </w:r>
          </w:p>
        </w:tc>
        <w:tc>
          <w:tcPr>
            <w:tcW w:w="654" w:type="dxa"/>
            <w:vAlign w:val="center"/>
          </w:tcPr>
          <w:p w:rsidR="00D03C46" w:rsidRDefault="00BD37FC">
            <w:pPr>
              <w:jc w:val="center"/>
              <w:rPr>
                <w:noProof/>
                <w:sz w:val="14"/>
              </w:rPr>
            </w:pPr>
            <w:r>
              <w:rPr>
                <w:noProof/>
                <w:sz w:val="14"/>
              </w:rPr>
              <w:t>=5+ 6</w:t>
            </w:r>
          </w:p>
        </w:tc>
        <w:tc>
          <w:tcPr>
            <w:tcW w:w="868" w:type="dxa"/>
            <w:vAlign w:val="center"/>
          </w:tcPr>
          <w:p w:rsidR="00D03C46" w:rsidRDefault="00BD37FC">
            <w:pPr>
              <w:spacing w:before="20" w:after="20"/>
              <w:jc w:val="right"/>
              <w:rPr>
                <w:noProof/>
                <w:sz w:val="20"/>
              </w:rPr>
            </w:pPr>
            <w:r>
              <w:rPr>
                <w:noProof/>
                <w:sz w:val="20"/>
              </w:rPr>
              <w:t xml:space="preserve">    0,685</w:t>
            </w:r>
          </w:p>
        </w:tc>
        <w:tc>
          <w:tcPr>
            <w:tcW w:w="868" w:type="dxa"/>
            <w:vAlign w:val="center"/>
          </w:tcPr>
          <w:p w:rsidR="00D03C46" w:rsidRDefault="00BD37FC">
            <w:pPr>
              <w:spacing w:before="20" w:after="20"/>
              <w:jc w:val="right"/>
              <w:rPr>
                <w:noProof/>
                <w:sz w:val="20"/>
              </w:rPr>
            </w:pPr>
            <w:r>
              <w:rPr>
                <w:noProof/>
                <w:sz w:val="20"/>
              </w:rPr>
              <w:t>0,125</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BD37FC">
            <w:pPr>
              <w:spacing w:before="20" w:after="20"/>
              <w:jc w:val="right"/>
              <w:rPr>
                <w:b/>
                <w:noProof/>
                <w:sz w:val="20"/>
              </w:rPr>
            </w:pPr>
            <w:r>
              <w:rPr>
                <w:b/>
                <w:noProof/>
                <w:sz w:val="20"/>
              </w:rPr>
              <w:t>0,810</w:t>
            </w:r>
          </w:p>
        </w:tc>
      </w:tr>
    </w:tbl>
    <w:p w:rsidR="00D03C46" w:rsidRDefault="00BD37FC">
      <w:pPr>
        <w:spacing w:after="40"/>
        <w:rPr>
          <w:b/>
          <w:noProof/>
          <w:sz w:val="22"/>
          <w:u w:val="single"/>
        </w:rPr>
      </w:pPr>
      <w:r>
        <w:rPr>
          <w:b/>
          <w:noProof/>
          <w:sz w:val="22"/>
          <w:u w:val="single"/>
        </w:rPr>
        <w:t>Jos 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D03C46">
        <w:trPr>
          <w:trHeight w:val="277"/>
        </w:trPr>
        <w:tc>
          <w:tcPr>
            <w:tcW w:w="3960" w:type="dxa"/>
            <w:vMerge w:val="restart"/>
            <w:tcBorders>
              <w:top w:val="single" w:sz="4" w:space="0" w:color="FF0000"/>
              <w:left w:val="single" w:sz="4" w:space="0" w:color="auto"/>
              <w:bottom w:val="single" w:sz="4" w:space="0" w:color="FF0000"/>
            </w:tcBorders>
            <w:vAlign w:val="center"/>
          </w:tcPr>
          <w:p w:rsidR="00D03C46" w:rsidRDefault="00BD37FC">
            <w:pPr>
              <w:spacing w:before="20" w:after="20"/>
              <w:rPr>
                <w:noProof/>
                <w:sz w:val="22"/>
              </w:rPr>
            </w:pPr>
            <w:r>
              <w:rPr>
                <w:noProof/>
                <w:sz w:val="21"/>
              </w:rPr>
              <w:sym w:font="Wingdings" w:char="F09F"/>
            </w:r>
            <w:r>
              <w:rPr>
                <w:noProof/>
                <w:sz w:val="21"/>
              </w:rPr>
              <w:t xml:space="preserve"> Toimintamäärärahat YHTEENSÄ</w:t>
            </w:r>
          </w:p>
        </w:tc>
        <w:tc>
          <w:tcPr>
            <w:tcW w:w="1440" w:type="dxa"/>
            <w:tcBorders>
              <w:top w:val="single" w:sz="4" w:space="0" w:color="FF0000"/>
            </w:tcBorders>
            <w:vAlign w:val="center"/>
          </w:tcPr>
          <w:p w:rsidR="00D03C46" w:rsidRDefault="00BD37FC">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rsidR="00D03C46" w:rsidRDefault="00BD37FC">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D03C46" w:rsidRDefault="00D03C46">
            <w:pPr>
              <w:spacing w:before="20" w:after="20"/>
              <w:jc w:val="right"/>
              <w:rPr>
                <w:noProof/>
                <w:sz w:val="20"/>
              </w:rPr>
            </w:pPr>
          </w:p>
        </w:tc>
        <w:tc>
          <w:tcPr>
            <w:tcW w:w="868" w:type="dxa"/>
            <w:tcBorders>
              <w:top w:val="single" w:sz="4" w:space="0" w:color="FF0000"/>
            </w:tcBorders>
            <w:vAlign w:val="center"/>
          </w:tcPr>
          <w:p w:rsidR="00D03C46" w:rsidRDefault="00D03C46">
            <w:pPr>
              <w:spacing w:before="20" w:after="20"/>
              <w:jc w:val="right"/>
              <w:rPr>
                <w:noProof/>
                <w:sz w:val="20"/>
              </w:rPr>
            </w:pPr>
          </w:p>
        </w:tc>
        <w:tc>
          <w:tcPr>
            <w:tcW w:w="868" w:type="dxa"/>
            <w:tcBorders>
              <w:top w:val="single" w:sz="4" w:space="0" w:color="FF0000"/>
            </w:tcBorders>
            <w:vAlign w:val="center"/>
          </w:tcPr>
          <w:p w:rsidR="00D03C46" w:rsidRDefault="00D03C46">
            <w:pPr>
              <w:spacing w:before="20" w:after="20"/>
              <w:jc w:val="right"/>
              <w:rPr>
                <w:noProof/>
                <w:sz w:val="20"/>
              </w:rPr>
            </w:pPr>
          </w:p>
        </w:tc>
        <w:tc>
          <w:tcPr>
            <w:tcW w:w="868" w:type="dxa"/>
            <w:tcBorders>
              <w:top w:val="single" w:sz="4" w:space="0" w:color="FF0000"/>
            </w:tcBorders>
            <w:vAlign w:val="center"/>
          </w:tcPr>
          <w:p w:rsidR="00D03C46" w:rsidRDefault="00D03C46">
            <w:pPr>
              <w:spacing w:before="20" w:after="20"/>
              <w:jc w:val="right"/>
              <w:rPr>
                <w:noProof/>
                <w:sz w:val="20"/>
              </w:rPr>
            </w:pPr>
          </w:p>
        </w:tc>
        <w:tc>
          <w:tcPr>
            <w:tcW w:w="868" w:type="dxa"/>
            <w:tcBorders>
              <w:top w:val="single" w:sz="4" w:space="0" w:color="FF0000"/>
            </w:tcBorders>
            <w:vAlign w:val="center"/>
          </w:tcPr>
          <w:p w:rsidR="00D03C46" w:rsidRDefault="00D03C46">
            <w:pPr>
              <w:spacing w:before="20" w:after="20"/>
              <w:jc w:val="right"/>
              <w:rPr>
                <w:noProof/>
                <w:sz w:val="20"/>
              </w:rPr>
            </w:pPr>
          </w:p>
        </w:tc>
        <w:tc>
          <w:tcPr>
            <w:tcW w:w="868" w:type="dxa"/>
            <w:tcBorders>
              <w:top w:val="single" w:sz="4" w:space="0" w:color="FF0000"/>
            </w:tcBorders>
            <w:vAlign w:val="center"/>
          </w:tcPr>
          <w:p w:rsidR="00D03C46" w:rsidRDefault="00D03C46">
            <w:pPr>
              <w:spacing w:before="20" w:after="20"/>
              <w:jc w:val="right"/>
              <w:rPr>
                <w:b/>
                <w:noProof/>
                <w:sz w:val="20"/>
              </w:rPr>
            </w:pPr>
          </w:p>
        </w:tc>
        <w:tc>
          <w:tcPr>
            <w:tcW w:w="1777" w:type="dxa"/>
            <w:tcBorders>
              <w:top w:val="single" w:sz="4" w:space="0" w:color="FF0000"/>
              <w:right w:val="single" w:sz="4" w:space="0" w:color="auto"/>
            </w:tcBorders>
            <w:vAlign w:val="center"/>
          </w:tcPr>
          <w:p w:rsidR="00D03C46" w:rsidRDefault="00D03C46">
            <w:pPr>
              <w:spacing w:before="20" w:after="20"/>
              <w:jc w:val="right"/>
              <w:rPr>
                <w:b/>
                <w:noProof/>
                <w:sz w:val="20"/>
              </w:rPr>
            </w:pPr>
          </w:p>
        </w:tc>
      </w:tr>
      <w:tr w:rsidR="00D03C46">
        <w:tc>
          <w:tcPr>
            <w:tcW w:w="3960" w:type="dxa"/>
            <w:vMerge/>
            <w:tcBorders>
              <w:top w:val="single" w:sz="4" w:space="0" w:color="FF0000"/>
              <w:left w:val="single" w:sz="4" w:space="0" w:color="auto"/>
              <w:bottom w:val="single" w:sz="4" w:space="0" w:color="FF0000"/>
            </w:tcBorders>
          </w:tcPr>
          <w:p w:rsidR="00D03C46" w:rsidRDefault="00D03C46">
            <w:pPr>
              <w:jc w:val="center"/>
              <w:rPr>
                <w:noProof/>
                <w:sz w:val="20"/>
              </w:rPr>
            </w:pPr>
          </w:p>
        </w:tc>
        <w:tc>
          <w:tcPr>
            <w:tcW w:w="1440" w:type="dxa"/>
            <w:vAlign w:val="center"/>
          </w:tcPr>
          <w:p w:rsidR="00D03C46" w:rsidRDefault="00BD37FC">
            <w:pPr>
              <w:spacing w:beforeLines="20" w:before="48" w:afterLines="20" w:after="48"/>
              <w:rPr>
                <w:noProof/>
                <w:sz w:val="18"/>
              </w:rPr>
            </w:pPr>
            <w:r>
              <w:rPr>
                <w:noProof/>
                <w:sz w:val="18"/>
              </w:rPr>
              <w:t>Maksut</w:t>
            </w:r>
          </w:p>
        </w:tc>
        <w:tc>
          <w:tcPr>
            <w:tcW w:w="654" w:type="dxa"/>
            <w:vAlign w:val="center"/>
          </w:tcPr>
          <w:p w:rsidR="00D03C46" w:rsidRDefault="00BD37FC">
            <w:pPr>
              <w:spacing w:beforeLines="20" w:before="48" w:afterLines="20" w:after="48"/>
              <w:jc w:val="center"/>
              <w:rPr>
                <w:noProof/>
                <w:sz w:val="14"/>
              </w:rPr>
            </w:pPr>
            <w:r>
              <w:rPr>
                <w:noProof/>
                <w:sz w:val="14"/>
              </w:rPr>
              <w:t>(5)</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tcBorders>
              <w:right w:val="single" w:sz="4" w:space="0" w:color="auto"/>
            </w:tcBorders>
            <w:vAlign w:val="center"/>
          </w:tcPr>
          <w:p w:rsidR="00D03C46" w:rsidRDefault="00D03C46">
            <w:pPr>
              <w:spacing w:before="20" w:after="20"/>
              <w:jc w:val="right"/>
              <w:rPr>
                <w:b/>
                <w:noProof/>
                <w:sz w:val="20"/>
              </w:rPr>
            </w:pPr>
          </w:p>
        </w:tc>
      </w:tr>
      <w:tr w:rsidR="00D03C46">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D03C46" w:rsidRDefault="00BD37FC">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w:t>
            </w:r>
          </w:p>
        </w:tc>
        <w:tc>
          <w:tcPr>
            <w:tcW w:w="654" w:type="dxa"/>
            <w:vAlign w:val="center"/>
          </w:tcPr>
          <w:p w:rsidR="00D03C46" w:rsidRDefault="00BD37FC">
            <w:pPr>
              <w:spacing w:beforeLines="20" w:before="48" w:afterLines="20" w:after="48"/>
              <w:jc w:val="center"/>
              <w:rPr>
                <w:noProof/>
                <w:sz w:val="14"/>
              </w:rPr>
            </w:pPr>
            <w:r>
              <w:rPr>
                <w:noProof/>
                <w:sz w:val="14"/>
              </w:rPr>
              <w:t>(6)</w:t>
            </w: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868" w:type="dxa"/>
            <w:vAlign w:val="center"/>
          </w:tcPr>
          <w:p w:rsidR="00D03C46" w:rsidRDefault="00D03C46">
            <w:pPr>
              <w:spacing w:before="20" w:after="20"/>
              <w:jc w:val="right"/>
              <w:rPr>
                <w:b/>
                <w:noProof/>
                <w:sz w:val="20"/>
              </w:rPr>
            </w:pPr>
          </w:p>
        </w:tc>
        <w:tc>
          <w:tcPr>
            <w:tcW w:w="1777" w:type="dxa"/>
            <w:vAlign w:val="center"/>
          </w:tcPr>
          <w:p w:rsidR="00D03C46" w:rsidRDefault="00D03C46">
            <w:pPr>
              <w:spacing w:before="20" w:after="20"/>
              <w:jc w:val="right"/>
              <w:rPr>
                <w:b/>
                <w:noProof/>
                <w:sz w:val="20"/>
              </w:rPr>
            </w:pPr>
          </w:p>
        </w:tc>
      </w:tr>
      <w:tr w:rsidR="00D03C46">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D03C46" w:rsidRDefault="00BD37FC">
            <w:pPr>
              <w:jc w:val="center"/>
              <w:rPr>
                <w:b/>
                <w:noProof/>
                <w:sz w:val="22"/>
              </w:rPr>
            </w:pPr>
            <w:r>
              <w:rPr>
                <w:noProof/>
              </w:rPr>
              <w:t>Monivuotisen rahoituskehyksen</w:t>
            </w:r>
            <w:r>
              <w:rPr>
                <w:noProof/>
                <w:sz w:val="22"/>
              </w:rPr>
              <w:t xml:space="preserve"> </w:t>
            </w:r>
            <w:r>
              <w:rPr>
                <w:b/>
                <w:noProof/>
                <w:sz w:val="22"/>
              </w:rPr>
              <w:t>OTSAKKEISIIN 1–4 kuuluvat määrärahat YHTEENSÄ</w:t>
            </w:r>
            <w:r>
              <w:rPr>
                <w:noProof/>
                <w:sz w:val="22"/>
              </w:rPr>
              <w:br/>
            </w:r>
            <w:r>
              <w:rPr>
                <w:noProof/>
                <w:sz w:val="20"/>
              </w:rPr>
              <w:t>(Viitemäärä)</w:t>
            </w:r>
          </w:p>
        </w:tc>
        <w:tc>
          <w:tcPr>
            <w:tcW w:w="1440" w:type="dxa"/>
            <w:vAlign w:val="center"/>
          </w:tcPr>
          <w:p w:rsidR="00D03C46" w:rsidRDefault="00BD37FC">
            <w:pPr>
              <w:rPr>
                <w:noProof/>
                <w:sz w:val="18"/>
              </w:rPr>
            </w:pPr>
            <w:r>
              <w:rPr>
                <w:noProof/>
                <w:sz w:val="18"/>
              </w:rPr>
              <w:t>Sitoumukset</w:t>
            </w:r>
          </w:p>
        </w:tc>
        <w:tc>
          <w:tcPr>
            <w:tcW w:w="654" w:type="dxa"/>
            <w:vAlign w:val="center"/>
          </w:tcPr>
          <w:p w:rsidR="00D03C46" w:rsidRDefault="00BD37FC">
            <w:pPr>
              <w:jc w:val="center"/>
              <w:rPr>
                <w:noProof/>
                <w:sz w:val="14"/>
              </w:rPr>
            </w:pPr>
            <w:r>
              <w:rPr>
                <w:noProof/>
                <w:sz w:val="14"/>
              </w:rPr>
              <w:t>=4+ 6</w:t>
            </w: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noProof/>
                <w:sz w:val="20"/>
              </w:rPr>
            </w:pPr>
          </w:p>
        </w:tc>
        <w:tc>
          <w:tcPr>
            <w:tcW w:w="868" w:type="dxa"/>
            <w:vAlign w:val="center"/>
          </w:tcPr>
          <w:p w:rsidR="00D03C46" w:rsidRDefault="00D03C46">
            <w:pPr>
              <w:spacing w:before="20" w:after="20"/>
              <w:jc w:val="right"/>
              <w:rPr>
                <w:b/>
                <w:noProof/>
                <w:sz w:val="20"/>
              </w:rPr>
            </w:pPr>
          </w:p>
        </w:tc>
        <w:tc>
          <w:tcPr>
            <w:tcW w:w="1777" w:type="dxa"/>
            <w:tcBorders>
              <w:right w:val="single" w:sz="4" w:space="0" w:color="auto"/>
            </w:tcBorders>
            <w:vAlign w:val="center"/>
          </w:tcPr>
          <w:p w:rsidR="00D03C46" w:rsidRDefault="00D03C46">
            <w:pPr>
              <w:spacing w:before="20" w:after="20"/>
              <w:jc w:val="right"/>
              <w:rPr>
                <w:b/>
                <w:noProof/>
                <w:sz w:val="20"/>
              </w:rPr>
            </w:pPr>
          </w:p>
        </w:tc>
      </w:tr>
      <w:tr w:rsidR="00D03C46">
        <w:tc>
          <w:tcPr>
            <w:tcW w:w="3960" w:type="dxa"/>
            <w:vMerge/>
            <w:tcBorders>
              <w:top w:val="single" w:sz="4" w:space="0" w:color="FF0000"/>
              <w:left w:val="single" w:sz="4" w:space="0" w:color="auto"/>
              <w:bottom w:val="single" w:sz="4" w:space="0" w:color="FF0000"/>
            </w:tcBorders>
            <w:shd w:val="thinDiagStripe" w:color="C0C0C0" w:fill="auto"/>
          </w:tcPr>
          <w:p w:rsidR="00D03C46" w:rsidRDefault="00D03C46">
            <w:pPr>
              <w:rPr>
                <w:noProof/>
                <w:sz w:val="20"/>
              </w:rPr>
            </w:pPr>
          </w:p>
        </w:tc>
        <w:tc>
          <w:tcPr>
            <w:tcW w:w="1440" w:type="dxa"/>
            <w:tcBorders>
              <w:bottom w:val="single" w:sz="4" w:space="0" w:color="FF0000"/>
            </w:tcBorders>
            <w:vAlign w:val="center"/>
          </w:tcPr>
          <w:p w:rsidR="00D03C46" w:rsidRDefault="00BD37FC">
            <w:pPr>
              <w:rPr>
                <w:noProof/>
                <w:sz w:val="18"/>
              </w:rPr>
            </w:pPr>
            <w:r>
              <w:rPr>
                <w:noProof/>
                <w:sz w:val="18"/>
              </w:rPr>
              <w:t>Maksut</w:t>
            </w:r>
          </w:p>
        </w:tc>
        <w:tc>
          <w:tcPr>
            <w:tcW w:w="654" w:type="dxa"/>
            <w:tcBorders>
              <w:bottom w:val="single" w:sz="4" w:space="0" w:color="FF0000"/>
            </w:tcBorders>
            <w:vAlign w:val="center"/>
          </w:tcPr>
          <w:p w:rsidR="00D03C46" w:rsidRDefault="00BD37FC">
            <w:pPr>
              <w:jc w:val="center"/>
              <w:rPr>
                <w:noProof/>
                <w:sz w:val="14"/>
              </w:rPr>
            </w:pPr>
            <w:r>
              <w:rPr>
                <w:noProof/>
                <w:sz w:val="14"/>
              </w:rPr>
              <w:t>=5+ 6</w:t>
            </w:r>
          </w:p>
        </w:tc>
        <w:tc>
          <w:tcPr>
            <w:tcW w:w="868" w:type="dxa"/>
            <w:tcBorders>
              <w:bottom w:val="single" w:sz="4" w:space="0" w:color="FF0000"/>
            </w:tcBorders>
            <w:vAlign w:val="center"/>
          </w:tcPr>
          <w:p w:rsidR="00D03C46" w:rsidRDefault="00D03C46">
            <w:pPr>
              <w:spacing w:before="20" w:after="20"/>
              <w:jc w:val="right"/>
              <w:rPr>
                <w:noProof/>
                <w:sz w:val="20"/>
              </w:rPr>
            </w:pPr>
          </w:p>
        </w:tc>
        <w:tc>
          <w:tcPr>
            <w:tcW w:w="868" w:type="dxa"/>
            <w:tcBorders>
              <w:bottom w:val="single" w:sz="4" w:space="0" w:color="FF0000"/>
            </w:tcBorders>
            <w:vAlign w:val="center"/>
          </w:tcPr>
          <w:p w:rsidR="00D03C46" w:rsidRDefault="00D03C46">
            <w:pPr>
              <w:spacing w:before="20" w:after="20"/>
              <w:jc w:val="right"/>
              <w:rPr>
                <w:noProof/>
                <w:sz w:val="20"/>
              </w:rPr>
            </w:pPr>
          </w:p>
        </w:tc>
        <w:tc>
          <w:tcPr>
            <w:tcW w:w="868" w:type="dxa"/>
            <w:tcBorders>
              <w:bottom w:val="single" w:sz="4" w:space="0" w:color="FF0000"/>
            </w:tcBorders>
            <w:vAlign w:val="center"/>
          </w:tcPr>
          <w:p w:rsidR="00D03C46" w:rsidRDefault="00D03C46">
            <w:pPr>
              <w:spacing w:before="20" w:after="20"/>
              <w:jc w:val="right"/>
              <w:rPr>
                <w:noProof/>
                <w:sz w:val="20"/>
              </w:rPr>
            </w:pPr>
          </w:p>
        </w:tc>
        <w:tc>
          <w:tcPr>
            <w:tcW w:w="868" w:type="dxa"/>
            <w:tcBorders>
              <w:bottom w:val="single" w:sz="4" w:space="0" w:color="FF0000"/>
            </w:tcBorders>
            <w:vAlign w:val="center"/>
          </w:tcPr>
          <w:p w:rsidR="00D03C46" w:rsidRDefault="00D03C46">
            <w:pPr>
              <w:spacing w:before="20" w:after="20"/>
              <w:jc w:val="right"/>
              <w:rPr>
                <w:noProof/>
                <w:sz w:val="20"/>
              </w:rPr>
            </w:pPr>
          </w:p>
        </w:tc>
        <w:tc>
          <w:tcPr>
            <w:tcW w:w="868" w:type="dxa"/>
            <w:tcBorders>
              <w:bottom w:val="single" w:sz="4" w:space="0" w:color="FF0000"/>
            </w:tcBorders>
            <w:vAlign w:val="center"/>
          </w:tcPr>
          <w:p w:rsidR="00D03C46" w:rsidRDefault="00D03C46">
            <w:pPr>
              <w:spacing w:before="20" w:after="20"/>
              <w:jc w:val="right"/>
              <w:rPr>
                <w:noProof/>
                <w:sz w:val="20"/>
              </w:rPr>
            </w:pPr>
          </w:p>
        </w:tc>
        <w:tc>
          <w:tcPr>
            <w:tcW w:w="868" w:type="dxa"/>
            <w:tcBorders>
              <w:bottom w:val="single" w:sz="4" w:space="0" w:color="FF0000"/>
            </w:tcBorders>
            <w:vAlign w:val="center"/>
          </w:tcPr>
          <w:p w:rsidR="00D03C46" w:rsidRDefault="00D03C46">
            <w:pPr>
              <w:spacing w:before="20" w:after="20"/>
              <w:jc w:val="right"/>
              <w:rPr>
                <w:b/>
                <w:noProof/>
                <w:sz w:val="20"/>
              </w:rPr>
            </w:pPr>
          </w:p>
        </w:tc>
        <w:tc>
          <w:tcPr>
            <w:tcW w:w="1777" w:type="dxa"/>
            <w:tcBorders>
              <w:bottom w:val="single" w:sz="4" w:space="0" w:color="FF0000"/>
              <w:right w:val="single" w:sz="4" w:space="0" w:color="auto"/>
            </w:tcBorders>
            <w:vAlign w:val="center"/>
          </w:tcPr>
          <w:p w:rsidR="00D03C46" w:rsidRDefault="00D03C46">
            <w:pPr>
              <w:spacing w:before="20" w:after="20"/>
              <w:jc w:val="right"/>
              <w:rPr>
                <w:b/>
                <w:noProof/>
                <w:sz w:val="20"/>
              </w:rPr>
            </w:pPr>
          </w:p>
        </w:tc>
      </w:tr>
    </w:tbl>
    <w:p w:rsidR="00D03C46" w:rsidRDefault="00D03C46">
      <w:pPr>
        <w:rPr>
          <w:noProof/>
        </w:rPr>
      </w:pPr>
    </w:p>
    <w:p w:rsidR="00D03C46" w:rsidRDefault="00BD37FC">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603"/>
      </w:tblGrid>
      <w:tr w:rsidR="00D03C46">
        <w:trPr>
          <w:jc w:val="center"/>
        </w:trPr>
        <w:tc>
          <w:tcPr>
            <w:tcW w:w="4744" w:type="dxa"/>
            <w:shd w:val="thinDiagStripe" w:color="C0C0C0" w:fill="auto"/>
            <w:vAlign w:val="center"/>
          </w:tcPr>
          <w:p w:rsidR="00D03C46" w:rsidRDefault="00BD37FC">
            <w:pPr>
              <w:spacing w:before="60" w:after="60"/>
              <w:jc w:val="center"/>
              <w:rPr>
                <w:b/>
                <w:noProof/>
                <w:sz w:val="22"/>
              </w:rPr>
            </w:pPr>
            <w:r>
              <w:rPr>
                <w:noProof/>
              </w:rPr>
              <w:lastRenderedPageBreak/>
              <w:br w:type="page"/>
            </w:r>
            <w:r>
              <w:rPr>
                <w:b/>
                <w:noProof/>
                <w:sz w:val="22"/>
              </w:rPr>
              <w:t>Monivuotisen rahoituskehyksen</w:t>
            </w:r>
            <w:r>
              <w:rPr>
                <w:noProof/>
              </w:rPr>
              <w:t xml:space="preserve"> </w:t>
            </w:r>
            <w:r>
              <w:rPr>
                <w:noProof/>
                <w:sz w:val="22"/>
              </w:rPr>
              <w:br/>
            </w:r>
            <w:r>
              <w:rPr>
                <w:b/>
                <w:noProof/>
                <w:sz w:val="22"/>
              </w:rPr>
              <w:t xml:space="preserve">otsake </w:t>
            </w:r>
          </w:p>
        </w:tc>
        <w:tc>
          <w:tcPr>
            <w:tcW w:w="1080" w:type="dxa"/>
            <w:shd w:val="thinDiagStripe" w:color="C0C0C0" w:fill="auto"/>
            <w:vAlign w:val="center"/>
          </w:tcPr>
          <w:p w:rsidR="00D03C46" w:rsidRDefault="00BD37FC">
            <w:pPr>
              <w:spacing w:before="60" w:after="60"/>
              <w:jc w:val="center"/>
              <w:rPr>
                <w:noProof/>
                <w:sz w:val="22"/>
              </w:rPr>
            </w:pPr>
            <w:r>
              <w:rPr>
                <w:b/>
                <w:noProof/>
                <w:sz w:val="22"/>
              </w:rPr>
              <w:t>5</w:t>
            </w:r>
          </w:p>
        </w:tc>
        <w:tc>
          <w:tcPr>
            <w:tcW w:w="7603" w:type="dxa"/>
            <w:vAlign w:val="center"/>
          </w:tcPr>
          <w:p w:rsidR="00D03C46" w:rsidRDefault="00BD37FC">
            <w:pPr>
              <w:spacing w:before="60" w:after="60"/>
              <w:rPr>
                <w:noProof/>
                <w:sz w:val="22"/>
              </w:rPr>
            </w:pPr>
            <w:r>
              <w:rPr>
                <w:noProof/>
                <w:sz w:val="22"/>
              </w:rPr>
              <w:t>Hallintomenot</w:t>
            </w:r>
          </w:p>
        </w:tc>
      </w:tr>
    </w:tbl>
    <w:p w:rsidR="00D03C46" w:rsidRDefault="00BD37FC">
      <w:pPr>
        <w:jc w:val="right"/>
        <w:rPr>
          <w:noProof/>
          <w:sz w:val="20"/>
        </w:rPr>
      </w:pPr>
      <w:r>
        <w:rPr>
          <w:noProof/>
          <w:sz w:val="20"/>
        </w:rPr>
        <w:t>milj. euroa (kolmen desimaalin tarkkuudella)</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851"/>
        <w:gridCol w:w="992"/>
        <w:gridCol w:w="709"/>
        <w:gridCol w:w="897"/>
        <w:gridCol w:w="898"/>
        <w:gridCol w:w="898"/>
        <w:gridCol w:w="2693"/>
      </w:tblGrid>
      <w:tr w:rsidR="00D03C46">
        <w:trPr>
          <w:trHeight w:val="313"/>
        </w:trPr>
        <w:tc>
          <w:tcPr>
            <w:tcW w:w="6030" w:type="dxa"/>
            <w:gridSpan w:val="2"/>
            <w:vAlign w:val="center"/>
          </w:tcPr>
          <w:p w:rsidR="00D03C46" w:rsidRDefault="00D03C46">
            <w:pPr>
              <w:spacing w:before="20" w:after="20"/>
              <w:rPr>
                <w:noProof/>
                <w:sz w:val="22"/>
              </w:rPr>
            </w:pPr>
          </w:p>
        </w:tc>
        <w:tc>
          <w:tcPr>
            <w:tcW w:w="851" w:type="dxa"/>
            <w:vAlign w:val="center"/>
          </w:tcPr>
          <w:p w:rsidR="00D03C46" w:rsidRDefault="00BD37FC">
            <w:pPr>
              <w:spacing w:before="20" w:after="20"/>
              <w:jc w:val="center"/>
              <w:rPr>
                <w:noProof/>
                <w:sz w:val="20"/>
              </w:rPr>
            </w:pPr>
            <w:r>
              <w:rPr>
                <w:noProof/>
                <w:sz w:val="20"/>
              </w:rPr>
              <w:t>Vuosi</w:t>
            </w:r>
            <w:r>
              <w:rPr>
                <w:noProof/>
                <w:sz w:val="22"/>
              </w:rPr>
              <w:br/>
            </w:r>
            <w:r>
              <w:rPr>
                <w:b/>
                <w:noProof/>
                <w:sz w:val="20"/>
              </w:rPr>
              <w:t>2019</w:t>
            </w:r>
          </w:p>
        </w:tc>
        <w:tc>
          <w:tcPr>
            <w:tcW w:w="992" w:type="dxa"/>
            <w:vAlign w:val="center"/>
          </w:tcPr>
          <w:p w:rsidR="00D03C46" w:rsidRDefault="00BD37FC">
            <w:pPr>
              <w:spacing w:before="20" w:after="20"/>
              <w:jc w:val="center"/>
              <w:rPr>
                <w:noProof/>
                <w:sz w:val="20"/>
              </w:rPr>
            </w:pPr>
            <w:r>
              <w:rPr>
                <w:noProof/>
                <w:sz w:val="20"/>
              </w:rPr>
              <w:t>Vuosi</w:t>
            </w:r>
            <w:r>
              <w:rPr>
                <w:noProof/>
                <w:sz w:val="22"/>
              </w:rPr>
              <w:br/>
            </w:r>
            <w:r>
              <w:rPr>
                <w:b/>
                <w:noProof/>
                <w:sz w:val="20"/>
              </w:rPr>
              <w:t>2020</w:t>
            </w:r>
          </w:p>
        </w:tc>
        <w:tc>
          <w:tcPr>
            <w:tcW w:w="709" w:type="dxa"/>
          </w:tcPr>
          <w:p w:rsidR="00D03C46" w:rsidRDefault="00BD37FC">
            <w:pPr>
              <w:spacing w:before="20" w:after="20"/>
              <w:jc w:val="center"/>
              <w:rPr>
                <w:noProof/>
                <w:sz w:val="20"/>
              </w:rPr>
            </w:pPr>
            <w:r>
              <w:rPr>
                <w:noProof/>
                <w:sz w:val="20"/>
              </w:rPr>
              <w:t>Vuosi</w:t>
            </w:r>
            <w:r>
              <w:rPr>
                <w:noProof/>
                <w:sz w:val="22"/>
              </w:rPr>
              <w:br/>
            </w:r>
            <w:r>
              <w:rPr>
                <w:b/>
                <w:noProof/>
                <w:sz w:val="20"/>
              </w:rPr>
              <w:t>2021</w:t>
            </w:r>
          </w:p>
        </w:tc>
        <w:tc>
          <w:tcPr>
            <w:tcW w:w="897" w:type="dxa"/>
          </w:tcPr>
          <w:p w:rsidR="00D03C46" w:rsidRDefault="00BD37FC">
            <w:pPr>
              <w:spacing w:before="20" w:after="20"/>
              <w:jc w:val="center"/>
              <w:rPr>
                <w:noProof/>
                <w:sz w:val="20"/>
              </w:rPr>
            </w:pPr>
            <w:r>
              <w:rPr>
                <w:noProof/>
                <w:sz w:val="20"/>
              </w:rPr>
              <w:t>Vuosi</w:t>
            </w:r>
            <w:r>
              <w:rPr>
                <w:noProof/>
                <w:sz w:val="22"/>
              </w:rPr>
              <w:br/>
            </w:r>
            <w:r>
              <w:rPr>
                <w:b/>
                <w:noProof/>
                <w:sz w:val="20"/>
              </w:rPr>
              <w:t>2022</w:t>
            </w:r>
          </w:p>
        </w:tc>
        <w:tc>
          <w:tcPr>
            <w:tcW w:w="898" w:type="dxa"/>
          </w:tcPr>
          <w:p w:rsidR="00D03C46" w:rsidRDefault="00BD37FC">
            <w:pPr>
              <w:spacing w:before="20" w:after="20"/>
              <w:jc w:val="center"/>
              <w:rPr>
                <w:noProof/>
                <w:sz w:val="20"/>
              </w:rPr>
            </w:pPr>
            <w:r>
              <w:rPr>
                <w:noProof/>
                <w:sz w:val="20"/>
              </w:rPr>
              <w:t>Vuosi</w:t>
            </w:r>
            <w:r>
              <w:rPr>
                <w:noProof/>
                <w:sz w:val="22"/>
              </w:rPr>
              <w:br/>
            </w:r>
            <w:r>
              <w:rPr>
                <w:b/>
                <w:noProof/>
                <w:sz w:val="20"/>
              </w:rPr>
              <w:t>2023</w:t>
            </w:r>
          </w:p>
        </w:tc>
        <w:tc>
          <w:tcPr>
            <w:tcW w:w="898" w:type="dxa"/>
          </w:tcPr>
          <w:p w:rsidR="00D03C46" w:rsidRDefault="00BD37FC">
            <w:pPr>
              <w:spacing w:before="20" w:after="20"/>
              <w:jc w:val="center"/>
              <w:rPr>
                <w:noProof/>
                <w:sz w:val="20"/>
              </w:rPr>
            </w:pPr>
            <w:r>
              <w:rPr>
                <w:noProof/>
                <w:sz w:val="20"/>
              </w:rPr>
              <w:t>Vuosi</w:t>
            </w:r>
            <w:r>
              <w:rPr>
                <w:noProof/>
                <w:sz w:val="22"/>
              </w:rPr>
              <w:br/>
            </w:r>
            <w:r>
              <w:rPr>
                <w:b/>
                <w:noProof/>
                <w:sz w:val="20"/>
              </w:rPr>
              <w:t>2024</w:t>
            </w:r>
          </w:p>
        </w:tc>
        <w:tc>
          <w:tcPr>
            <w:tcW w:w="2693" w:type="dxa"/>
            <w:vAlign w:val="center"/>
          </w:tcPr>
          <w:p w:rsidR="00D03C46" w:rsidRDefault="00BD37FC">
            <w:pPr>
              <w:spacing w:before="20" w:after="20"/>
              <w:jc w:val="center"/>
              <w:rPr>
                <w:b/>
                <w:noProof/>
                <w:sz w:val="20"/>
              </w:rPr>
            </w:pPr>
            <w:r>
              <w:rPr>
                <w:b/>
                <w:noProof/>
                <w:sz w:val="20"/>
              </w:rPr>
              <w:t>YHTEENSÄ</w:t>
            </w:r>
          </w:p>
        </w:tc>
      </w:tr>
      <w:tr w:rsidR="00D03C46">
        <w:trPr>
          <w:gridAfter w:val="7"/>
          <w:wAfter w:w="7087" w:type="dxa"/>
        </w:trPr>
        <w:tc>
          <w:tcPr>
            <w:tcW w:w="3960" w:type="dxa"/>
            <w:vAlign w:val="center"/>
          </w:tcPr>
          <w:p w:rsidR="00D03C46" w:rsidRDefault="00BD37FC">
            <w:pPr>
              <w:spacing w:before="60" w:after="60"/>
              <w:jc w:val="center"/>
              <w:rPr>
                <w:noProof/>
                <w:sz w:val="22"/>
              </w:rPr>
            </w:pPr>
            <w:r>
              <w:rPr>
                <w:noProof/>
                <w:sz w:val="22"/>
              </w:rPr>
              <w:t>Oikeus- ja kuluttaja-asioiden pääosasto</w:t>
            </w:r>
          </w:p>
        </w:tc>
        <w:tc>
          <w:tcPr>
            <w:tcW w:w="2070" w:type="dxa"/>
          </w:tcPr>
          <w:p w:rsidR="00D03C46" w:rsidRDefault="00D03C46">
            <w:pPr>
              <w:spacing w:before="60" w:after="60"/>
              <w:jc w:val="center"/>
              <w:rPr>
                <w:noProof/>
                <w:sz w:val="22"/>
              </w:rPr>
            </w:pPr>
          </w:p>
        </w:tc>
      </w:tr>
      <w:tr w:rsidR="00D03C46">
        <w:trPr>
          <w:trHeight w:val="313"/>
        </w:trPr>
        <w:tc>
          <w:tcPr>
            <w:tcW w:w="6030" w:type="dxa"/>
            <w:gridSpan w:val="2"/>
            <w:vAlign w:val="center"/>
          </w:tcPr>
          <w:p w:rsidR="00D03C46" w:rsidRDefault="00BD37FC">
            <w:pPr>
              <w:spacing w:before="20" w:after="20"/>
              <w:rPr>
                <w:noProof/>
                <w:sz w:val="22"/>
              </w:rPr>
            </w:pPr>
            <w:r>
              <w:rPr>
                <w:noProof/>
                <w:sz w:val="22"/>
              </w:rPr>
              <w:sym w:font="Wingdings" w:char="F09F"/>
            </w:r>
            <w:r>
              <w:rPr>
                <w:noProof/>
                <w:sz w:val="22"/>
              </w:rPr>
              <w:t xml:space="preserve"> Henkilöresurssit</w:t>
            </w:r>
          </w:p>
        </w:tc>
        <w:tc>
          <w:tcPr>
            <w:tcW w:w="851" w:type="dxa"/>
            <w:vAlign w:val="center"/>
          </w:tcPr>
          <w:p w:rsidR="00D03C46" w:rsidRDefault="00BD37FC">
            <w:pPr>
              <w:spacing w:before="20" w:after="20"/>
              <w:jc w:val="right"/>
              <w:rPr>
                <w:noProof/>
                <w:sz w:val="20"/>
              </w:rPr>
            </w:pPr>
            <w:r>
              <w:rPr>
                <w:noProof/>
                <w:sz w:val="20"/>
              </w:rPr>
              <w:t>0,143</w:t>
            </w:r>
          </w:p>
        </w:tc>
        <w:tc>
          <w:tcPr>
            <w:tcW w:w="992" w:type="dxa"/>
            <w:vAlign w:val="center"/>
          </w:tcPr>
          <w:p w:rsidR="00D03C46" w:rsidRDefault="00BD37FC">
            <w:pPr>
              <w:spacing w:before="20" w:after="20"/>
              <w:jc w:val="right"/>
              <w:rPr>
                <w:noProof/>
                <w:sz w:val="20"/>
              </w:rPr>
            </w:pPr>
            <w:r>
              <w:rPr>
                <w:noProof/>
                <w:sz w:val="20"/>
              </w:rPr>
              <w:t>0,143</w:t>
            </w:r>
          </w:p>
        </w:tc>
        <w:tc>
          <w:tcPr>
            <w:tcW w:w="709" w:type="dxa"/>
          </w:tcPr>
          <w:p w:rsidR="00D03C46" w:rsidRDefault="00D03C46">
            <w:pPr>
              <w:spacing w:before="20" w:after="20"/>
              <w:jc w:val="right"/>
              <w:rPr>
                <w:noProof/>
                <w:sz w:val="20"/>
              </w:rPr>
            </w:pPr>
          </w:p>
        </w:tc>
        <w:tc>
          <w:tcPr>
            <w:tcW w:w="897" w:type="dxa"/>
          </w:tcPr>
          <w:p w:rsidR="00D03C46" w:rsidRDefault="00D03C46">
            <w:pPr>
              <w:spacing w:before="20" w:after="20"/>
              <w:jc w:val="right"/>
              <w:rPr>
                <w:noProof/>
                <w:sz w:val="20"/>
              </w:rPr>
            </w:pPr>
          </w:p>
        </w:tc>
        <w:tc>
          <w:tcPr>
            <w:tcW w:w="898" w:type="dxa"/>
          </w:tcPr>
          <w:p w:rsidR="00D03C46" w:rsidRDefault="00D03C46">
            <w:pPr>
              <w:spacing w:before="20" w:after="20"/>
              <w:jc w:val="right"/>
              <w:rPr>
                <w:noProof/>
                <w:sz w:val="20"/>
              </w:rPr>
            </w:pPr>
          </w:p>
        </w:tc>
        <w:tc>
          <w:tcPr>
            <w:tcW w:w="898" w:type="dxa"/>
          </w:tcPr>
          <w:p w:rsidR="00D03C46" w:rsidRDefault="00D03C46">
            <w:pPr>
              <w:spacing w:before="20" w:after="20"/>
              <w:jc w:val="right"/>
              <w:rPr>
                <w:noProof/>
                <w:sz w:val="20"/>
              </w:rPr>
            </w:pPr>
          </w:p>
        </w:tc>
        <w:tc>
          <w:tcPr>
            <w:tcW w:w="2693" w:type="dxa"/>
            <w:vAlign w:val="center"/>
          </w:tcPr>
          <w:p w:rsidR="00D03C46" w:rsidRDefault="00BD37FC">
            <w:pPr>
              <w:spacing w:before="20" w:after="20"/>
              <w:jc w:val="center"/>
              <w:rPr>
                <w:b/>
                <w:noProof/>
                <w:sz w:val="20"/>
              </w:rPr>
            </w:pPr>
            <w:r>
              <w:rPr>
                <w:b/>
                <w:noProof/>
                <w:sz w:val="20"/>
              </w:rPr>
              <w:t>0,286</w:t>
            </w:r>
          </w:p>
        </w:tc>
      </w:tr>
      <w:tr w:rsidR="00D03C46">
        <w:trPr>
          <w:trHeight w:val="351"/>
        </w:trPr>
        <w:tc>
          <w:tcPr>
            <w:tcW w:w="6030" w:type="dxa"/>
            <w:gridSpan w:val="2"/>
            <w:vAlign w:val="center"/>
          </w:tcPr>
          <w:p w:rsidR="00D03C46" w:rsidRDefault="00BD37FC">
            <w:pPr>
              <w:spacing w:before="20" w:after="20"/>
              <w:rPr>
                <w:noProof/>
                <w:sz w:val="22"/>
              </w:rPr>
            </w:pPr>
            <w:r>
              <w:rPr>
                <w:noProof/>
                <w:sz w:val="22"/>
              </w:rPr>
              <w:sym w:font="Wingdings" w:char="F09F"/>
            </w:r>
            <w:r>
              <w:rPr>
                <w:noProof/>
                <w:sz w:val="22"/>
              </w:rPr>
              <w:t xml:space="preserve"> Muut hallintomenot</w:t>
            </w:r>
          </w:p>
        </w:tc>
        <w:tc>
          <w:tcPr>
            <w:tcW w:w="851" w:type="dxa"/>
            <w:vAlign w:val="center"/>
          </w:tcPr>
          <w:p w:rsidR="00D03C46" w:rsidRDefault="00D03C46">
            <w:pPr>
              <w:spacing w:before="20" w:after="20"/>
              <w:jc w:val="right"/>
              <w:rPr>
                <w:noProof/>
                <w:sz w:val="20"/>
              </w:rPr>
            </w:pPr>
          </w:p>
        </w:tc>
        <w:tc>
          <w:tcPr>
            <w:tcW w:w="992" w:type="dxa"/>
            <w:vAlign w:val="center"/>
          </w:tcPr>
          <w:p w:rsidR="00D03C46" w:rsidRDefault="00D03C46">
            <w:pPr>
              <w:spacing w:before="20" w:after="20"/>
              <w:jc w:val="right"/>
              <w:rPr>
                <w:b/>
                <w:noProof/>
                <w:sz w:val="20"/>
              </w:rPr>
            </w:pPr>
          </w:p>
        </w:tc>
        <w:tc>
          <w:tcPr>
            <w:tcW w:w="709" w:type="dxa"/>
          </w:tcPr>
          <w:p w:rsidR="00D03C46" w:rsidRDefault="00D03C46">
            <w:pPr>
              <w:spacing w:before="20" w:after="20"/>
              <w:jc w:val="right"/>
              <w:rPr>
                <w:noProof/>
                <w:sz w:val="20"/>
              </w:rPr>
            </w:pPr>
          </w:p>
        </w:tc>
        <w:tc>
          <w:tcPr>
            <w:tcW w:w="897" w:type="dxa"/>
          </w:tcPr>
          <w:p w:rsidR="00D03C46" w:rsidRDefault="00D03C46">
            <w:pPr>
              <w:spacing w:before="20" w:after="20"/>
              <w:jc w:val="right"/>
              <w:rPr>
                <w:b/>
                <w:noProof/>
                <w:sz w:val="20"/>
              </w:rPr>
            </w:pPr>
          </w:p>
        </w:tc>
        <w:tc>
          <w:tcPr>
            <w:tcW w:w="898" w:type="dxa"/>
          </w:tcPr>
          <w:p w:rsidR="00D03C46" w:rsidRDefault="00D03C46">
            <w:pPr>
              <w:spacing w:before="20" w:after="20"/>
              <w:jc w:val="right"/>
              <w:rPr>
                <w:b/>
                <w:noProof/>
                <w:sz w:val="20"/>
              </w:rPr>
            </w:pPr>
          </w:p>
        </w:tc>
        <w:tc>
          <w:tcPr>
            <w:tcW w:w="898" w:type="dxa"/>
          </w:tcPr>
          <w:p w:rsidR="00D03C46" w:rsidRDefault="00D03C46">
            <w:pPr>
              <w:spacing w:before="20" w:after="20"/>
              <w:jc w:val="right"/>
              <w:rPr>
                <w:b/>
                <w:noProof/>
                <w:sz w:val="20"/>
              </w:rPr>
            </w:pPr>
          </w:p>
        </w:tc>
        <w:tc>
          <w:tcPr>
            <w:tcW w:w="2693" w:type="dxa"/>
            <w:vAlign w:val="center"/>
          </w:tcPr>
          <w:p w:rsidR="00D03C46" w:rsidRDefault="00D03C46">
            <w:pPr>
              <w:spacing w:before="20" w:after="20"/>
              <w:jc w:val="center"/>
              <w:rPr>
                <w:b/>
                <w:noProof/>
                <w:sz w:val="20"/>
              </w:rPr>
            </w:pPr>
          </w:p>
        </w:tc>
      </w:tr>
      <w:tr w:rsidR="00D03C46">
        <w:tc>
          <w:tcPr>
            <w:tcW w:w="3960" w:type="dxa"/>
            <w:vAlign w:val="center"/>
          </w:tcPr>
          <w:p w:rsidR="00D03C46" w:rsidRDefault="00BD37FC">
            <w:pPr>
              <w:jc w:val="center"/>
              <w:rPr>
                <w:b/>
                <w:noProof/>
                <w:sz w:val="22"/>
              </w:rPr>
            </w:pPr>
            <w:r>
              <w:rPr>
                <w:noProof/>
                <w:sz w:val="22"/>
              </w:rPr>
              <w:t>Oikeus- ja kuluttaja-asioiden pääosasto</w:t>
            </w:r>
            <w:r>
              <w:rPr>
                <w:b/>
                <w:noProof/>
                <w:sz w:val="22"/>
              </w:rPr>
              <w:t xml:space="preserve"> YHTEENSÄ</w:t>
            </w:r>
            <w:r>
              <w:rPr>
                <w:noProof/>
                <w:sz w:val="22"/>
              </w:rPr>
              <w:t xml:space="preserve"> </w:t>
            </w:r>
          </w:p>
        </w:tc>
        <w:tc>
          <w:tcPr>
            <w:tcW w:w="2070" w:type="dxa"/>
            <w:vAlign w:val="center"/>
          </w:tcPr>
          <w:p w:rsidR="00D03C46" w:rsidRDefault="00D03C46">
            <w:pPr>
              <w:rPr>
                <w:noProof/>
                <w:sz w:val="14"/>
              </w:rPr>
            </w:pPr>
          </w:p>
        </w:tc>
        <w:tc>
          <w:tcPr>
            <w:tcW w:w="851" w:type="dxa"/>
            <w:vAlign w:val="center"/>
          </w:tcPr>
          <w:p w:rsidR="00D03C46" w:rsidRDefault="00BD37FC">
            <w:pPr>
              <w:spacing w:before="60" w:after="60"/>
              <w:jc w:val="right"/>
              <w:rPr>
                <w:b/>
                <w:noProof/>
                <w:sz w:val="20"/>
              </w:rPr>
            </w:pPr>
            <w:r>
              <w:rPr>
                <w:b/>
                <w:noProof/>
                <w:sz w:val="20"/>
              </w:rPr>
              <w:t>0,143</w:t>
            </w:r>
          </w:p>
        </w:tc>
        <w:tc>
          <w:tcPr>
            <w:tcW w:w="992" w:type="dxa"/>
            <w:vAlign w:val="center"/>
          </w:tcPr>
          <w:p w:rsidR="00D03C46" w:rsidRDefault="00BD37FC">
            <w:pPr>
              <w:spacing w:before="60" w:after="60"/>
              <w:jc w:val="right"/>
              <w:rPr>
                <w:b/>
                <w:noProof/>
                <w:sz w:val="20"/>
              </w:rPr>
            </w:pPr>
            <w:r>
              <w:rPr>
                <w:b/>
                <w:noProof/>
                <w:sz w:val="20"/>
              </w:rPr>
              <w:t>0,143</w:t>
            </w:r>
          </w:p>
        </w:tc>
        <w:tc>
          <w:tcPr>
            <w:tcW w:w="709" w:type="dxa"/>
            <w:vAlign w:val="center"/>
          </w:tcPr>
          <w:p w:rsidR="00D03C46" w:rsidRDefault="00D03C46">
            <w:pPr>
              <w:spacing w:before="20" w:after="20"/>
              <w:jc w:val="right"/>
              <w:rPr>
                <w:noProof/>
                <w:sz w:val="20"/>
              </w:rPr>
            </w:pPr>
          </w:p>
        </w:tc>
        <w:tc>
          <w:tcPr>
            <w:tcW w:w="897" w:type="dxa"/>
          </w:tcPr>
          <w:p w:rsidR="00D03C46" w:rsidRDefault="00D03C46">
            <w:pPr>
              <w:spacing w:before="20" w:after="20"/>
              <w:jc w:val="right"/>
              <w:rPr>
                <w:noProof/>
                <w:sz w:val="20"/>
              </w:rPr>
            </w:pPr>
          </w:p>
        </w:tc>
        <w:tc>
          <w:tcPr>
            <w:tcW w:w="898" w:type="dxa"/>
          </w:tcPr>
          <w:p w:rsidR="00D03C46" w:rsidRDefault="00D03C46">
            <w:pPr>
              <w:spacing w:before="20" w:after="20"/>
              <w:jc w:val="right"/>
              <w:rPr>
                <w:noProof/>
                <w:sz w:val="20"/>
              </w:rPr>
            </w:pPr>
          </w:p>
        </w:tc>
        <w:tc>
          <w:tcPr>
            <w:tcW w:w="898" w:type="dxa"/>
          </w:tcPr>
          <w:p w:rsidR="00D03C46" w:rsidRDefault="00D03C46">
            <w:pPr>
              <w:spacing w:before="20" w:after="20"/>
              <w:jc w:val="right"/>
              <w:rPr>
                <w:noProof/>
                <w:sz w:val="20"/>
              </w:rPr>
            </w:pPr>
          </w:p>
        </w:tc>
        <w:tc>
          <w:tcPr>
            <w:tcW w:w="2693" w:type="dxa"/>
            <w:vAlign w:val="center"/>
          </w:tcPr>
          <w:p w:rsidR="00D03C46" w:rsidRDefault="00BD37FC">
            <w:pPr>
              <w:spacing w:before="20" w:after="20"/>
              <w:jc w:val="center"/>
              <w:rPr>
                <w:noProof/>
                <w:sz w:val="20"/>
              </w:rPr>
            </w:pPr>
            <w:r>
              <w:rPr>
                <w:b/>
                <w:noProof/>
                <w:sz w:val="20"/>
              </w:rPr>
              <w:t>0,286</w:t>
            </w:r>
          </w:p>
        </w:tc>
      </w:tr>
    </w:tbl>
    <w:p w:rsidR="00D03C46" w:rsidRDefault="00D03C4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27"/>
        <w:gridCol w:w="992"/>
        <w:gridCol w:w="785"/>
        <w:gridCol w:w="868"/>
        <w:gridCol w:w="868"/>
        <w:gridCol w:w="881"/>
        <w:gridCol w:w="2693"/>
      </w:tblGrid>
      <w:tr w:rsidR="00D03C46">
        <w:tc>
          <w:tcPr>
            <w:tcW w:w="3960" w:type="dxa"/>
            <w:shd w:val="thinDiagStripe" w:color="C0C0C0" w:fill="auto"/>
            <w:vAlign w:val="center"/>
          </w:tcPr>
          <w:p w:rsidR="00D03C46" w:rsidRDefault="00BD37FC">
            <w:pPr>
              <w:jc w:val="center"/>
              <w:rPr>
                <w:b/>
                <w:noProof/>
                <w:sz w:val="22"/>
              </w:rPr>
            </w:pPr>
            <w:r>
              <w:rPr>
                <w:noProof/>
              </w:rPr>
              <w:t>Monivuotisen rahoituskehyksen</w:t>
            </w:r>
            <w:r>
              <w:rPr>
                <w:b/>
                <w:noProof/>
                <w:sz w:val="22"/>
              </w:rPr>
              <w:t xml:space="preserve"> OTSAKKEESEEN 5 kuuluvat</w:t>
            </w:r>
            <w:r>
              <w:rPr>
                <w:noProof/>
              </w:rPr>
              <w:t xml:space="preserve"> </w:t>
            </w:r>
            <w:r>
              <w:rPr>
                <w:b/>
                <w:noProof/>
                <w:sz w:val="22"/>
              </w:rPr>
              <w:t xml:space="preserve">määrärahat YHTEENSÄ </w:t>
            </w:r>
          </w:p>
        </w:tc>
        <w:tc>
          <w:tcPr>
            <w:tcW w:w="2094" w:type="dxa"/>
            <w:vAlign w:val="center"/>
          </w:tcPr>
          <w:p w:rsidR="00D03C46" w:rsidRDefault="00BD37FC">
            <w:pPr>
              <w:spacing w:before="40" w:after="40"/>
              <w:rPr>
                <w:noProof/>
                <w:sz w:val="22"/>
              </w:rPr>
            </w:pPr>
            <w:r>
              <w:rPr>
                <w:noProof/>
                <w:sz w:val="18"/>
              </w:rPr>
              <w:t>(Sitoumukset yhteensä = maksut yhteensä)</w:t>
            </w:r>
          </w:p>
        </w:tc>
        <w:tc>
          <w:tcPr>
            <w:tcW w:w="827" w:type="dxa"/>
            <w:vAlign w:val="center"/>
          </w:tcPr>
          <w:p w:rsidR="00D03C46" w:rsidRDefault="00BD37FC">
            <w:pPr>
              <w:spacing w:before="20" w:after="20"/>
              <w:jc w:val="right"/>
              <w:rPr>
                <w:b/>
                <w:noProof/>
                <w:sz w:val="20"/>
              </w:rPr>
            </w:pPr>
            <w:r>
              <w:rPr>
                <w:b/>
                <w:noProof/>
                <w:sz w:val="20"/>
              </w:rPr>
              <w:t>0,143</w:t>
            </w:r>
          </w:p>
        </w:tc>
        <w:tc>
          <w:tcPr>
            <w:tcW w:w="992" w:type="dxa"/>
            <w:vAlign w:val="center"/>
          </w:tcPr>
          <w:p w:rsidR="00D03C46" w:rsidRDefault="00BD37FC">
            <w:pPr>
              <w:spacing w:before="20" w:after="20"/>
              <w:jc w:val="right"/>
              <w:rPr>
                <w:b/>
                <w:noProof/>
                <w:sz w:val="20"/>
              </w:rPr>
            </w:pPr>
            <w:r>
              <w:rPr>
                <w:b/>
                <w:noProof/>
                <w:sz w:val="20"/>
              </w:rPr>
              <w:t>0,143</w:t>
            </w:r>
          </w:p>
        </w:tc>
        <w:tc>
          <w:tcPr>
            <w:tcW w:w="785" w:type="dxa"/>
            <w:vAlign w:val="center"/>
          </w:tcPr>
          <w:p w:rsidR="00D03C46" w:rsidRDefault="00D03C46">
            <w:pPr>
              <w:spacing w:before="20" w:after="20"/>
              <w:jc w:val="right"/>
              <w:rPr>
                <w:noProof/>
                <w:sz w:val="20"/>
              </w:rPr>
            </w:pPr>
          </w:p>
        </w:tc>
        <w:tc>
          <w:tcPr>
            <w:tcW w:w="868" w:type="dxa"/>
          </w:tcPr>
          <w:p w:rsidR="00D03C46" w:rsidRDefault="00D03C46">
            <w:pPr>
              <w:spacing w:before="20" w:after="20"/>
              <w:jc w:val="right"/>
              <w:rPr>
                <w:noProof/>
                <w:sz w:val="20"/>
              </w:rPr>
            </w:pPr>
          </w:p>
        </w:tc>
        <w:tc>
          <w:tcPr>
            <w:tcW w:w="868" w:type="dxa"/>
          </w:tcPr>
          <w:p w:rsidR="00D03C46" w:rsidRDefault="00D03C46">
            <w:pPr>
              <w:spacing w:before="20" w:after="20"/>
              <w:jc w:val="right"/>
              <w:rPr>
                <w:b/>
                <w:noProof/>
                <w:sz w:val="20"/>
              </w:rPr>
            </w:pPr>
          </w:p>
        </w:tc>
        <w:tc>
          <w:tcPr>
            <w:tcW w:w="881" w:type="dxa"/>
          </w:tcPr>
          <w:p w:rsidR="00D03C46" w:rsidRDefault="00D03C46">
            <w:pPr>
              <w:spacing w:before="20" w:after="20"/>
              <w:jc w:val="right"/>
              <w:rPr>
                <w:b/>
                <w:noProof/>
                <w:sz w:val="20"/>
              </w:rPr>
            </w:pPr>
          </w:p>
        </w:tc>
        <w:tc>
          <w:tcPr>
            <w:tcW w:w="2693" w:type="dxa"/>
            <w:vAlign w:val="center"/>
          </w:tcPr>
          <w:p w:rsidR="00D03C46" w:rsidRDefault="00BD37FC">
            <w:pPr>
              <w:spacing w:before="20" w:after="20"/>
              <w:jc w:val="center"/>
              <w:rPr>
                <w:b/>
                <w:noProof/>
                <w:sz w:val="20"/>
              </w:rPr>
            </w:pPr>
            <w:r>
              <w:rPr>
                <w:b/>
                <w:noProof/>
                <w:sz w:val="20"/>
              </w:rPr>
              <w:t>0,286</w:t>
            </w:r>
          </w:p>
        </w:tc>
      </w:tr>
    </w:tbl>
    <w:p w:rsidR="00D03C46" w:rsidRDefault="00BD37FC">
      <w:pPr>
        <w:jc w:val="right"/>
        <w:rPr>
          <w:noProof/>
          <w:sz w:val="20"/>
        </w:rPr>
      </w:pPr>
      <w:r>
        <w:rPr>
          <w:noProof/>
          <w:sz w:val="20"/>
        </w:rPr>
        <w:t xml:space="preserve">milj. euroa (kolmen desimaalin </w:t>
      </w:r>
      <w:r>
        <w:rPr>
          <w:noProof/>
          <w:sz w:val="20"/>
        </w:rPr>
        <w:t>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rsidR="00D03C46">
        <w:tc>
          <w:tcPr>
            <w:tcW w:w="3960" w:type="dxa"/>
            <w:tcBorders>
              <w:top w:val="nil"/>
              <w:left w:val="nil"/>
              <w:right w:val="nil"/>
            </w:tcBorders>
            <w:vAlign w:val="center"/>
          </w:tcPr>
          <w:p w:rsidR="00D03C46" w:rsidRDefault="00D03C46">
            <w:pPr>
              <w:jc w:val="center"/>
              <w:rPr>
                <w:noProof/>
                <w:sz w:val="22"/>
              </w:rPr>
            </w:pPr>
          </w:p>
        </w:tc>
        <w:tc>
          <w:tcPr>
            <w:tcW w:w="1560" w:type="dxa"/>
            <w:tcBorders>
              <w:top w:val="nil"/>
              <w:left w:val="nil"/>
              <w:right w:val="nil"/>
            </w:tcBorders>
          </w:tcPr>
          <w:p w:rsidR="00D03C46" w:rsidRDefault="00D03C46">
            <w:pPr>
              <w:rPr>
                <w:noProof/>
                <w:sz w:val="20"/>
              </w:rPr>
            </w:pPr>
          </w:p>
        </w:tc>
        <w:tc>
          <w:tcPr>
            <w:tcW w:w="534" w:type="dxa"/>
            <w:tcBorders>
              <w:top w:val="nil"/>
              <w:left w:val="nil"/>
            </w:tcBorders>
          </w:tcPr>
          <w:p w:rsidR="00D03C46" w:rsidRDefault="00D03C46">
            <w:pPr>
              <w:jc w:val="center"/>
              <w:rPr>
                <w:noProof/>
                <w:sz w:val="20"/>
              </w:rPr>
            </w:pP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2019</w:t>
            </w: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2020</w:t>
            </w:r>
          </w:p>
        </w:tc>
        <w:tc>
          <w:tcPr>
            <w:tcW w:w="868" w:type="dxa"/>
            <w:vAlign w:val="center"/>
          </w:tcPr>
          <w:p w:rsidR="00D03C46" w:rsidRDefault="00BD37FC">
            <w:pPr>
              <w:jc w:val="center"/>
              <w:rPr>
                <w:noProof/>
                <w:sz w:val="18"/>
              </w:rPr>
            </w:pPr>
            <w:r>
              <w:rPr>
                <w:noProof/>
                <w:sz w:val="20"/>
              </w:rPr>
              <w:t xml:space="preserve"> Vuosi</w:t>
            </w:r>
            <w:r>
              <w:rPr>
                <w:noProof/>
                <w:sz w:val="22"/>
              </w:rPr>
              <w:br/>
            </w:r>
            <w:r>
              <w:rPr>
                <w:b/>
                <w:noProof/>
                <w:sz w:val="20"/>
              </w:rPr>
              <w:t>2021</w:t>
            </w:r>
          </w:p>
        </w:tc>
        <w:tc>
          <w:tcPr>
            <w:tcW w:w="868" w:type="dxa"/>
            <w:vAlign w:val="center"/>
          </w:tcPr>
          <w:p w:rsidR="00D03C46" w:rsidRDefault="00BD37FC">
            <w:pPr>
              <w:jc w:val="center"/>
              <w:rPr>
                <w:noProof/>
                <w:sz w:val="20"/>
              </w:rPr>
            </w:pPr>
            <w:r>
              <w:rPr>
                <w:noProof/>
                <w:sz w:val="20"/>
              </w:rPr>
              <w:t>Vuosi</w:t>
            </w:r>
            <w:r>
              <w:rPr>
                <w:noProof/>
                <w:sz w:val="22"/>
              </w:rPr>
              <w:br/>
            </w:r>
            <w:r>
              <w:rPr>
                <w:b/>
                <w:noProof/>
                <w:sz w:val="20"/>
              </w:rPr>
              <w:t>2022</w:t>
            </w:r>
          </w:p>
        </w:tc>
        <w:tc>
          <w:tcPr>
            <w:tcW w:w="868" w:type="dxa"/>
            <w:vAlign w:val="center"/>
          </w:tcPr>
          <w:p w:rsidR="00D03C46" w:rsidRDefault="00BD37FC">
            <w:pPr>
              <w:jc w:val="center"/>
              <w:rPr>
                <w:b/>
                <w:noProof/>
                <w:sz w:val="18"/>
              </w:rPr>
            </w:pPr>
            <w:r>
              <w:rPr>
                <w:noProof/>
                <w:sz w:val="20"/>
              </w:rPr>
              <w:t>Vuosi</w:t>
            </w:r>
            <w:r>
              <w:rPr>
                <w:noProof/>
                <w:sz w:val="22"/>
              </w:rPr>
              <w:br/>
            </w:r>
            <w:r>
              <w:rPr>
                <w:b/>
                <w:noProof/>
                <w:sz w:val="20"/>
              </w:rPr>
              <w:t>2023</w:t>
            </w:r>
          </w:p>
        </w:tc>
        <w:tc>
          <w:tcPr>
            <w:tcW w:w="881" w:type="dxa"/>
          </w:tcPr>
          <w:p w:rsidR="00D03C46" w:rsidRDefault="00BD37FC">
            <w:pPr>
              <w:jc w:val="center"/>
              <w:rPr>
                <w:noProof/>
                <w:sz w:val="20"/>
              </w:rPr>
            </w:pPr>
            <w:r>
              <w:rPr>
                <w:noProof/>
                <w:sz w:val="20"/>
              </w:rPr>
              <w:t>Vuosi</w:t>
            </w:r>
            <w:r>
              <w:rPr>
                <w:noProof/>
                <w:sz w:val="22"/>
              </w:rPr>
              <w:br/>
            </w:r>
            <w:r>
              <w:rPr>
                <w:b/>
                <w:noProof/>
                <w:sz w:val="20"/>
              </w:rPr>
              <w:t>2024</w:t>
            </w:r>
          </w:p>
        </w:tc>
        <w:tc>
          <w:tcPr>
            <w:tcW w:w="2673" w:type="dxa"/>
            <w:vAlign w:val="center"/>
          </w:tcPr>
          <w:p w:rsidR="00D03C46" w:rsidRDefault="00BD37FC">
            <w:pPr>
              <w:jc w:val="center"/>
              <w:rPr>
                <w:b/>
                <w:noProof/>
                <w:sz w:val="20"/>
              </w:rPr>
            </w:pPr>
            <w:r>
              <w:rPr>
                <w:b/>
                <w:noProof/>
                <w:sz w:val="20"/>
              </w:rPr>
              <w:t>YHTEENSÄ</w:t>
            </w:r>
          </w:p>
        </w:tc>
      </w:tr>
      <w:tr w:rsidR="00D03C46">
        <w:tc>
          <w:tcPr>
            <w:tcW w:w="3960" w:type="dxa"/>
            <w:vMerge w:val="restart"/>
            <w:shd w:val="clear" w:color="auto" w:fill="C0C0C0"/>
            <w:vAlign w:val="center"/>
          </w:tcPr>
          <w:p w:rsidR="00D03C46" w:rsidRDefault="00BD37FC">
            <w:pPr>
              <w:jc w:val="center"/>
              <w:rPr>
                <w:b/>
                <w:noProof/>
                <w:sz w:val="22"/>
              </w:rPr>
            </w:pPr>
            <w:r>
              <w:rPr>
                <w:noProof/>
              </w:rPr>
              <w:t xml:space="preserve">Monivuotisen rahoituskehyksen </w:t>
            </w:r>
            <w:r>
              <w:rPr>
                <w:b/>
                <w:noProof/>
                <w:sz w:val="22"/>
              </w:rPr>
              <w:t xml:space="preserve">OTSAKKEISIIN 1–5 kuuluvat määrärahat YHTEENSÄ </w:t>
            </w:r>
          </w:p>
        </w:tc>
        <w:tc>
          <w:tcPr>
            <w:tcW w:w="2094" w:type="dxa"/>
            <w:gridSpan w:val="2"/>
            <w:vAlign w:val="center"/>
          </w:tcPr>
          <w:p w:rsidR="00D03C46" w:rsidRDefault="00BD37FC">
            <w:pPr>
              <w:rPr>
                <w:noProof/>
                <w:sz w:val="14"/>
              </w:rPr>
            </w:pPr>
            <w:r>
              <w:rPr>
                <w:noProof/>
                <w:sz w:val="18"/>
              </w:rPr>
              <w:t>Sitoumukset</w:t>
            </w:r>
          </w:p>
        </w:tc>
        <w:tc>
          <w:tcPr>
            <w:tcW w:w="868" w:type="dxa"/>
            <w:vAlign w:val="center"/>
          </w:tcPr>
          <w:p w:rsidR="00D03C46" w:rsidRDefault="00BD37FC">
            <w:pPr>
              <w:spacing w:before="60" w:after="60"/>
              <w:jc w:val="right"/>
              <w:rPr>
                <w:b/>
                <w:noProof/>
                <w:sz w:val="20"/>
              </w:rPr>
            </w:pPr>
            <w:r>
              <w:rPr>
                <w:b/>
                <w:noProof/>
                <w:sz w:val="20"/>
              </w:rPr>
              <w:t>0,968</w:t>
            </w:r>
          </w:p>
        </w:tc>
        <w:tc>
          <w:tcPr>
            <w:tcW w:w="868" w:type="dxa"/>
            <w:vAlign w:val="center"/>
          </w:tcPr>
          <w:p w:rsidR="00D03C46" w:rsidRDefault="00BD37FC">
            <w:pPr>
              <w:spacing w:before="60" w:after="60"/>
              <w:jc w:val="right"/>
              <w:rPr>
                <w:b/>
                <w:noProof/>
                <w:sz w:val="20"/>
              </w:rPr>
            </w:pPr>
            <w:r>
              <w:rPr>
                <w:b/>
                <w:noProof/>
                <w:sz w:val="20"/>
              </w:rPr>
              <w:t>0,268</w:t>
            </w:r>
          </w:p>
        </w:tc>
        <w:tc>
          <w:tcPr>
            <w:tcW w:w="868" w:type="dxa"/>
            <w:vAlign w:val="center"/>
          </w:tcPr>
          <w:p w:rsidR="00D03C46" w:rsidRDefault="00D03C46">
            <w:pPr>
              <w:spacing w:before="60" w:after="60"/>
              <w:jc w:val="right"/>
              <w:rPr>
                <w:b/>
                <w:noProof/>
                <w:sz w:val="20"/>
              </w:rPr>
            </w:pPr>
          </w:p>
        </w:tc>
        <w:tc>
          <w:tcPr>
            <w:tcW w:w="868" w:type="dxa"/>
            <w:vAlign w:val="center"/>
          </w:tcPr>
          <w:p w:rsidR="00D03C46" w:rsidRDefault="00D03C46">
            <w:pPr>
              <w:spacing w:before="60" w:after="60"/>
              <w:jc w:val="right"/>
              <w:rPr>
                <w:noProof/>
                <w:sz w:val="20"/>
              </w:rPr>
            </w:pPr>
          </w:p>
        </w:tc>
        <w:tc>
          <w:tcPr>
            <w:tcW w:w="868" w:type="dxa"/>
            <w:vAlign w:val="center"/>
          </w:tcPr>
          <w:p w:rsidR="00D03C46" w:rsidRDefault="00D03C46">
            <w:pPr>
              <w:spacing w:before="60" w:after="60"/>
              <w:jc w:val="right"/>
              <w:rPr>
                <w:noProof/>
                <w:sz w:val="20"/>
              </w:rPr>
            </w:pPr>
          </w:p>
        </w:tc>
        <w:tc>
          <w:tcPr>
            <w:tcW w:w="881" w:type="dxa"/>
          </w:tcPr>
          <w:p w:rsidR="00D03C46" w:rsidRDefault="00D03C46">
            <w:pPr>
              <w:spacing w:before="60" w:after="60"/>
              <w:jc w:val="right"/>
              <w:rPr>
                <w:b/>
                <w:noProof/>
                <w:sz w:val="20"/>
              </w:rPr>
            </w:pPr>
          </w:p>
        </w:tc>
        <w:tc>
          <w:tcPr>
            <w:tcW w:w="2673" w:type="dxa"/>
            <w:vAlign w:val="center"/>
          </w:tcPr>
          <w:p w:rsidR="00D03C46" w:rsidRDefault="00BD37FC">
            <w:pPr>
              <w:spacing w:before="60" w:after="60"/>
              <w:jc w:val="center"/>
              <w:rPr>
                <w:b/>
                <w:noProof/>
                <w:sz w:val="20"/>
              </w:rPr>
            </w:pPr>
            <w:r>
              <w:rPr>
                <w:b/>
                <w:noProof/>
                <w:sz w:val="20"/>
              </w:rPr>
              <w:t>1,236</w:t>
            </w:r>
          </w:p>
        </w:tc>
      </w:tr>
      <w:tr w:rsidR="00D03C46">
        <w:tc>
          <w:tcPr>
            <w:tcW w:w="3960" w:type="dxa"/>
            <w:vMerge/>
            <w:shd w:val="clear" w:color="auto" w:fill="C0C0C0"/>
          </w:tcPr>
          <w:p w:rsidR="00D03C46" w:rsidRDefault="00D03C46">
            <w:pPr>
              <w:rPr>
                <w:noProof/>
                <w:sz w:val="20"/>
              </w:rPr>
            </w:pPr>
          </w:p>
        </w:tc>
        <w:tc>
          <w:tcPr>
            <w:tcW w:w="2094" w:type="dxa"/>
            <w:gridSpan w:val="2"/>
            <w:vAlign w:val="center"/>
          </w:tcPr>
          <w:p w:rsidR="00D03C46" w:rsidRDefault="00BD37FC">
            <w:pPr>
              <w:rPr>
                <w:noProof/>
                <w:sz w:val="14"/>
              </w:rPr>
            </w:pPr>
            <w:r>
              <w:rPr>
                <w:noProof/>
                <w:sz w:val="18"/>
              </w:rPr>
              <w:t>Maksut</w:t>
            </w:r>
          </w:p>
        </w:tc>
        <w:tc>
          <w:tcPr>
            <w:tcW w:w="868" w:type="dxa"/>
            <w:vAlign w:val="center"/>
          </w:tcPr>
          <w:p w:rsidR="00D03C46" w:rsidRDefault="00BD37FC">
            <w:pPr>
              <w:spacing w:before="60" w:after="60"/>
              <w:jc w:val="right"/>
              <w:rPr>
                <w:b/>
                <w:noProof/>
                <w:sz w:val="20"/>
              </w:rPr>
            </w:pPr>
            <w:r>
              <w:rPr>
                <w:b/>
                <w:noProof/>
                <w:sz w:val="20"/>
              </w:rPr>
              <w:t>0,828</w:t>
            </w:r>
          </w:p>
        </w:tc>
        <w:tc>
          <w:tcPr>
            <w:tcW w:w="868" w:type="dxa"/>
            <w:vAlign w:val="center"/>
          </w:tcPr>
          <w:p w:rsidR="00D03C46" w:rsidRDefault="00BD37FC">
            <w:pPr>
              <w:spacing w:before="60" w:after="60"/>
              <w:jc w:val="right"/>
              <w:rPr>
                <w:b/>
                <w:noProof/>
                <w:sz w:val="20"/>
              </w:rPr>
            </w:pPr>
            <w:r>
              <w:rPr>
                <w:b/>
                <w:noProof/>
                <w:sz w:val="20"/>
              </w:rPr>
              <w:t>0,268</w:t>
            </w:r>
          </w:p>
        </w:tc>
        <w:tc>
          <w:tcPr>
            <w:tcW w:w="868" w:type="dxa"/>
            <w:vAlign w:val="center"/>
          </w:tcPr>
          <w:p w:rsidR="00D03C46" w:rsidRDefault="00D03C46">
            <w:pPr>
              <w:spacing w:before="60" w:after="60"/>
              <w:jc w:val="right"/>
              <w:rPr>
                <w:b/>
                <w:noProof/>
                <w:sz w:val="20"/>
              </w:rPr>
            </w:pPr>
          </w:p>
        </w:tc>
        <w:tc>
          <w:tcPr>
            <w:tcW w:w="868" w:type="dxa"/>
            <w:vAlign w:val="center"/>
          </w:tcPr>
          <w:p w:rsidR="00D03C46" w:rsidRDefault="00D03C46">
            <w:pPr>
              <w:spacing w:before="60" w:after="60"/>
              <w:jc w:val="right"/>
              <w:rPr>
                <w:noProof/>
                <w:sz w:val="20"/>
              </w:rPr>
            </w:pPr>
          </w:p>
        </w:tc>
        <w:tc>
          <w:tcPr>
            <w:tcW w:w="868" w:type="dxa"/>
            <w:vAlign w:val="center"/>
          </w:tcPr>
          <w:p w:rsidR="00D03C46" w:rsidRDefault="00D03C46">
            <w:pPr>
              <w:spacing w:before="60" w:after="60"/>
              <w:jc w:val="right"/>
              <w:rPr>
                <w:noProof/>
                <w:sz w:val="20"/>
              </w:rPr>
            </w:pPr>
          </w:p>
        </w:tc>
        <w:tc>
          <w:tcPr>
            <w:tcW w:w="881" w:type="dxa"/>
          </w:tcPr>
          <w:p w:rsidR="00D03C46" w:rsidRDefault="00D03C46">
            <w:pPr>
              <w:spacing w:before="60" w:after="60"/>
              <w:jc w:val="right"/>
              <w:rPr>
                <w:b/>
                <w:noProof/>
                <w:sz w:val="20"/>
              </w:rPr>
            </w:pPr>
          </w:p>
        </w:tc>
        <w:tc>
          <w:tcPr>
            <w:tcW w:w="2673" w:type="dxa"/>
            <w:vAlign w:val="center"/>
          </w:tcPr>
          <w:p w:rsidR="00D03C46" w:rsidRDefault="00BD37FC">
            <w:pPr>
              <w:spacing w:before="60" w:after="60"/>
              <w:jc w:val="center"/>
              <w:rPr>
                <w:b/>
                <w:noProof/>
                <w:sz w:val="20"/>
              </w:rPr>
            </w:pPr>
            <w:r>
              <w:rPr>
                <w:b/>
                <w:noProof/>
                <w:sz w:val="20"/>
              </w:rPr>
              <w:t>1,096</w:t>
            </w:r>
          </w:p>
        </w:tc>
      </w:tr>
    </w:tbl>
    <w:p w:rsidR="00D03C46" w:rsidRDefault="00D03C46">
      <w:pPr>
        <w:rPr>
          <w:noProof/>
        </w:rPr>
        <w:sectPr w:rsidR="00D03C46" w:rsidSect="00BD37FC">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03C46" w:rsidRDefault="00BD37FC">
      <w:pPr>
        <w:pStyle w:val="ManualHeading3"/>
        <w:rPr>
          <w:noProof/>
        </w:rPr>
      </w:pPr>
      <w:r>
        <w:lastRenderedPageBreak/>
        <w:t>3.2.2.</w:t>
      </w:r>
      <w:r>
        <w:tab/>
      </w:r>
      <w:r>
        <w:rPr>
          <w:noProof/>
        </w:rPr>
        <w:t xml:space="preserve">Arvioidut vaikutukset toimintamäärärahoihin </w:t>
      </w:r>
    </w:p>
    <w:p w:rsidR="00D03C46" w:rsidRDefault="00BD37FC">
      <w:pPr>
        <w:pStyle w:val="ListDash1"/>
        <w:rPr>
          <w:noProof/>
        </w:rPr>
      </w:pPr>
      <w:r>
        <w:rPr>
          <w:noProof/>
        </w:rPr>
        <w:sym w:font="Wingdings" w:char="F0A8"/>
      </w:r>
      <w:r>
        <w:rPr>
          <w:noProof/>
        </w:rPr>
        <w:tab/>
        <w:t xml:space="preserve">Ehdotus/aloite ei edellytä toimintamäärärahoja </w:t>
      </w:r>
    </w:p>
    <w:p w:rsidR="00D03C46" w:rsidRDefault="00BD37FC">
      <w:pPr>
        <w:pStyle w:val="ListDash1"/>
        <w:rPr>
          <w:noProof/>
        </w:rPr>
      </w:pPr>
      <w:r>
        <w:rPr>
          <w:noProof/>
        </w:rPr>
        <w:t>X</w:t>
      </w:r>
      <w:r>
        <w:rPr>
          <w:noProof/>
        </w:rPr>
        <w:tab/>
        <w:t>Ehdotus/aloite edellyttää toimintamäärärahoja seuraavast</w:t>
      </w:r>
      <w:r>
        <w:rPr>
          <w:noProof/>
        </w:rPr>
        <w:t>i:</w:t>
      </w:r>
    </w:p>
    <w:p w:rsidR="00D03C46" w:rsidRDefault="00BD37FC">
      <w:pPr>
        <w:jc w:val="center"/>
        <w:rPr>
          <w:noProof/>
          <w:sz w:val="20"/>
        </w:rPr>
      </w:pPr>
      <w:r>
        <w:rPr>
          <w:noProof/>
          <w:sz w:val="20"/>
        </w:rPr>
        <w:t>Maksusitoumusmäärärahat, milj. euroa (kolmen desimaalin tarkkuudella)</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719"/>
        <w:gridCol w:w="700"/>
        <w:gridCol w:w="502"/>
        <w:gridCol w:w="721"/>
        <w:gridCol w:w="540"/>
        <w:gridCol w:w="720"/>
        <w:gridCol w:w="720"/>
        <w:gridCol w:w="720"/>
        <w:gridCol w:w="540"/>
        <w:gridCol w:w="648"/>
        <w:gridCol w:w="24"/>
        <w:gridCol w:w="408"/>
        <w:gridCol w:w="275"/>
        <w:gridCol w:w="445"/>
        <w:gridCol w:w="6"/>
        <w:gridCol w:w="534"/>
        <w:gridCol w:w="224"/>
        <w:gridCol w:w="237"/>
        <w:gridCol w:w="139"/>
        <w:gridCol w:w="840"/>
        <w:gridCol w:w="415"/>
        <w:gridCol w:w="305"/>
        <w:gridCol w:w="904"/>
        <w:gridCol w:w="237"/>
      </w:tblGrid>
      <w:tr w:rsidR="00D03C46">
        <w:trPr>
          <w:gridAfter w:val="2"/>
          <w:wAfter w:w="1141" w:type="dxa"/>
          <w:trHeight w:val="577"/>
          <w:jc w:val="center"/>
        </w:trPr>
        <w:tc>
          <w:tcPr>
            <w:tcW w:w="1421" w:type="dxa"/>
            <w:vMerge w:val="restart"/>
            <w:vAlign w:val="center"/>
          </w:tcPr>
          <w:p w:rsidR="00D03C46" w:rsidRDefault="00BD37FC">
            <w:pPr>
              <w:ind w:right="-29"/>
              <w:jc w:val="center"/>
              <w:rPr>
                <w:b/>
                <w:noProof/>
                <w:sz w:val="18"/>
                <w:szCs w:val="18"/>
              </w:rPr>
            </w:pPr>
            <w:r>
              <w:rPr>
                <w:b/>
                <w:noProof/>
                <w:sz w:val="18"/>
              </w:rPr>
              <w:t xml:space="preserve">Tavoitteet ja tuotokset </w:t>
            </w:r>
          </w:p>
          <w:p w:rsidR="00D03C46" w:rsidRDefault="00D03C46">
            <w:pPr>
              <w:ind w:right="-29"/>
              <w:jc w:val="center"/>
              <w:rPr>
                <w:b/>
                <w:noProof/>
                <w:sz w:val="18"/>
                <w:szCs w:val="18"/>
              </w:rPr>
            </w:pPr>
          </w:p>
          <w:p w:rsidR="00D03C46" w:rsidRDefault="00BD37FC">
            <w:pPr>
              <w:ind w:right="-29"/>
              <w:jc w:val="center"/>
              <w:rPr>
                <w:noProof/>
                <w:sz w:val="18"/>
                <w:szCs w:val="18"/>
              </w:rPr>
            </w:pPr>
            <w:r>
              <w:rPr>
                <w:noProof/>
                <w:sz w:val="18"/>
              </w:rPr>
              <w:sym w:font="Wingdings" w:char="F0F2"/>
            </w:r>
          </w:p>
        </w:tc>
        <w:tc>
          <w:tcPr>
            <w:tcW w:w="719" w:type="dxa"/>
            <w:vAlign w:val="center"/>
          </w:tcPr>
          <w:p w:rsidR="00D03C46" w:rsidRDefault="00D03C46">
            <w:pPr>
              <w:ind w:right="-29"/>
              <w:jc w:val="center"/>
              <w:rPr>
                <w:noProof/>
                <w:sz w:val="18"/>
                <w:szCs w:val="18"/>
              </w:rPr>
            </w:pPr>
          </w:p>
        </w:tc>
        <w:tc>
          <w:tcPr>
            <w:tcW w:w="700" w:type="dxa"/>
            <w:vAlign w:val="center"/>
          </w:tcPr>
          <w:p w:rsidR="00D03C46" w:rsidRDefault="00D03C46">
            <w:pPr>
              <w:ind w:right="-29"/>
              <w:jc w:val="center"/>
              <w:rPr>
                <w:noProof/>
                <w:sz w:val="18"/>
                <w:szCs w:val="18"/>
              </w:rPr>
            </w:pPr>
          </w:p>
        </w:tc>
        <w:tc>
          <w:tcPr>
            <w:tcW w:w="1223" w:type="dxa"/>
            <w:gridSpan w:val="2"/>
            <w:tcBorders>
              <w:left w:val="nil"/>
            </w:tcBorders>
            <w:vAlign w:val="center"/>
          </w:tcPr>
          <w:p w:rsidR="00D03C46" w:rsidRDefault="00BD37FC">
            <w:pPr>
              <w:ind w:right="-29"/>
              <w:jc w:val="center"/>
              <w:rPr>
                <w:noProof/>
                <w:sz w:val="18"/>
                <w:szCs w:val="18"/>
              </w:rPr>
            </w:pPr>
            <w:r>
              <w:rPr>
                <w:noProof/>
                <w:sz w:val="18"/>
              </w:rPr>
              <w:t>Vuosi</w:t>
            </w:r>
            <w:r>
              <w:rPr>
                <w:noProof/>
                <w:sz w:val="22"/>
              </w:rPr>
              <w:br/>
            </w:r>
            <w:r>
              <w:rPr>
                <w:b/>
                <w:noProof/>
                <w:sz w:val="18"/>
              </w:rPr>
              <w:t>2019</w:t>
            </w:r>
          </w:p>
        </w:tc>
        <w:tc>
          <w:tcPr>
            <w:tcW w:w="1260" w:type="dxa"/>
            <w:gridSpan w:val="2"/>
            <w:vAlign w:val="center"/>
          </w:tcPr>
          <w:p w:rsidR="00D03C46" w:rsidRDefault="00BD37FC">
            <w:pPr>
              <w:ind w:right="-29"/>
              <w:jc w:val="center"/>
              <w:rPr>
                <w:noProof/>
                <w:sz w:val="18"/>
                <w:szCs w:val="18"/>
              </w:rPr>
            </w:pPr>
            <w:r>
              <w:rPr>
                <w:noProof/>
                <w:sz w:val="18"/>
              </w:rPr>
              <w:t>Vuosi</w:t>
            </w:r>
            <w:r>
              <w:rPr>
                <w:noProof/>
                <w:sz w:val="22"/>
              </w:rPr>
              <w:br/>
            </w:r>
            <w:r>
              <w:rPr>
                <w:b/>
                <w:noProof/>
                <w:sz w:val="18"/>
              </w:rPr>
              <w:t>2020</w:t>
            </w:r>
          </w:p>
        </w:tc>
        <w:tc>
          <w:tcPr>
            <w:tcW w:w="1440" w:type="dxa"/>
            <w:gridSpan w:val="2"/>
            <w:vAlign w:val="center"/>
          </w:tcPr>
          <w:p w:rsidR="00D03C46" w:rsidRDefault="00BD37FC">
            <w:pPr>
              <w:ind w:right="-29"/>
              <w:jc w:val="center"/>
              <w:rPr>
                <w:noProof/>
                <w:sz w:val="18"/>
                <w:szCs w:val="18"/>
              </w:rPr>
            </w:pPr>
            <w:r>
              <w:rPr>
                <w:noProof/>
                <w:sz w:val="18"/>
              </w:rPr>
              <w:t>Vuosi</w:t>
            </w:r>
            <w:r>
              <w:rPr>
                <w:noProof/>
                <w:sz w:val="22"/>
              </w:rPr>
              <w:br/>
            </w:r>
            <w:r>
              <w:rPr>
                <w:b/>
                <w:noProof/>
                <w:sz w:val="18"/>
              </w:rPr>
              <w:t>2021</w:t>
            </w:r>
          </w:p>
        </w:tc>
        <w:tc>
          <w:tcPr>
            <w:tcW w:w="1212" w:type="dxa"/>
            <w:gridSpan w:val="3"/>
            <w:vAlign w:val="center"/>
          </w:tcPr>
          <w:p w:rsidR="00D03C46" w:rsidRDefault="00BD37FC">
            <w:pPr>
              <w:jc w:val="center"/>
              <w:rPr>
                <w:noProof/>
                <w:sz w:val="18"/>
                <w:szCs w:val="18"/>
              </w:rPr>
            </w:pPr>
            <w:r>
              <w:rPr>
                <w:noProof/>
                <w:sz w:val="18"/>
              </w:rPr>
              <w:t>Vuosi</w:t>
            </w:r>
            <w:r>
              <w:rPr>
                <w:noProof/>
                <w:sz w:val="22"/>
              </w:rPr>
              <w:br/>
            </w:r>
            <w:r>
              <w:rPr>
                <w:b/>
                <w:noProof/>
                <w:sz w:val="18"/>
              </w:rPr>
              <w:t>2022</w:t>
            </w:r>
          </w:p>
        </w:tc>
        <w:tc>
          <w:tcPr>
            <w:tcW w:w="1134" w:type="dxa"/>
            <w:gridSpan w:val="4"/>
            <w:tcBorders>
              <w:left w:val="nil"/>
              <w:bottom w:val="nil"/>
            </w:tcBorders>
            <w:vAlign w:val="center"/>
          </w:tcPr>
          <w:p w:rsidR="00D03C46" w:rsidRDefault="00BD37FC">
            <w:pPr>
              <w:ind w:right="-29"/>
              <w:jc w:val="center"/>
              <w:rPr>
                <w:noProof/>
                <w:sz w:val="18"/>
                <w:szCs w:val="18"/>
              </w:rPr>
            </w:pPr>
            <w:r>
              <w:rPr>
                <w:noProof/>
                <w:sz w:val="18"/>
              </w:rPr>
              <w:t>Vuosi</w:t>
            </w:r>
            <w:r>
              <w:rPr>
                <w:noProof/>
                <w:sz w:val="22"/>
              </w:rPr>
              <w:br/>
            </w:r>
            <w:r>
              <w:rPr>
                <w:b/>
                <w:noProof/>
                <w:sz w:val="18"/>
              </w:rPr>
              <w:t>2023</w:t>
            </w:r>
          </w:p>
        </w:tc>
        <w:tc>
          <w:tcPr>
            <w:tcW w:w="1134" w:type="dxa"/>
            <w:gridSpan w:val="4"/>
            <w:tcBorders>
              <w:left w:val="nil"/>
              <w:bottom w:val="nil"/>
            </w:tcBorders>
            <w:vAlign w:val="center"/>
          </w:tcPr>
          <w:p w:rsidR="00D03C46" w:rsidRDefault="00BD37FC">
            <w:pPr>
              <w:ind w:right="-29"/>
              <w:jc w:val="center"/>
              <w:rPr>
                <w:noProof/>
                <w:sz w:val="18"/>
                <w:szCs w:val="18"/>
              </w:rPr>
            </w:pPr>
            <w:r>
              <w:rPr>
                <w:noProof/>
                <w:sz w:val="18"/>
              </w:rPr>
              <w:t>Vuosi</w:t>
            </w:r>
            <w:r>
              <w:rPr>
                <w:noProof/>
                <w:sz w:val="22"/>
              </w:rPr>
              <w:br/>
            </w:r>
            <w:r>
              <w:rPr>
                <w:b/>
                <w:noProof/>
                <w:sz w:val="18"/>
              </w:rPr>
              <w:t>2024</w:t>
            </w:r>
          </w:p>
        </w:tc>
        <w:tc>
          <w:tcPr>
            <w:tcW w:w="1560" w:type="dxa"/>
            <w:gridSpan w:val="3"/>
            <w:tcBorders>
              <w:left w:val="nil"/>
              <w:bottom w:val="nil"/>
            </w:tcBorders>
            <w:vAlign w:val="center"/>
          </w:tcPr>
          <w:p w:rsidR="00D03C46" w:rsidRDefault="00BD37FC">
            <w:pPr>
              <w:ind w:right="-29"/>
              <w:jc w:val="center"/>
              <w:rPr>
                <w:b/>
                <w:noProof/>
                <w:sz w:val="18"/>
                <w:szCs w:val="18"/>
              </w:rPr>
            </w:pPr>
            <w:r>
              <w:rPr>
                <w:b/>
                <w:noProof/>
                <w:sz w:val="18"/>
              </w:rPr>
              <w:t>YHTEENSÄ</w:t>
            </w:r>
          </w:p>
        </w:tc>
      </w:tr>
      <w:tr w:rsidR="00D03C46">
        <w:trPr>
          <w:gridAfter w:val="2"/>
          <w:wAfter w:w="1141" w:type="dxa"/>
          <w:jc w:val="center"/>
        </w:trPr>
        <w:tc>
          <w:tcPr>
            <w:tcW w:w="1421" w:type="dxa"/>
            <w:vMerge/>
            <w:vAlign w:val="center"/>
          </w:tcPr>
          <w:p w:rsidR="00D03C46" w:rsidRDefault="00D03C46">
            <w:pPr>
              <w:ind w:right="-29"/>
              <w:jc w:val="center"/>
              <w:rPr>
                <w:noProof/>
                <w:sz w:val="18"/>
                <w:szCs w:val="18"/>
              </w:rPr>
            </w:pPr>
          </w:p>
        </w:tc>
        <w:tc>
          <w:tcPr>
            <w:tcW w:w="10382" w:type="dxa"/>
            <w:gridSpan w:val="22"/>
            <w:vAlign w:val="center"/>
          </w:tcPr>
          <w:p w:rsidR="00D03C46" w:rsidRDefault="00BD37FC">
            <w:pPr>
              <w:spacing w:before="60" w:after="60"/>
              <w:ind w:right="-29"/>
              <w:jc w:val="center"/>
              <w:rPr>
                <w:noProof/>
                <w:sz w:val="18"/>
                <w:szCs w:val="18"/>
              </w:rPr>
            </w:pPr>
            <w:r>
              <w:rPr>
                <w:b/>
                <w:noProof/>
                <w:sz w:val="18"/>
              </w:rPr>
              <w:t>TUOTOKSET</w:t>
            </w:r>
          </w:p>
        </w:tc>
      </w:tr>
      <w:tr w:rsidR="00D03C46">
        <w:trPr>
          <w:gridAfter w:val="2"/>
          <w:wAfter w:w="1141" w:type="dxa"/>
          <w:cantSplit/>
          <w:trHeight w:val="705"/>
          <w:jc w:val="center"/>
        </w:trPr>
        <w:tc>
          <w:tcPr>
            <w:tcW w:w="1421" w:type="dxa"/>
            <w:vMerge/>
            <w:vAlign w:val="center"/>
          </w:tcPr>
          <w:p w:rsidR="00D03C46" w:rsidRDefault="00D03C46">
            <w:pPr>
              <w:rPr>
                <w:noProof/>
                <w:sz w:val="18"/>
                <w:szCs w:val="18"/>
              </w:rPr>
            </w:pPr>
          </w:p>
        </w:tc>
        <w:tc>
          <w:tcPr>
            <w:tcW w:w="719" w:type="dxa"/>
            <w:vAlign w:val="center"/>
          </w:tcPr>
          <w:p w:rsidR="00D03C46" w:rsidRDefault="00BD37FC">
            <w:pPr>
              <w:jc w:val="center"/>
              <w:rPr>
                <w:noProof/>
                <w:sz w:val="18"/>
                <w:szCs w:val="18"/>
              </w:rPr>
            </w:pPr>
            <w:r>
              <w:rPr>
                <w:noProof/>
                <w:sz w:val="18"/>
              </w:rPr>
              <w:t>Tyyp-pi</w:t>
            </w:r>
          </w:p>
          <w:p w:rsidR="00D03C46" w:rsidRDefault="00D03C46">
            <w:pPr>
              <w:spacing w:before="0" w:after="0"/>
              <w:jc w:val="center"/>
              <w:rPr>
                <w:noProof/>
                <w:sz w:val="18"/>
                <w:szCs w:val="18"/>
              </w:rPr>
            </w:pPr>
          </w:p>
        </w:tc>
        <w:tc>
          <w:tcPr>
            <w:tcW w:w="700" w:type="dxa"/>
            <w:vAlign w:val="center"/>
          </w:tcPr>
          <w:p w:rsidR="00D03C46" w:rsidRDefault="00BD37FC">
            <w:pPr>
              <w:jc w:val="center"/>
              <w:rPr>
                <w:noProof/>
                <w:sz w:val="18"/>
                <w:szCs w:val="18"/>
              </w:rPr>
            </w:pPr>
            <w:r>
              <w:rPr>
                <w:noProof/>
                <w:sz w:val="18"/>
              </w:rPr>
              <w:t>Kes-kim. kus-tan-nukset</w:t>
            </w:r>
          </w:p>
        </w:tc>
        <w:tc>
          <w:tcPr>
            <w:tcW w:w="502" w:type="dxa"/>
            <w:tcBorders>
              <w:left w:val="nil"/>
              <w:right w:val="dashSmallGap" w:sz="4" w:space="0" w:color="auto"/>
            </w:tcBorders>
            <w:shd w:val="pct10" w:color="auto" w:fill="auto"/>
            <w:textDirection w:val="btLr"/>
            <w:vAlign w:val="center"/>
          </w:tcPr>
          <w:p w:rsidR="00D03C46" w:rsidRDefault="00BD37FC">
            <w:pPr>
              <w:ind w:left="113" w:right="113"/>
              <w:jc w:val="center"/>
              <w:rPr>
                <w:noProof/>
                <w:sz w:val="18"/>
                <w:szCs w:val="18"/>
              </w:rPr>
            </w:pPr>
            <w:r>
              <w:rPr>
                <w:noProof/>
                <w:sz w:val="18"/>
              </w:rPr>
              <w:t>Lkm</w:t>
            </w:r>
          </w:p>
        </w:tc>
        <w:tc>
          <w:tcPr>
            <w:tcW w:w="721" w:type="dxa"/>
            <w:tcBorders>
              <w:left w:val="dashSmallGap" w:sz="4" w:space="0" w:color="auto"/>
            </w:tcBorders>
            <w:shd w:val="pct10" w:color="auto" w:fill="auto"/>
            <w:vAlign w:val="center"/>
          </w:tcPr>
          <w:p w:rsidR="00D03C46" w:rsidRDefault="00BD37FC">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D03C46" w:rsidRDefault="00BD37FC">
            <w:pPr>
              <w:ind w:left="113" w:right="113"/>
              <w:jc w:val="center"/>
              <w:rPr>
                <w:noProof/>
                <w:sz w:val="18"/>
                <w:szCs w:val="18"/>
              </w:rPr>
            </w:pPr>
            <w:r>
              <w:rPr>
                <w:noProof/>
                <w:sz w:val="18"/>
              </w:rPr>
              <w:t>Lkm</w:t>
            </w:r>
          </w:p>
        </w:tc>
        <w:tc>
          <w:tcPr>
            <w:tcW w:w="720" w:type="dxa"/>
            <w:tcBorders>
              <w:left w:val="dashSmallGap" w:sz="4" w:space="0" w:color="auto"/>
            </w:tcBorders>
            <w:shd w:val="pct10" w:color="auto" w:fill="auto"/>
            <w:vAlign w:val="center"/>
          </w:tcPr>
          <w:p w:rsidR="00D03C46" w:rsidRDefault="00BD37FC">
            <w:pPr>
              <w:jc w:val="center"/>
              <w:rPr>
                <w:noProof/>
                <w:sz w:val="18"/>
                <w:szCs w:val="18"/>
              </w:rPr>
            </w:pPr>
            <w:r>
              <w:rPr>
                <w:noProof/>
                <w:sz w:val="18"/>
              </w:rPr>
              <w:t>Kus-tannus</w:t>
            </w:r>
          </w:p>
        </w:tc>
        <w:tc>
          <w:tcPr>
            <w:tcW w:w="720" w:type="dxa"/>
            <w:tcBorders>
              <w:right w:val="dashSmallGap" w:sz="4" w:space="0" w:color="auto"/>
            </w:tcBorders>
            <w:shd w:val="pct10" w:color="auto" w:fill="auto"/>
            <w:textDirection w:val="btLr"/>
            <w:vAlign w:val="center"/>
          </w:tcPr>
          <w:p w:rsidR="00D03C46" w:rsidRDefault="00BD37FC">
            <w:pPr>
              <w:ind w:left="113" w:right="113"/>
              <w:jc w:val="center"/>
              <w:rPr>
                <w:noProof/>
                <w:sz w:val="18"/>
                <w:szCs w:val="18"/>
              </w:rPr>
            </w:pPr>
            <w:r>
              <w:rPr>
                <w:noProof/>
                <w:sz w:val="18"/>
              </w:rPr>
              <w:t>Lkm</w:t>
            </w:r>
          </w:p>
        </w:tc>
        <w:tc>
          <w:tcPr>
            <w:tcW w:w="720" w:type="dxa"/>
            <w:tcBorders>
              <w:left w:val="dashSmallGap" w:sz="4" w:space="0" w:color="auto"/>
            </w:tcBorders>
            <w:shd w:val="pct10" w:color="auto" w:fill="auto"/>
            <w:vAlign w:val="center"/>
          </w:tcPr>
          <w:p w:rsidR="00D03C46" w:rsidRDefault="00BD37FC">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D03C46" w:rsidRDefault="00BD37FC">
            <w:pPr>
              <w:ind w:left="113" w:right="113"/>
              <w:jc w:val="center"/>
              <w:rPr>
                <w:noProof/>
                <w:sz w:val="18"/>
                <w:szCs w:val="18"/>
              </w:rPr>
            </w:pPr>
            <w:r>
              <w:rPr>
                <w:noProof/>
                <w:sz w:val="18"/>
              </w:rPr>
              <w:t>Lkm</w:t>
            </w:r>
          </w:p>
        </w:tc>
        <w:tc>
          <w:tcPr>
            <w:tcW w:w="648" w:type="dxa"/>
            <w:tcBorders>
              <w:left w:val="dashSmallGap" w:sz="4" w:space="0" w:color="auto"/>
            </w:tcBorders>
            <w:shd w:val="pct10" w:color="auto" w:fill="auto"/>
            <w:vAlign w:val="center"/>
          </w:tcPr>
          <w:p w:rsidR="00D03C46" w:rsidRDefault="00BD37FC">
            <w:pPr>
              <w:jc w:val="center"/>
              <w:rPr>
                <w:noProof/>
                <w:sz w:val="18"/>
                <w:szCs w:val="18"/>
              </w:rPr>
            </w:pPr>
            <w:r>
              <w:rPr>
                <w:noProof/>
                <w:sz w:val="18"/>
              </w:rPr>
              <w:t>Kus-tan-nus</w:t>
            </w:r>
          </w:p>
        </w:tc>
        <w:tc>
          <w:tcPr>
            <w:tcW w:w="432" w:type="dxa"/>
            <w:gridSpan w:val="2"/>
            <w:tcBorders>
              <w:right w:val="dashSmallGap" w:sz="4" w:space="0" w:color="auto"/>
            </w:tcBorders>
            <w:shd w:val="pct10" w:color="auto" w:fill="auto"/>
            <w:textDirection w:val="btLr"/>
            <w:vAlign w:val="center"/>
          </w:tcPr>
          <w:p w:rsidR="00D03C46" w:rsidRDefault="00BD37FC">
            <w:pPr>
              <w:ind w:left="113" w:right="113"/>
              <w:jc w:val="center"/>
              <w:rPr>
                <w:noProof/>
                <w:sz w:val="18"/>
                <w:szCs w:val="18"/>
              </w:rPr>
            </w:pPr>
            <w:r>
              <w:rPr>
                <w:noProof/>
                <w:sz w:val="18"/>
              </w:rPr>
              <w:t>Lkm</w:t>
            </w:r>
          </w:p>
        </w:tc>
        <w:tc>
          <w:tcPr>
            <w:tcW w:w="720" w:type="dxa"/>
            <w:gridSpan w:val="2"/>
            <w:tcBorders>
              <w:left w:val="dashSmallGap" w:sz="4" w:space="0" w:color="auto"/>
            </w:tcBorders>
            <w:shd w:val="pct10" w:color="auto" w:fill="auto"/>
            <w:vAlign w:val="center"/>
          </w:tcPr>
          <w:p w:rsidR="00D03C46" w:rsidRDefault="00BD37FC">
            <w:pPr>
              <w:jc w:val="center"/>
              <w:rPr>
                <w:noProof/>
                <w:sz w:val="18"/>
                <w:szCs w:val="18"/>
              </w:rPr>
            </w:pPr>
            <w:r>
              <w:rPr>
                <w:noProof/>
                <w:sz w:val="18"/>
              </w:rPr>
              <w:t>Kus-tannus</w:t>
            </w:r>
          </w:p>
        </w:tc>
        <w:tc>
          <w:tcPr>
            <w:tcW w:w="540" w:type="dxa"/>
            <w:gridSpan w:val="2"/>
            <w:tcBorders>
              <w:right w:val="dashSmallGap" w:sz="4" w:space="0" w:color="auto"/>
            </w:tcBorders>
            <w:shd w:val="pct10" w:color="auto" w:fill="auto"/>
            <w:textDirection w:val="btLr"/>
            <w:vAlign w:val="center"/>
          </w:tcPr>
          <w:p w:rsidR="00D03C46" w:rsidRDefault="00BD37FC">
            <w:pPr>
              <w:ind w:left="113" w:right="113"/>
              <w:jc w:val="center"/>
              <w:rPr>
                <w:noProof/>
                <w:sz w:val="18"/>
                <w:szCs w:val="18"/>
              </w:rPr>
            </w:pPr>
            <w:r>
              <w:rPr>
                <w:noProof/>
                <w:sz w:val="18"/>
              </w:rPr>
              <w:t>Lkm</w:t>
            </w:r>
          </w:p>
        </w:tc>
        <w:tc>
          <w:tcPr>
            <w:tcW w:w="600" w:type="dxa"/>
            <w:gridSpan w:val="3"/>
            <w:tcBorders>
              <w:left w:val="dashSmallGap" w:sz="4" w:space="0" w:color="auto"/>
            </w:tcBorders>
            <w:shd w:val="pct10" w:color="auto" w:fill="auto"/>
            <w:vAlign w:val="center"/>
          </w:tcPr>
          <w:p w:rsidR="00D03C46" w:rsidRDefault="00BD37FC">
            <w:pPr>
              <w:jc w:val="center"/>
              <w:rPr>
                <w:noProof/>
                <w:sz w:val="18"/>
                <w:szCs w:val="18"/>
              </w:rPr>
            </w:pPr>
            <w:r>
              <w:rPr>
                <w:noProof/>
                <w:sz w:val="18"/>
              </w:rPr>
              <w:t>Kus-tan-nus</w:t>
            </w:r>
          </w:p>
        </w:tc>
        <w:tc>
          <w:tcPr>
            <w:tcW w:w="840" w:type="dxa"/>
            <w:tcBorders>
              <w:right w:val="dashSmallGap" w:sz="4" w:space="0" w:color="auto"/>
            </w:tcBorders>
            <w:shd w:val="pct10" w:color="auto" w:fill="auto"/>
            <w:vAlign w:val="center"/>
          </w:tcPr>
          <w:p w:rsidR="00D03C46" w:rsidRDefault="00BD37FC">
            <w:pPr>
              <w:jc w:val="center"/>
              <w:rPr>
                <w:noProof/>
                <w:sz w:val="18"/>
                <w:szCs w:val="18"/>
              </w:rPr>
            </w:pPr>
            <w:r>
              <w:rPr>
                <w:noProof/>
                <w:sz w:val="18"/>
              </w:rPr>
              <w:t>Lkm yhteen-sä</w:t>
            </w:r>
          </w:p>
        </w:tc>
        <w:tc>
          <w:tcPr>
            <w:tcW w:w="720" w:type="dxa"/>
            <w:gridSpan w:val="2"/>
            <w:tcBorders>
              <w:left w:val="dashSmallGap" w:sz="4" w:space="0" w:color="auto"/>
            </w:tcBorders>
            <w:shd w:val="pct10" w:color="auto" w:fill="auto"/>
            <w:vAlign w:val="center"/>
          </w:tcPr>
          <w:p w:rsidR="00D03C46" w:rsidRDefault="00BD37FC">
            <w:pPr>
              <w:jc w:val="center"/>
              <w:rPr>
                <w:noProof/>
                <w:sz w:val="18"/>
                <w:szCs w:val="18"/>
              </w:rPr>
            </w:pPr>
            <w:r>
              <w:rPr>
                <w:noProof/>
                <w:sz w:val="18"/>
              </w:rPr>
              <w:t>Kus-tan-nukset yh-teensä</w:t>
            </w:r>
          </w:p>
        </w:tc>
      </w:tr>
      <w:tr w:rsidR="00D03C46">
        <w:trPr>
          <w:jc w:val="center"/>
        </w:trPr>
        <w:tc>
          <w:tcPr>
            <w:tcW w:w="2840" w:type="dxa"/>
            <w:gridSpan w:val="3"/>
            <w:vAlign w:val="center"/>
          </w:tcPr>
          <w:p w:rsidR="00D03C46" w:rsidRDefault="00BD37FC">
            <w:pPr>
              <w:spacing w:before="60" w:after="60"/>
              <w:ind w:right="-29"/>
              <w:jc w:val="center"/>
              <w:rPr>
                <w:noProof/>
                <w:sz w:val="18"/>
                <w:szCs w:val="18"/>
              </w:rPr>
            </w:pPr>
            <w:r>
              <w:rPr>
                <w:noProof/>
                <w:sz w:val="18"/>
              </w:rPr>
              <w:t xml:space="preserve">ERITYISTAVOITE 1 </w:t>
            </w:r>
          </w:p>
        </w:tc>
        <w:tc>
          <w:tcPr>
            <w:tcW w:w="8658" w:type="dxa"/>
            <w:gridSpan w:val="19"/>
            <w:tcBorders>
              <w:top w:val="nil"/>
              <w:left w:val="nil"/>
              <w:bottom w:val="nil"/>
              <w:right w:val="nil"/>
            </w:tcBorders>
          </w:tcPr>
          <w:p w:rsidR="00D03C46" w:rsidRDefault="00BD37FC">
            <w:pPr>
              <w:spacing w:before="60" w:after="60"/>
              <w:ind w:right="-28"/>
              <w:jc w:val="left"/>
              <w:rPr>
                <w:noProof/>
                <w:sz w:val="18"/>
                <w:szCs w:val="18"/>
              </w:rPr>
            </w:pPr>
            <w:r>
              <w:rPr>
                <w:noProof/>
                <w:sz w:val="18"/>
              </w:rPr>
              <w:t>Jatkaa koulutus- ja yhteistyötoimenpiteitä ja laajentaa niitä suurempaan määrään oikeutettuja yksiköitä kaikkialta u</w:t>
            </w:r>
            <w:r>
              <w:rPr>
                <w:noProof/>
                <w:sz w:val="18"/>
              </w:rPr>
              <w:t>nionin alueelta, tavoitteena lisätä sellaisten edustajakanteiden hyödyntämistä, joilla puututaan rajat ylittäviin rikkomisiin</w:t>
            </w:r>
          </w:p>
        </w:tc>
        <w:tc>
          <w:tcPr>
            <w:tcW w:w="1209" w:type="dxa"/>
            <w:gridSpan w:val="2"/>
            <w:tcBorders>
              <w:top w:val="nil"/>
              <w:left w:val="nil"/>
              <w:bottom w:val="nil"/>
              <w:right w:val="nil"/>
            </w:tcBorders>
          </w:tcPr>
          <w:p w:rsidR="00D03C46" w:rsidRDefault="00D03C46">
            <w:pPr>
              <w:spacing w:before="60" w:after="60"/>
              <w:ind w:right="-29"/>
              <w:jc w:val="center"/>
              <w:rPr>
                <w:noProof/>
                <w:sz w:val="18"/>
                <w:szCs w:val="18"/>
              </w:rPr>
            </w:pPr>
          </w:p>
        </w:tc>
        <w:tc>
          <w:tcPr>
            <w:tcW w:w="237" w:type="dxa"/>
            <w:tcBorders>
              <w:top w:val="nil"/>
              <w:left w:val="nil"/>
              <w:bottom w:val="nil"/>
              <w:right w:val="nil"/>
            </w:tcBorders>
          </w:tcPr>
          <w:p w:rsidR="00D03C46" w:rsidRDefault="00D03C46">
            <w:pPr>
              <w:spacing w:before="60" w:after="60"/>
              <w:ind w:right="-29"/>
              <w:jc w:val="center"/>
              <w:rPr>
                <w:noProof/>
                <w:sz w:val="18"/>
                <w:szCs w:val="18"/>
              </w:rPr>
            </w:pPr>
          </w:p>
        </w:tc>
      </w:tr>
      <w:tr w:rsidR="00D03C46">
        <w:trPr>
          <w:gridAfter w:val="2"/>
          <w:wAfter w:w="1141" w:type="dxa"/>
          <w:trHeight w:hRule="exact" w:val="2006"/>
          <w:jc w:val="center"/>
        </w:trPr>
        <w:tc>
          <w:tcPr>
            <w:tcW w:w="1421" w:type="dxa"/>
          </w:tcPr>
          <w:p w:rsidR="00D03C46" w:rsidRDefault="00BD37FC">
            <w:pPr>
              <w:ind w:right="-29"/>
              <w:jc w:val="center"/>
              <w:rPr>
                <w:noProof/>
                <w:sz w:val="18"/>
                <w:szCs w:val="18"/>
              </w:rPr>
            </w:pPr>
            <w:r>
              <w:rPr>
                <w:noProof/>
                <w:sz w:val="18"/>
              </w:rPr>
              <w:t xml:space="preserve">–Tuotos – Keskinäinen oppiminen ja yhteistyö (tapahtumat, sähköinen tiedonvaihto-foorumi, etäviestintävälineet) </w:t>
            </w:r>
          </w:p>
        </w:tc>
        <w:tc>
          <w:tcPr>
            <w:tcW w:w="719" w:type="dxa"/>
          </w:tcPr>
          <w:p w:rsidR="00D03C46" w:rsidRDefault="00D03C46">
            <w:pPr>
              <w:ind w:right="-29"/>
              <w:jc w:val="center"/>
              <w:rPr>
                <w:noProof/>
                <w:sz w:val="18"/>
                <w:szCs w:val="18"/>
              </w:rPr>
            </w:pPr>
          </w:p>
        </w:tc>
        <w:tc>
          <w:tcPr>
            <w:tcW w:w="700" w:type="dxa"/>
          </w:tcPr>
          <w:p w:rsidR="00D03C46" w:rsidRDefault="00D03C46">
            <w:pPr>
              <w:ind w:right="-29"/>
              <w:jc w:val="center"/>
              <w:rPr>
                <w:noProof/>
                <w:sz w:val="18"/>
                <w:szCs w:val="18"/>
              </w:rPr>
            </w:pPr>
          </w:p>
        </w:tc>
        <w:tc>
          <w:tcPr>
            <w:tcW w:w="502" w:type="dxa"/>
            <w:tcBorders>
              <w:right w:val="dashSmallGap" w:sz="4" w:space="0" w:color="auto"/>
            </w:tcBorders>
          </w:tcPr>
          <w:p w:rsidR="00D03C46" w:rsidRDefault="00BD37FC">
            <w:pPr>
              <w:ind w:right="-29"/>
              <w:jc w:val="center"/>
              <w:rPr>
                <w:noProof/>
                <w:sz w:val="18"/>
                <w:szCs w:val="18"/>
              </w:rPr>
            </w:pPr>
            <w:r>
              <w:rPr>
                <w:noProof/>
                <w:sz w:val="18"/>
              </w:rPr>
              <w:t>2</w:t>
            </w:r>
          </w:p>
        </w:tc>
        <w:tc>
          <w:tcPr>
            <w:tcW w:w="721" w:type="dxa"/>
            <w:tcBorders>
              <w:left w:val="dashSmallGap" w:sz="4" w:space="0" w:color="auto"/>
            </w:tcBorders>
          </w:tcPr>
          <w:p w:rsidR="00D03C46" w:rsidRDefault="00BD37FC">
            <w:pPr>
              <w:ind w:right="-29"/>
              <w:jc w:val="center"/>
              <w:rPr>
                <w:noProof/>
                <w:sz w:val="18"/>
                <w:szCs w:val="18"/>
              </w:rPr>
            </w:pPr>
            <w:r>
              <w:rPr>
                <w:noProof/>
                <w:sz w:val="18"/>
              </w:rPr>
              <w:t>0,825</w:t>
            </w:r>
          </w:p>
        </w:tc>
        <w:tc>
          <w:tcPr>
            <w:tcW w:w="540" w:type="dxa"/>
            <w:tcBorders>
              <w:right w:val="dashSmallGap" w:sz="4" w:space="0" w:color="auto"/>
            </w:tcBorders>
          </w:tcPr>
          <w:p w:rsidR="00D03C46" w:rsidRDefault="00BD37FC">
            <w:pPr>
              <w:ind w:right="-29"/>
              <w:jc w:val="center"/>
              <w:rPr>
                <w:noProof/>
                <w:sz w:val="18"/>
                <w:szCs w:val="18"/>
              </w:rPr>
            </w:pPr>
            <w:r>
              <w:rPr>
                <w:noProof/>
                <w:sz w:val="18"/>
              </w:rPr>
              <w:t>1</w:t>
            </w:r>
          </w:p>
        </w:tc>
        <w:tc>
          <w:tcPr>
            <w:tcW w:w="720" w:type="dxa"/>
            <w:tcBorders>
              <w:left w:val="dashSmallGap" w:sz="4" w:space="0" w:color="auto"/>
            </w:tcBorders>
          </w:tcPr>
          <w:p w:rsidR="00D03C46" w:rsidRDefault="00BD37FC">
            <w:pPr>
              <w:ind w:right="-29"/>
              <w:jc w:val="center"/>
              <w:rPr>
                <w:noProof/>
                <w:sz w:val="18"/>
                <w:szCs w:val="18"/>
              </w:rPr>
            </w:pPr>
            <w:r>
              <w:rPr>
                <w:noProof/>
                <w:sz w:val="18"/>
              </w:rPr>
              <w:t>0,125</w:t>
            </w:r>
          </w:p>
        </w:tc>
        <w:tc>
          <w:tcPr>
            <w:tcW w:w="720" w:type="dxa"/>
            <w:tcBorders>
              <w:right w:val="dashSmallGap" w:sz="4" w:space="0" w:color="auto"/>
            </w:tcBorders>
          </w:tcPr>
          <w:p w:rsidR="00D03C46" w:rsidRDefault="00D03C46">
            <w:pPr>
              <w:ind w:right="-29"/>
              <w:jc w:val="center"/>
              <w:rPr>
                <w:noProof/>
                <w:sz w:val="18"/>
                <w:szCs w:val="18"/>
              </w:rPr>
            </w:pPr>
          </w:p>
        </w:tc>
        <w:tc>
          <w:tcPr>
            <w:tcW w:w="720" w:type="dxa"/>
            <w:tcBorders>
              <w:left w:val="dashSmallGap" w:sz="4" w:space="0" w:color="auto"/>
            </w:tcBorders>
          </w:tcPr>
          <w:p w:rsidR="00D03C46" w:rsidRDefault="00D03C46">
            <w:pPr>
              <w:ind w:right="-29"/>
              <w:jc w:val="center"/>
              <w:rPr>
                <w:noProof/>
                <w:sz w:val="18"/>
                <w:szCs w:val="18"/>
              </w:rPr>
            </w:pPr>
          </w:p>
        </w:tc>
        <w:tc>
          <w:tcPr>
            <w:tcW w:w="540" w:type="dxa"/>
            <w:tcBorders>
              <w:right w:val="dashSmallGap" w:sz="4" w:space="0" w:color="auto"/>
            </w:tcBorders>
          </w:tcPr>
          <w:p w:rsidR="00D03C46" w:rsidRDefault="00D03C46">
            <w:pPr>
              <w:ind w:right="-29"/>
              <w:jc w:val="center"/>
              <w:rPr>
                <w:noProof/>
                <w:sz w:val="18"/>
                <w:szCs w:val="18"/>
              </w:rPr>
            </w:pPr>
          </w:p>
        </w:tc>
        <w:tc>
          <w:tcPr>
            <w:tcW w:w="648" w:type="dxa"/>
            <w:tcBorders>
              <w:left w:val="dashSmallGap" w:sz="4" w:space="0" w:color="auto"/>
            </w:tcBorders>
          </w:tcPr>
          <w:p w:rsidR="00D03C46" w:rsidRDefault="00D03C46">
            <w:pPr>
              <w:ind w:right="-29"/>
              <w:jc w:val="center"/>
              <w:rPr>
                <w:noProof/>
                <w:sz w:val="18"/>
                <w:szCs w:val="18"/>
              </w:rPr>
            </w:pPr>
          </w:p>
        </w:tc>
        <w:tc>
          <w:tcPr>
            <w:tcW w:w="432" w:type="dxa"/>
            <w:gridSpan w:val="2"/>
            <w:tcBorders>
              <w:right w:val="dashSmallGap" w:sz="4" w:space="0" w:color="auto"/>
            </w:tcBorders>
          </w:tcPr>
          <w:p w:rsidR="00D03C46" w:rsidRDefault="00D03C46">
            <w:pPr>
              <w:ind w:right="-29"/>
              <w:jc w:val="center"/>
              <w:rPr>
                <w:noProof/>
                <w:sz w:val="18"/>
                <w:szCs w:val="18"/>
              </w:rPr>
            </w:pPr>
          </w:p>
        </w:tc>
        <w:tc>
          <w:tcPr>
            <w:tcW w:w="720" w:type="dxa"/>
            <w:gridSpan w:val="2"/>
            <w:tcBorders>
              <w:left w:val="dashSmallGap" w:sz="4" w:space="0" w:color="auto"/>
            </w:tcBorders>
          </w:tcPr>
          <w:p w:rsidR="00D03C46" w:rsidRDefault="00D03C46">
            <w:pPr>
              <w:ind w:right="-29"/>
              <w:jc w:val="center"/>
              <w:rPr>
                <w:noProof/>
                <w:sz w:val="18"/>
                <w:szCs w:val="18"/>
              </w:rPr>
            </w:pPr>
          </w:p>
        </w:tc>
        <w:tc>
          <w:tcPr>
            <w:tcW w:w="540" w:type="dxa"/>
            <w:gridSpan w:val="2"/>
            <w:tcBorders>
              <w:right w:val="dashSmallGap" w:sz="4" w:space="0" w:color="auto"/>
            </w:tcBorders>
          </w:tcPr>
          <w:p w:rsidR="00D03C46" w:rsidRDefault="00D03C46">
            <w:pPr>
              <w:ind w:right="-29"/>
              <w:jc w:val="center"/>
              <w:rPr>
                <w:noProof/>
                <w:sz w:val="18"/>
                <w:szCs w:val="18"/>
              </w:rPr>
            </w:pPr>
          </w:p>
        </w:tc>
        <w:tc>
          <w:tcPr>
            <w:tcW w:w="600" w:type="dxa"/>
            <w:gridSpan w:val="3"/>
            <w:tcBorders>
              <w:left w:val="dashSmallGap" w:sz="4" w:space="0" w:color="auto"/>
            </w:tcBorders>
          </w:tcPr>
          <w:p w:rsidR="00D03C46" w:rsidRDefault="00D03C46">
            <w:pPr>
              <w:ind w:right="-29"/>
              <w:jc w:val="center"/>
              <w:rPr>
                <w:noProof/>
                <w:sz w:val="18"/>
                <w:szCs w:val="18"/>
              </w:rPr>
            </w:pPr>
          </w:p>
        </w:tc>
        <w:tc>
          <w:tcPr>
            <w:tcW w:w="840" w:type="dxa"/>
          </w:tcPr>
          <w:p w:rsidR="00D03C46" w:rsidRDefault="00BD37FC">
            <w:pPr>
              <w:ind w:right="-29"/>
              <w:jc w:val="center"/>
              <w:rPr>
                <w:b/>
                <w:noProof/>
                <w:sz w:val="18"/>
                <w:szCs w:val="18"/>
              </w:rPr>
            </w:pPr>
            <w:r>
              <w:rPr>
                <w:b/>
                <w:noProof/>
                <w:sz w:val="18"/>
              </w:rPr>
              <w:t>3</w:t>
            </w:r>
          </w:p>
        </w:tc>
        <w:tc>
          <w:tcPr>
            <w:tcW w:w="720" w:type="dxa"/>
            <w:gridSpan w:val="2"/>
          </w:tcPr>
          <w:p w:rsidR="00D03C46" w:rsidRDefault="00BD37FC">
            <w:pPr>
              <w:ind w:right="-29"/>
              <w:jc w:val="center"/>
              <w:rPr>
                <w:b/>
                <w:noProof/>
                <w:sz w:val="18"/>
                <w:szCs w:val="18"/>
              </w:rPr>
            </w:pPr>
            <w:r>
              <w:rPr>
                <w:b/>
                <w:noProof/>
                <w:sz w:val="18"/>
              </w:rPr>
              <w:t>0,950</w:t>
            </w:r>
          </w:p>
        </w:tc>
      </w:tr>
      <w:tr w:rsidR="00D03C46">
        <w:trPr>
          <w:gridAfter w:val="2"/>
          <w:wAfter w:w="1141" w:type="dxa"/>
          <w:jc w:val="center"/>
        </w:trPr>
        <w:tc>
          <w:tcPr>
            <w:tcW w:w="2840" w:type="dxa"/>
            <w:gridSpan w:val="3"/>
            <w:tcBorders>
              <w:bottom w:val="single" w:sz="12" w:space="0" w:color="auto"/>
            </w:tcBorders>
            <w:vAlign w:val="center"/>
          </w:tcPr>
          <w:p w:rsidR="00D03C46" w:rsidRDefault="00BD37FC">
            <w:pPr>
              <w:ind w:right="-29"/>
              <w:jc w:val="center"/>
              <w:rPr>
                <w:noProof/>
                <w:sz w:val="18"/>
                <w:szCs w:val="18"/>
              </w:rPr>
            </w:pPr>
            <w:r>
              <w:rPr>
                <w:noProof/>
                <w:sz w:val="18"/>
              </w:rPr>
              <w:t>Välisumma erityistavoite 1</w:t>
            </w:r>
          </w:p>
        </w:tc>
        <w:tc>
          <w:tcPr>
            <w:tcW w:w="502" w:type="dxa"/>
            <w:tcBorders>
              <w:bottom w:val="single" w:sz="12" w:space="0" w:color="auto"/>
            </w:tcBorders>
          </w:tcPr>
          <w:p w:rsidR="00D03C46" w:rsidRDefault="00BD37FC">
            <w:pPr>
              <w:ind w:right="-29"/>
              <w:jc w:val="center"/>
              <w:rPr>
                <w:b/>
                <w:noProof/>
                <w:sz w:val="18"/>
                <w:szCs w:val="18"/>
              </w:rPr>
            </w:pPr>
            <w:r>
              <w:rPr>
                <w:b/>
                <w:noProof/>
                <w:sz w:val="18"/>
              </w:rPr>
              <w:t>2</w:t>
            </w:r>
          </w:p>
        </w:tc>
        <w:tc>
          <w:tcPr>
            <w:tcW w:w="721" w:type="dxa"/>
            <w:tcBorders>
              <w:bottom w:val="single" w:sz="12" w:space="0" w:color="auto"/>
            </w:tcBorders>
          </w:tcPr>
          <w:p w:rsidR="00D03C46" w:rsidRDefault="00BD37FC">
            <w:pPr>
              <w:ind w:right="-29"/>
              <w:jc w:val="center"/>
              <w:rPr>
                <w:b/>
                <w:noProof/>
                <w:sz w:val="18"/>
                <w:szCs w:val="18"/>
              </w:rPr>
            </w:pPr>
            <w:r>
              <w:rPr>
                <w:b/>
                <w:noProof/>
                <w:sz w:val="18"/>
              </w:rPr>
              <w:t>0,825</w:t>
            </w:r>
          </w:p>
        </w:tc>
        <w:tc>
          <w:tcPr>
            <w:tcW w:w="540" w:type="dxa"/>
            <w:tcBorders>
              <w:bottom w:val="single" w:sz="12" w:space="0" w:color="auto"/>
            </w:tcBorders>
          </w:tcPr>
          <w:p w:rsidR="00D03C46" w:rsidRDefault="00BD37FC">
            <w:pPr>
              <w:ind w:right="-29"/>
              <w:jc w:val="center"/>
              <w:rPr>
                <w:b/>
                <w:noProof/>
                <w:sz w:val="18"/>
                <w:szCs w:val="18"/>
              </w:rPr>
            </w:pPr>
            <w:r>
              <w:rPr>
                <w:b/>
                <w:noProof/>
                <w:sz w:val="18"/>
              </w:rPr>
              <w:t>1</w:t>
            </w:r>
          </w:p>
        </w:tc>
        <w:tc>
          <w:tcPr>
            <w:tcW w:w="720" w:type="dxa"/>
            <w:tcBorders>
              <w:bottom w:val="single" w:sz="12" w:space="0" w:color="auto"/>
            </w:tcBorders>
          </w:tcPr>
          <w:p w:rsidR="00D03C46" w:rsidRDefault="00BD37FC">
            <w:pPr>
              <w:ind w:right="-29"/>
              <w:jc w:val="center"/>
              <w:rPr>
                <w:b/>
                <w:noProof/>
                <w:sz w:val="18"/>
                <w:szCs w:val="18"/>
              </w:rPr>
            </w:pPr>
            <w:r>
              <w:rPr>
                <w:b/>
                <w:noProof/>
                <w:sz w:val="18"/>
              </w:rPr>
              <w:t>0,125</w:t>
            </w:r>
          </w:p>
        </w:tc>
        <w:tc>
          <w:tcPr>
            <w:tcW w:w="720" w:type="dxa"/>
            <w:tcBorders>
              <w:bottom w:val="single" w:sz="12" w:space="0" w:color="auto"/>
            </w:tcBorders>
          </w:tcPr>
          <w:p w:rsidR="00D03C46" w:rsidRDefault="00D03C46">
            <w:pPr>
              <w:ind w:right="-29"/>
              <w:jc w:val="center"/>
              <w:rPr>
                <w:b/>
                <w:noProof/>
                <w:sz w:val="18"/>
                <w:szCs w:val="18"/>
              </w:rPr>
            </w:pPr>
          </w:p>
        </w:tc>
        <w:tc>
          <w:tcPr>
            <w:tcW w:w="720" w:type="dxa"/>
            <w:tcBorders>
              <w:bottom w:val="single" w:sz="12" w:space="0" w:color="auto"/>
            </w:tcBorders>
          </w:tcPr>
          <w:p w:rsidR="00D03C46" w:rsidRDefault="00D03C46">
            <w:pPr>
              <w:ind w:right="-29"/>
              <w:jc w:val="center"/>
              <w:rPr>
                <w:noProof/>
                <w:sz w:val="18"/>
                <w:szCs w:val="18"/>
              </w:rPr>
            </w:pPr>
          </w:p>
        </w:tc>
        <w:tc>
          <w:tcPr>
            <w:tcW w:w="540" w:type="dxa"/>
            <w:tcBorders>
              <w:bottom w:val="single" w:sz="12" w:space="0" w:color="auto"/>
            </w:tcBorders>
          </w:tcPr>
          <w:p w:rsidR="00D03C46" w:rsidRDefault="00D03C46">
            <w:pPr>
              <w:ind w:right="-29"/>
              <w:jc w:val="center"/>
              <w:rPr>
                <w:noProof/>
                <w:sz w:val="18"/>
                <w:szCs w:val="18"/>
              </w:rPr>
            </w:pPr>
          </w:p>
        </w:tc>
        <w:tc>
          <w:tcPr>
            <w:tcW w:w="648" w:type="dxa"/>
            <w:tcBorders>
              <w:bottom w:val="single" w:sz="12" w:space="0" w:color="auto"/>
            </w:tcBorders>
          </w:tcPr>
          <w:p w:rsidR="00D03C46" w:rsidRDefault="00D03C46">
            <w:pPr>
              <w:ind w:right="-29"/>
              <w:jc w:val="center"/>
              <w:rPr>
                <w:noProof/>
                <w:sz w:val="18"/>
                <w:szCs w:val="18"/>
              </w:rPr>
            </w:pPr>
          </w:p>
        </w:tc>
        <w:tc>
          <w:tcPr>
            <w:tcW w:w="432" w:type="dxa"/>
            <w:gridSpan w:val="2"/>
            <w:tcBorders>
              <w:bottom w:val="single" w:sz="12" w:space="0" w:color="auto"/>
            </w:tcBorders>
          </w:tcPr>
          <w:p w:rsidR="00D03C46" w:rsidRDefault="00D03C46">
            <w:pPr>
              <w:ind w:right="-29"/>
              <w:jc w:val="center"/>
              <w:rPr>
                <w:noProof/>
                <w:sz w:val="18"/>
                <w:szCs w:val="18"/>
              </w:rPr>
            </w:pPr>
          </w:p>
        </w:tc>
        <w:tc>
          <w:tcPr>
            <w:tcW w:w="720" w:type="dxa"/>
            <w:gridSpan w:val="2"/>
            <w:tcBorders>
              <w:bottom w:val="single" w:sz="12" w:space="0" w:color="auto"/>
            </w:tcBorders>
          </w:tcPr>
          <w:p w:rsidR="00D03C46" w:rsidRDefault="00D03C46">
            <w:pPr>
              <w:ind w:right="-29"/>
              <w:jc w:val="center"/>
              <w:rPr>
                <w:noProof/>
                <w:sz w:val="18"/>
                <w:szCs w:val="18"/>
              </w:rPr>
            </w:pPr>
          </w:p>
        </w:tc>
        <w:tc>
          <w:tcPr>
            <w:tcW w:w="540" w:type="dxa"/>
            <w:gridSpan w:val="2"/>
            <w:tcBorders>
              <w:bottom w:val="single" w:sz="12" w:space="0" w:color="auto"/>
            </w:tcBorders>
          </w:tcPr>
          <w:p w:rsidR="00D03C46" w:rsidRDefault="00D03C46">
            <w:pPr>
              <w:ind w:right="-29"/>
              <w:jc w:val="center"/>
              <w:rPr>
                <w:noProof/>
                <w:sz w:val="18"/>
                <w:szCs w:val="18"/>
              </w:rPr>
            </w:pPr>
          </w:p>
        </w:tc>
        <w:tc>
          <w:tcPr>
            <w:tcW w:w="600" w:type="dxa"/>
            <w:gridSpan w:val="3"/>
            <w:tcBorders>
              <w:bottom w:val="single" w:sz="12" w:space="0" w:color="auto"/>
            </w:tcBorders>
          </w:tcPr>
          <w:p w:rsidR="00D03C46" w:rsidRDefault="00D03C46">
            <w:pPr>
              <w:ind w:right="-29"/>
              <w:jc w:val="center"/>
              <w:rPr>
                <w:noProof/>
                <w:sz w:val="18"/>
                <w:szCs w:val="18"/>
              </w:rPr>
            </w:pPr>
          </w:p>
        </w:tc>
        <w:tc>
          <w:tcPr>
            <w:tcW w:w="840" w:type="dxa"/>
            <w:tcBorders>
              <w:bottom w:val="single" w:sz="12" w:space="0" w:color="auto"/>
            </w:tcBorders>
          </w:tcPr>
          <w:p w:rsidR="00D03C46" w:rsidRDefault="00BD37FC">
            <w:pPr>
              <w:ind w:right="-29"/>
              <w:jc w:val="center"/>
              <w:rPr>
                <w:b/>
                <w:noProof/>
                <w:sz w:val="18"/>
                <w:szCs w:val="18"/>
              </w:rPr>
            </w:pPr>
            <w:r>
              <w:rPr>
                <w:b/>
                <w:noProof/>
                <w:sz w:val="18"/>
              </w:rPr>
              <w:t>3</w:t>
            </w:r>
          </w:p>
        </w:tc>
        <w:tc>
          <w:tcPr>
            <w:tcW w:w="720" w:type="dxa"/>
            <w:gridSpan w:val="2"/>
            <w:tcBorders>
              <w:bottom w:val="single" w:sz="12" w:space="0" w:color="auto"/>
            </w:tcBorders>
          </w:tcPr>
          <w:p w:rsidR="00D03C46" w:rsidRDefault="00BD37FC">
            <w:pPr>
              <w:ind w:right="-29"/>
              <w:jc w:val="center"/>
              <w:rPr>
                <w:b/>
                <w:noProof/>
                <w:sz w:val="18"/>
                <w:szCs w:val="18"/>
              </w:rPr>
            </w:pPr>
            <w:r>
              <w:rPr>
                <w:b/>
                <w:noProof/>
                <w:sz w:val="18"/>
              </w:rPr>
              <w:t>0,950</w:t>
            </w:r>
          </w:p>
        </w:tc>
      </w:tr>
      <w:tr w:rsidR="00D03C46">
        <w:trPr>
          <w:gridAfter w:val="6"/>
          <w:wAfter w:w="2840" w:type="dxa"/>
          <w:jc w:val="center"/>
        </w:trPr>
        <w:tc>
          <w:tcPr>
            <w:tcW w:w="8658" w:type="dxa"/>
            <w:gridSpan w:val="14"/>
            <w:tcBorders>
              <w:top w:val="nil"/>
              <w:left w:val="nil"/>
              <w:bottom w:val="nil"/>
              <w:right w:val="nil"/>
            </w:tcBorders>
          </w:tcPr>
          <w:p w:rsidR="00D03C46" w:rsidRDefault="00D03C46">
            <w:pPr>
              <w:spacing w:before="60" w:after="60"/>
              <w:ind w:right="-29"/>
              <w:jc w:val="left"/>
              <w:rPr>
                <w:noProof/>
                <w:sz w:val="18"/>
                <w:szCs w:val="18"/>
              </w:rPr>
            </w:pPr>
          </w:p>
        </w:tc>
        <w:tc>
          <w:tcPr>
            <w:tcW w:w="1209" w:type="dxa"/>
            <w:gridSpan w:val="4"/>
            <w:tcBorders>
              <w:top w:val="nil"/>
              <w:left w:val="nil"/>
              <w:bottom w:val="nil"/>
              <w:right w:val="nil"/>
            </w:tcBorders>
          </w:tcPr>
          <w:p w:rsidR="00D03C46" w:rsidRDefault="00D03C46">
            <w:pPr>
              <w:spacing w:before="60" w:after="60"/>
              <w:ind w:right="-29"/>
              <w:jc w:val="center"/>
              <w:rPr>
                <w:noProof/>
                <w:sz w:val="18"/>
                <w:szCs w:val="18"/>
              </w:rPr>
            </w:pPr>
          </w:p>
        </w:tc>
        <w:tc>
          <w:tcPr>
            <w:tcW w:w="237" w:type="dxa"/>
            <w:tcBorders>
              <w:top w:val="nil"/>
              <w:left w:val="nil"/>
              <w:bottom w:val="nil"/>
              <w:right w:val="nil"/>
            </w:tcBorders>
          </w:tcPr>
          <w:p w:rsidR="00D03C46" w:rsidRDefault="00D03C46">
            <w:pPr>
              <w:spacing w:before="60" w:after="60"/>
              <w:ind w:right="-29"/>
              <w:jc w:val="center"/>
              <w:rPr>
                <w:noProof/>
                <w:sz w:val="18"/>
                <w:szCs w:val="18"/>
              </w:rPr>
            </w:pPr>
          </w:p>
        </w:tc>
      </w:tr>
    </w:tbl>
    <w:p w:rsidR="00D03C46" w:rsidRDefault="00D03C46">
      <w:pPr>
        <w:rPr>
          <w:noProof/>
        </w:rPr>
      </w:pPr>
    </w:p>
    <w:p w:rsidR="00D03C46" w:rsidRDefault="00D03C46">
      <w:pPr>
        <w:rPr>
          <w:noProof/>
        </w:rPr>
      </w:pP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788"/>
        <w:gridCol w:w="495"/>
        <w:gridCol w:w="272"/>
        <w:gridCol w:w="551"/>
        <w:gridCol w:w="791"/>
        <w:gridCol w:w="592"/>
        <w:gridCol w:w="790"/>
        <w:gridCol w:w="790"/>
        <w:gridCol w:w="790"/>
        <w:gridCol w:w="592"/>
        <w:gridCol w:w="711"/>
        <w:gridCol w:w="474"/>
        <w:gridCol w:w="790"/>
        <w:gridCol w:w="592"/>
        <w:gridCol w:w="658"/>
        <w:gridCol w:w="265"/>
        <w:gridCol w:w="656"/>
        <w:gridCol w:w="790"/>
      </w:tblGrid>
      <w:tr w:rsidR="00D03C46">
        <w:trPr>
          <w:gridAfter w:val="2"/>
          <w:wAfter w:w="1446" w:type="dxa"/>
          <w:jc w:val="center"/>
        </w:trPr>
        <w:tc>
          <w:tcPr>
            <w:tcW w:w="2840" w:type="dxa"/>
            <w:gridSpan w:val="3"/>
            <w:vAlign w:val="center"/>
          </w:tcPr>
          <w:p w:rsidR="00D03C46" w:rsidRDefault="00BD37FC">
            <w:pPr>
              <w:spacing w:before="60" w:after="60"/>
              <w:ind w:right="-29"/>
              <w:jc w:val="center"/>
              <w:rPr>
                <w:noProof/>
                <w:sz w:val="18"/>
                <w:szCs w:val="18"/>
              </w:rPr>
            </w:pPr>
            <w:r>
              <w:rPr>
                <w:noProof/>
                <w:sz w:val="18"/>
              </w:rPr>
              <w:t>ERITYISTAVOITE 2 ...</w:t>
            </w:r>
          </w:p>
        </w:tc>
        <w:tc>
          <w:tcPr>
            <w:tcW w:w="8658" w:type="dxa"/>
            <w:gridSpan w:val="14"/>
            <w:tcBorders>
              <w:top w:val="nil"/>
              <w:left w:val="nil"/>
              <w:bottom w:val="nil"/>
              <w:right w:val="nil"/>
            </w:tcBorders>
          </w:tcPr>
          <w:p w:rsidR="00D03C46" w:rsidRDefault="00BD37FC">
            <w:pPr>
              <w:spacing w:before="60" w:after="60"/>
              <w:ind w:right="-29"/>
              <w:jc w:val="left"/>
              <w:rPr>
                <w:noProof/>
                <w:sz w:val="18"/>
                <w:szCs w:val="18"/>
              </w:rPr>
            </w:pPr>
            <w:r>
              <w:rPr>
                <w:noProof/>
                <w:sz w:val="18"/>
              </w:rPr>
              <w:t xml:space="preserve">Vähentää sellaisten unionin oikeuden rikkomisten määrää, jotka vaikuttavat kuluttajien yhteisiin etuihin, ja näin edistää sääntöjen noudattamista </w:t>
            </w:r>
            <w:r>
              <w:rPr>
                <w:noProof/>
                <w:sz w:val="18"/>
              </w:rPr>
              <w:t>ja estää vahinkojen aiheutumista kuluttajille</w:t>
            </w:r>
          </w:p>
        </w:tc>
      </w:tr>
      <w:tr w:rsidR="00D03C46">
        <w:trPr>
          <w:trHeight w:hRule="exact" w:val="2298"/>
          <w:jc w:val="center"/>
        </w:trPr>
        <w:tc>
          <w:tcPr>
            <w:tcW w:w="1557" w:type="dxa"/>
          </w:tcPr>
          <w:p w:rsidR="00D03C46" w:rsidRDefault="00BD37FC">
            <w:pPr>
              <w:ind w:right="-29"/>
              <w:jc w:val="center"/>
              <w:rPr>
                <w:noProof/>
                <w:sz w:val="18"/>
                <w:szCs w:val="18"/>
              </w:rPr>
            </w:pPr>
            <w:r>
              <w:rPr>
                <w:noProof/>
                <w:sz w:val="18"/>
              </w:rPr>
              <w:lastRenderedPageBreak/>
              <w:t>– Analyysien toteuttamiseen liittyvät tuotokset – tietojen keruu ja tilastojen laatiminen</w:t>
            </w:r>
          </w:p>
        </w:tc>
        <w:tc>
          <w:tcPr>
            <w:tcW w:w="788" w:type="dxa"/>
          </w:tcPr>
          <w:p w:rsidR="00D03C46" w:rsidRDefault="00D03C46">
            <w:pPr>
              <w:ind w:right="-29"/>
              <w:jc w:val="center"/>
              <w:rPr>
                <w:noProof/>
                <w:sz w:val="18"/>
                <w:szCs w:val="18"/>
              </w:rPr>
            </w:pPr>
          </w:p>
        </w:tc>
        <w:tc>
          <w:tcPr>
            <w:tcW w:w="767" w:type="dxa"/>
            <w:gridSpan w:val="2"/>
          </w:tcPr>
          <w:p w:rsidR="00D03C46" w:rsidRDefault="00D03C46">
            <w:pPr>
              <w:ind w:right="-29"/>
              <w:jc w:val="center"/>
              <w:rPr>
                <w:noProof/>
                <w:sz w:val="18"/>
                <w:szCs w:val="18"/>
              </w:rPr>
            </w:pPr>
          </w:p>
        </w:tc>
        <w:tc>
          <w:tcPr>
            <w:tcW w:w="551" w:type="dxa"/>
          </w:tcPr>
          <w:p w:rsidR="00D03C46" w:rsidRDefault="00D03C46">
            <w:pPr>
              <w:ind w:right="-29"/>
              <w:jc w:val="center"/>
              <w:rPr>
                <w:noProof/>
                <w:sz w:val="18"/>
                <w:szCs w:val="18"/>
              </w:rPr>
            </w:pPr>
          </w:p>
        </w:tc>
        <w:tc>
          <w:tcPr>
            <w:tcW w:w="791" w:type="dxa"/>
          </w:tcPr>
          <w:p w:rsidR="00D03C46" w:rsidRDefault="00D03C46">
            <w:pPr>
              <w:ind w:right="-29"/>
              <w:jc w:val="center"/>
              <w:rPr>
                <w:noProof/>
                <w:sz w:val="18"/>
                <w:szCs w:val="18"/>
              </w:rPr>
            </w:pPr>
          </w:p>
        </w:tc>
        <w:tc>
          <w:tcPr>
            <w:tcW w:w="592" w:type="dxa"/>
          </w:tcPr>
          <w:p w:rsidR="00D03C46" w:rsidRDefault="00D03C46">
            <w:pPr>
              <w:ind w:right="-29"/>
              <w:jc w:val="center"/>
              <w:rPr>
                <w:noProof/>
                <w:sz w:val="18"/>
                <w:szCs w:val="18"/>
              </w:rPr>
            </w:pPr>
          </w:p>
        </w:tc>
        <w:tc>
          <w:tcPr>
            <w:tcW w:w="790" w:type="dxa"/>
          </w:tcPr>
          <w:p w:rsidR="00D03C46" w:rsidRDefault="00D03C46">
            <w:pPr>
              <w:ind w:right="-29"/>
              <w:jc w:val="center"/>
              <w:rPr>
                <w:noProof/>
                <w:sz w:val="18"/>
                <w:szCs w:val="18"/>
              </w:rPr>
            </w:pPr>
          </w:p>
        </w:tc>
        <w:tc>
          <w:tcPr>
            <w:tcW w:w="790" w:type="dxa"/>
          </w:tcPr>
          <w:p w:rsidR="00D03C46" w:rsidRDefault="00D03C46">
            <w:pPr>
              <w:ind w:right="-29"/>
              <w:jc w:val="center"/>
              <w:rPr>
                <w:noProof/>
                <w:sz w:val="18"/>
                <w:szCs w:val="18"/>
              </w:rPr>
            </w:pPr>
          </w:p>
        </w:tc>
        <w:tc>
          <w:tcPr>
            <w:tcW w:w="790" w:type="dxa"/>
          </w:tcPr>
          <w:p w:rsidR="00D03C46" w:rsidRDefault="00D03C46">
            <w:pPr>
              <w:ind w:right="-29"/>
              <w:jc w:val="center"/>
              <w:rPr>
                <w:noProof/>
                <w:sz w:val="18"/>
                <w:szCs w:val="18"/>
              </w:rPr>
            </w:pPr>
          </w:p>
        </w:tc>
        <w:tc>
          <w:tcPr>
            <w:tcW w:w="592" w:type="dxa"/>
          </w:tcPr>
          <w:p w:rsidR="00D03C46" w:rsidRDefault="00D03C46">
            <w:pPr>
              <w:ind w:right="-29"/>
              <w:jc w:val="center"/>
              <w:rPr>
                <w:noProof/>
                <w:sz w:val="18"/>
                <w:szCs w:val="18"/>
              </w:rPr>
            </w:pPr>
          </w:p>
        </w:tc>
        <w:tc>
          <w:tcPr>
            <w:tcW w:w="711" w:type="dxa"/>
          </w:tcPr>
          <w:p w:rsidR="00D03C46" w:rsidRDefault="00D03C46">
            <w:pPr>
              <w:ind w:right="-29"/>
              <w:jc w:val="center"/>
              <w:rPr>
                <w:noProof/>
                <w:sz w:val="18"/>
                <w:szCs w:val="18"/>
              </w:rPr>
            </w:pPr>
          </w:p>
        </w:tc>
        <w:tc>
          <w:tcPr>
            <w:tcW w:w="474" w:type="dxa"/>
          </w:tcPr>
          <w:p w:rsidR="00D03C46" w:rsidRDefault="00D03C46">
            <w:pPr>
              <w:ind w:right="-29"/>
              <w:jc w:val="center"/>
              <w:rPr>
                <w:noProof/>
                <w:sz w:val="18"/>
                <w:szCs w:val="18"/>
              </w:rPr>
            </w:pPr>
          </w:p>
        </w:tc>
        <w:tc>
          <w:tcPr>
            <w:tcW w:w="790" w:type="dxa"/>
          </w:tcPr>
          <w:p w:rsidR="00D03C46" w:rsidRDefault="00D03C46">
            <w:pPr>
              <w:ind w:right="-29"/>
              <w:jc w:val="center"/>
              <w:rPr>
                <w:noProof/>
                <w:sz w:val="18"/>
                <w:szCs w:val="18"/>
              </w:rPr>
            </w:pPr>
          </w:p>
        </w:tc>
        <w:tc>
          <w:tcPr>
            <w:tcW w:w="592" w:type="dxa"/>
          </w:tcPr>
          <w:p w:rsidR="00D03C46" w:rsidRDefault="00D03C46">
            <w:pPr>
              <w:ind w:right="-29"/>
              <w:jc w:val="center"/>
              <w:rPr>
                <w:noProof/>
                <w:sz w:val="18"/>
                <w:szCs w:val="18"/>
              </w:rPr>
            </w:pPr>
          </w:p>
        </w:tc>
        <w:tc>
          <w:tcPr>
            <w:tcW w:w="658" w:type="dxa"/>
          </w:tcPr>
          <w:p w:rsidR="00D03C46" w:rsidRDefault="00D03C46">
            <w:pPr>
              <w:ind w:right="-29"/>
              <w:jc w:val="center"/>
              <w:rPr>
                <w:noProof/>
                <w:sz w:val="18"/>
                <w:szCs w:val="18"/>
              </w:rPr>
            </w:pPr>
          </w:p>
        </w:tc>
        <w:tc>
          <w:tcPr>
            <w:tcW w:w="921" w:type="dxa"/>
            <w:gridSpan w:val="2"/>
          </w:tcPr>
          <w:p w:rsidR="00D03C46" w:rsidRDefault="00BD37FC">
            <w:pPr>
              <w:ind w:right="-29"/>
              <w:jc w:val="center"/>
              <w:rPr>
                <w:b/>
                <w:noProof/>
                <w:sz w:val="18"/>
                <w:szCs w:val="18"/>
              </w:rPr>
            </w:pPr>
            <w:r>
              <w:rPr>
                <w:b/>
                <w:noProof/>
                <w:sz w:val="18"/>
              </w:rPr>
              <w:t>0</w:t>
            </w:r>
          </w:p>
        </w:tc>
        <w:tc>
          <w:tcPr>
            <w:tcW w:w="790" w:type="dxa"/>
          </w:tcPr>
          <w:p w:rsidR="00D03C46" w:rsidRDefault="00BD37FC">
            <w:pPr>
              <w:ind w:right="-29"/>
              <w:jc w:val="center"/>
              <w:rPr>
                <w:b/>
                <w:noProof/>
                <w:sz w:val="18"/>
                <w:szCs w:val="18"/>
              </w:rPr>
            </w:pPr>
            <w:r>
              <w:rPr>
                <w:b/>
                <w:noProof/>
                <w:sz w:val="18"/>
              </w:rPr>
              <w:t>0</w:t>
            </w:r>
          </w:p>
        </w:tc>
      </w:tr>
      <w:tr w:rsidR="00D03C46">
        <w:trPr>
          <w:jc w:val="center"/>
        </w:trPr>
        <w:tc>
          <w:tcPr>
            <w:tcW w:w="3112" w:type="dxa"/>
            <w:gridSpan w:val="4"/>
            <w:tcBorders>
              <w:bottom w:val="single" w:sz="12" w:space="0" w:color="auto"/>
            </w:tcBorders>
            <w:vAlign w:val="center"/>
          </w:tcPr>
          <w:p w:rsidR="00D03C46" w:rsidRDefault="00BD37FC">
            <w:pPr>
              <w:jc w:val="center"/>
              <w:rPr>
                <w:noProof/>
                <w:sz w:val="18"/>
                <w:szCs w:val="18"/>
              </w:rPr>
            </w:pPr>
            <w:r>
              <w:rPr>
                <w:noProof/>
                <w:sz w:val="18"/>
              </w:rPr>
              <w:t>Välisumma erityistavoite 2</w:t>
            </w:r>
          </w:p>
        </w:tc>
        <w:tc>
          <w:tcPr>
            <w:tcW w:w="551" w:type="dxa"/>
            <w:tcBorders>
              <w:bottom w:val="single" w:sz="12" w:space="0" w:color="auto"/>
            </w:tcBorders>
          </w:tcPr>
          <w:p w:rsidR="00D03C46" w:rsidRDefault="00D03C46">
            <w:pPr>
              <w:ind w:right="-29"/>
              <w:jc w:val="center"/>
              <w:rPr>
                <w:b/>
                <w:noProof/>
                <w:sz w:val="18"/>
                <w:szCs w:val="18"/>
              </w:rPr>
            </w:pPr>
          </w:p>
        </w:tc>
        <w:tc>
          <w:tcPr>
            <w:tcW w:w="791" w:type="dxa"/>
            <w:tcBorders>
              <w:bottom w:val="single" w:sz="12" w:space="0" w:color="auto"/>
            </w:tcBorders>
          </w:tcPr>
          <w:p w:rsidR="00D03C46" w:rsidRDefault="00D03C46">
            <w:pPr>
              <w:ind w:right="-29"/>
              <w:jc w:val="center"/>
              <w:rPr>
                <w:b/>
                <w:noProof/>
                <w:sz w:val="18"/>
                <w:szCs w:val="18"/>
              </w:rPr>
            </w:pPr>
          </w:p>
        </w:tc>
        <w:tc>
          <w:tcPr>
            <w:tcW w:w="592" w:type="dxa"/>
            <w:tcBorders>
              <w:bottom w:val="single" w:sz="12" w:space="0" w:color="auto"/>
            </w:tcBorders>
          </w:tcPr>
          <w:p w:rsidR="00D03C46" w:rsidRDefault="00D03C46">
            <w:pPr>
              <w:ind w:right="-29"/>
              <w:jc w:val="center"/>
              <w:rPr>
                <w:b/>
                <w:noProof/>
                <w:sz w:val="18"/>
                <w:szCs w:val="18"/>
              </w:rPr>
            </w:pPr>
          </w:p>
        </w:tc>
        <w:tc>
          <w:tcPr>
            <w:tcW w:w="790" w:type="dxa"/>
            <w:tcBorders>
              <w:bottom w:val="single" w:sz="12" w:space="0" w:color="auto"/>
            </w:tcBorders>
          </w:tcPr>
          <w:p w:rsidR="00D03C46" w:rsidRDefault="00D03C46">
            <w:pPr>
              <w:ind w:right="-29"/>
              <w:jc w:val="center"/>
              <w:rPr>
                <w:b/>
                <w:noProof/>
                <w:sz w:val="18"/>
                <w:szCs w:val="18"/>
              </w:rPr>
            </w:pPr>
          </w:p>
        </w:tc>
        <w:tc>
          <w:tcPr>
            <w:tcW w:w="790" w:type="dxa"/>
            <w:tcBorders>
              <w:bottom w:val="single" w:sz="12" w:space="0" w:color="auto"/>
            </w:tcBorders>
          </w:tcPr>
          <w:p w:rsidR="00D03C46" w:rsidRDefault="00D03C46">
            <w:pPr>
              <w:ind w:right="-29"/>
              <w:jc w:val="center"/>
              <w:rPr>
                <w:b/>
                <w:noProof/>
                <w:sz w:val="18"/>
                <w:szCs w:val="18"/>
              </w:rPr>
            </w:pPr>
          </w:p>
        </w:tc>
        <w:tc>
          <w:tcPr>
            <w:tcW w:w="790" w:type="dxa"/>
            <w:tcBorders>
              <w:bottom w:val="single" w:sz="12" w:space="0" w:color="auto"/>
            </w:tcBorders>
          </w:tcPr>
          <w:p w:rsidR="00D03C46" w:rsidRDefault="00D03C46">
            <w:pPr>
              <w:ind w:right="-29"/>
              <w:jc w:val="center"/>
              <w:rPr>
                <w:b/>
                <w:noProof/>
                <w:sz w:val="18"/>
                <w:szCs w:val="18"/>
              </w:rPr>
            </w:pPr>
          </w:p>
        </w:tc>
        <w:tc>
          <w:tcPr>
            <w:tcW w:w="592" w:type="dxa"/>
            <w:tcBorders>
              <w:bottom w:val="single" w:sz="12" w:space="0" w:color="auto"/>
            </w:tcBorders>
          </w:tcPr>
          <w:p w:rsidR="00D03C46" w:rsidRDefault="00D03C46">
            <w:pPr>
              <w:ind w:right="-29"/>
              <w:jc w:val="center"/>
              <w:rPr>
                <w:b/>
                <w:noProof/>
                <w:sz w:val="18"/>
                <w:szCs w:val="18"/>
              </w:rPr>
            </w:pPr>
          </w:p>
        </w:tc>
        <w:tc>
          <w:tcPr>
            <w:tcW w:w="711" w:type="dxa"/>
            <w:tcBorders>
              <w:bottom w:val="single" w:sz="12" w:space="0" w:color="auto"/>
            </w:tcBorders>
          </w:tcPr>
          <w:p w:rsidR="00D03C46" w:rsidRDefault="00D03C46">
            <w:pPr>
              <w:ind w:right="-29"/>
              <w:jc w:val="center"/>
              <w:rPr>
                <w:b/>
                <w:noProof/>
                <w:sz w:val="18"/>
                <w:szCs w:val="18"/>
              </w:rPr>
            </w:pPr>
          </w:p>
        </w:tc>
        <w:tc>
          <w:tcPr>
            <w:tcW w:w="474" w:type="dxa"/>
            <w:tcBorders>
              <w:bottom w:val="single" w:sz="12" w:space="0" w:color="auto"/>
            </w:tcBorders>
          </w:tcPr>
          <w:p w:rsidR="00D03C46" w:rsidRDefault="00D03C46">
            <w:pPr>
              <w:ind w:right="-29"/>
              <w:jc w:val="center"/>
              <w:rPr>
                <w:b/>
                <w:noProof/>
                <w:sz w:val="18"/>
                <w:szCs w:val="18"/>
              </w:rPr>
            </w:pPr>
          </w:p>
        </w:tc>
        <w:tc>
          <w:tcPr>
            <w:tcW w:w="790" w:type="dxa"/>
            <w:tcBorders>
              <w:bottom w:val="single" w:sz="12" w:space="0" w:color="auto"/>
            </w:tcBorders>
          </w:tcPr>
          <w:p w:rsidR="00D03C46" w:rsidRDefault="00D03C46">
            <w:pPr>
              <w:ind w:right="-29"/>
              <w:jc w:val="center"/>
              <w:rPr>
                <w:b/>
                <w:noProof/>
                <w:sz w:val="18"/>
                <w:szCs w:val="18"/>
              </w:rPr>
            </w:pPr>
          </w:p>
        </w:tc>
        <w:tc>
          <w:tcPr>
            <w:tcW w:w="592" w:type="dxa"/>
            <w:tcBorders>
              <w:bottom w:val="single" w:sz="12" w:space="0" w:color="auto"/>
            </w:tcBorders>
          </w:tcPr>
          <w:p w:rsidR="00D03C46" w:rsidRDefault="00D03C46">
            <w:pPr>
              <w:ind w:right="-29"/>
              <w:jc w:val="center"/>
              <w:rPr>
                <w:b/>
                <w:noProof/>
                <w:sz w:val="18"/>
                <w:szCs w:val="18"/>
              </w:rPr>
            </w:pPr>
          </w:p>
        </w:tc>
        <w:tc>
          <w:tcPr>
            <w:tcW w:w="658" w:type="dxa"/>
            <w:tcBorders>
              <w:bottom w:val="single" w:sz="12" w:space="0" w:color="auto"/>
            </w:tcBorders>
          </w:tcPr>
          <w:p w:rsidR="00D03C46" w:rsidRDefault="00D03C46">
            <w:pPr>
              <w:ind w:right="-29"/>
              <w:jc w:val="center"/>
              <w:rPr>
                <w:b/>
                <w:noProof/>
                <w:sz w:val="18"/>
                <w:szCs w:val="18"/>
              </w:rPr>
            </w:pPr>
          </w:p>
        </w:tc>
        <w:tc>
          <w:tcPr>
            <w:tcW w:w="921" w:type="dxa"/>
            <w:gridSpan w:val="2"/>
            <w:tcBorders>
              <w:bottom w:val="single" w:sz="12" w:space="0" w:color="auto"/>
            </w:tcBorders>
          </w:tcPr>
          <w:p w:rsidR="00D03C46" w:rsidRDefault="00D03C46">
            <w:pPr>
              <w:ind w:right="-29"/>
              <w:jc w:val="center"/>
              <w:rPr>
                <w:b/>
                <w:noProof/>
                <w:sz w:val="18"/>
                <w:szCs w:val="18"/>
              </w:rPr>
            </w:pPr>
          </w:p>
        </w:tc>
        <w:tc>
          <w:tcPr>
            <w:tcW w:w="790" w:type="dxa"/>
            <w:tcBorders>
              <w:bottom w:val="single" w:sz="12" w:space="0" w:color="auto"/>
            </w:tcBorders>
          </w:tcPr>
          <w:p w:rsidR="00D03C46" w:rsidRDefault="00BD37FC">
            <w:pPr>
              <w:ind w:right="-29"/>
              <w:jc w:val="center"/>
              <w:rPr>
                <w:b/>
                <w:noProof/>
                <w:sz w:val="18"/>
                <w:szCs w:val="18"/>
              </w:rPr>
            </w:pPr>
            <w:r>
              <w:rPr>
                <w:b/>
                <w:noProof/>
                <w:sz w:val="18"/>
              </w:rPr>
              <w:t>0</w:t>
            </w:r>
          </w:p>
        </w:tc>
      </w:tr>
      <w:tr w:rsidR="00D03C46">
        <w:trPr>
          <w:jc w:val="center"/>
        </w:trPr>
        <w:tc>
          <w:tcPr>
            <w:tcW w:w="3112" w:type="dxa"/>
            <w:gridSpan w:val="4"/>
            <w:tcBorders>
              <w:top w:val="single" w:sz="12" w:space="0" w:color="auto"/>
              <w:left w:val="single" w:sz="12" w:space="0" w:color="auto"/>
              <w:bottom w:val="single" w:sz="12" w:space="0" w:color="auto"/>
            </w:tcBorders>
            <w:vAlign w:val="center"/>
          </w:tcPr>
          <w:p w:rsidR="00D03C46" w:rsidRDefault="00BD37FC">
            <w:pPr>
              <w:ind w:right="-29"/>
              <w:jc w:val="center"/>
              <w:rPr>
                <w:noProof/>
                <w:sz w:val="18"/>
                <w:szCs w:val="18"/>
              </w:rPr>
            </w:pPr>
            <w:r>
              <w:rPr>
                <w:b/>
                <w:noProof/>
                <w:sz w:val="18"/>
              </w:rPr>
              <w:t>KUSTANNUKSET YHTEENSÄ</w:t>
            </w:r>
          </w:p>
        </w:tc>
        <w:tc>
          <w:tcPr>
            <w:tcW w:w="551" w:type="dxa"/>
            <w:tcBorders>
              <w:top w:val="single" w:sz="12" w:space="0" w:color="auto"/>
              <w:bottom w:val="single" w:sz="12" w:space="0" w:color="auto"/>
            </w:tcBorders>
          </w:tcPr>
          <w:p w:rsidR="00D03C46" w:rsidRDefault="00BD37FC">
            <w:pPr>
              <w:spacing w:before="180" w:after="180"/>
              <w:ind w:right="-29"/>
              <w:jc w:val="center"/>
              <w:rPr>
                <w:b/>
                <w:noProof/>
                <w:sz w:val="18"/>
                <w:szCs w:val="18"/>
              </w:rPr>
            </w:pPr>
            <w:r>
              <w:rPr>
                <w:b/>
                <w:noProof/>
                <w:sz w:val="18"/>
              </w:rPr>
              <w:t>2</w:t>
            </w:r>
          </w:p>
        </w:tc>
        <w:tc>
          <w:tcPr>
            <w:tcW w:w="791" w:type="dxa"/>
            <w:tcBorders>
              <w:top w:val="single" w:sz="12" w:space="0" w:color="auto"/>
              <w:bottom w:val="single" w:sz="12" w:space="0" w:color="auto"/>
            </w:tcBorders>
          </w:tcPr>
          <w:p w:rsidR="00D03C46" w:rsidRDefault="00BD37FC">
            <w:pPr>
              <w:spacing w:before="180" w:after="180"/>
              <w:ind w:right="-29"/>
              <w:jc w:val="center"/>
              <w:rPr>
                <w:b/>
                <w:noProof/>
                <w:sz w:val="18"/>
                <w:szCs w:val="18"/>
              </w:rPr>
            </w:pPr>
            <w:r>
              <w:rPr>
                <w:b/>
                <w:noProof/>
                <w:sz w:val="18"/>
              </w:rPr>
              <w:t>0,825</w:t>
            </w:r>
          </w:p>
        </w:tc>
        <w:tc>
          <w:tcPr>
            <w:tcW w:w="592" w:type="dxa"/>
            <w:tcBorders>
              <w:top w:val="single" w:sz="12" w:space="0" w:color="auto"/>
              <w:bottom w:val="single" w:sz="12" w:space="0" w:color="auto"/>
            </w:tcBorders>
          </w:tcPr>
          <w:p w:rsidR="00D03C46" w:rsidRDefault="00BD37FC">
            <w:pPr>
              <w:spacing w:before="180" w:after="180"/>
              <w:ind w:right="-29"/>
              <w:jc w:val="center"/>
              <w:rPr>
                <w:b/>
                <w:noProof/>
                <w:sz w:val="18"/>
                <w:szCs w:val="18"/>
              </w:rPr>
            </w:pPr>
            <w:r>
              <w:rPr>
                <w:b/>
                <w:noProof/>
                <w:sz w:val="18"/>
              </w:rPr>
              <w:t>1</w:t>
            </w:r>
          </w:p>
        </w:tc>
        <w:tc>
          <w:tcPr>
            <w:tcW w:w="790" w:type="dxa"/>
            <w:tcBorders>
              <w:top w:val="single" w:sz="12" w:space="0" w:color="auto"/>
              <w:bottom w:val="single" w:sz="12" w:space="0" w:color="auto"/>
            </w:tcBorders>
          </w:tcPr>
          <w:p w:rsidR="00D03C46" w:rsidRDefault="00BD37FC">
            <w:pPr>
              <w:spacing w:before="180" w:after="180"/>
              <w:ind w:right="-29"/>
              <w:jc w:val="center"/>
              <w:rPr>
                <w:b/>
                <w:noProof/>
                <w:sz w:val="18"/>
                <w:szCs w:val="18"/>
              </w:rPr>
            </w:pPr>
            <w:r>
              <w:rPr>
                <w:b/>
                <w:noProof/>
                <w:sz w:val="18"/>
              </w:rPr>
              <w:t>0,125</w:t>
            </w:r>
          </w:p>
        </w:tc>
        <w:tc>
          <w:tcPr>
            <w:tcW w:w="790"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790"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592"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711"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474"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790"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592"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658" w:type="dxa"/>
            <w:tcBorders>
              <w:top w:val="single" w:sz="12" w:space="0" w:color="auto"/>
              <w:bottom w:val="single" w:sz="12" w:space="0" w:color="auto"/>
            </w:tcBorders>
          </w:tcPr>
          <w:p w:rsidR="00D03C46" w:rsidRDefault="00D03C46">
            <w:pPr>
              <w:spacing w:before="180" w:after="180"/>
              <w:ind w:right="-29"/>
              <w:jc w:val="center"/>
              <w:rPr>
                <w:b/>
                <w:noProof/>
                <w:sz w:val="18"/>
                <w:szCs w:val="18"/>
              </w:rPr>
            </w:pPr>
          </w:p>
        </w:tc>
        <w:tc>
          <w:tcPr>
            <w:tcW w:w="921" w:type="dxa"/>
            <w:gridSpan w:val="2"/>
            <w:tcBorders>
              <w:top w:val="single" w:sz="12" w:space="0" w:color="auto"/>
              <w:bottom w:val="single" w:sz="12" w:space="0" w:color="auto"/>
            </w:tcBorders>
          </w:tcPr>
          <w:p w:rsidR="00D03C46" w:rsidRDefault="00BD37FC">
            <w:pPr>
              <w:spacing w:before="180" w:after="180"/>
              <w:ind w:right="-29"/>
              <w:jc w:val="center"/>
              <w:rPr>
                <w:b/>
                <w:noProof/>
                <w:sz w:val="18"/>
                <w:szCs w:val="18"/>
              </w:rPr>
            </w:pPr>
            <w:r>
              <w:rPr>
                <w:b/>
                <w:noProof/>
                <w:sz w:val="18"/>
              </w:rPr>
              <w:t>3</w:t>
            </w:r>
          </w:p>
        </w:tc>
        <w:tc>
          <w:tcPr>
            <w:tcW w:w="790" w:type="dxa"/>
            <w:tcBorders>
              <w:top w:val="single" w:sz="12" w:space="0" w:color="auto"/>
              <w:bottom w:val="single" w:sz="12" w:space="0" w:color="auto"/>
              <w:right w:val="single" w:sz="12" w:space="0" w:color="auto"/>
            </w:tcBorders>
          </w:tcPr>
          <w:p w:rsidR="00D03C46" w:rsidRDefault="00BD37FC">
            <w:pPr>
              <w:spacing w:before="180" w:after="180"/>
              <w:ind w:right="-29"/>
              <w:jc w:val="center"/>
              <w:rPr>
                <w:b/>
                <w:noProof/>
                <w:sz w:val="18"/>
                <w:szCs w:val="18"/>
              </w:rPr>
            </w:pPr>
            <w:r>
              <w:rPr>
                <w:b/>
                <w:noProof/>
                <w:sz w:val="18"/>
              </w:rPr>
              <w:t>0,950</w:t>
            </w:r>
          </w:p>
        </w:tc>
      </w:tr>
    </w:tbl>
    <w:p w:rsidR="00D03C46" w:rsidRDefault="00D03C46">
      <w:pPr>
        <w:rPr>
          <w:noProof/>
        </w:rPr>
      </w:pPr>
    </w:p>
    <w:p w:rsidR="00D03C46" w:rsidRDefault="00D03C46">
      <w:pPr>
        <w:rPr>
          <w:noProof/>
        </w:rPr>
        <w:sectPr w:rsidR="00D03C46" w:rsidSect="00BD37FC">
          <w:pgSz w:w="16840" w:h="11907" w:orient="landscape" w:code="9"/>
          <w:pgMar w:top="1134" w:right="1418" w:bottom="567" w:left="1418" w:header="709" w:footer="709" w:gutter="0"/>
          <w:cols w:space="708"/>
          <w:docGrid w:linePitch="360"/>
        </w:sectPr>
      </w:pPr>
    </w:p>
    <w:p w:rsidR="00D03C46" w:rsidRDefault="00BD37FC">
      <w:pPr>
        <w:pStyle w:val="ManualHeading3"/>
        <w:rPr>
          <w:noProof/>
        </w:rPr>
      </w:pPr>
      <w:r>
        <w:lastRenderedPageBreak/>
        <w:t>3.2.3.</w:t>
      </w:r>
      <w:r>
        <w:tab/>
      </w:r>
      <w:r>
        <w:rPr>
          <w:noProof/>
        </w:rPr>
        <w:t>Arvioidut vaikutukset hallintomäärärahoihin</w:t>
      </w:r>
    </w:p>
    <w:p w:rsidR="00D03C46" w:rsidRDefault="00BD37FC">
      <w:pPr>
        <w:pStyle w:val="ManualHeading4"/>
        <w:rPr>
          <w:noProof/>
        </w:rPr>
      </w:pPr>
      <w:r>
        <w:t>3.2.3.1.</w:t>
      </w:r>
      <w:r>
        <w:tab/>
      </w:r>
      <w:r>
        <w:rPr>
          <w:noProof/>
        </w:rPr>
        <w:t xml:space="preserve">Yhteenveto </w:t>
      </w:r>
    </w:p>
    <w:p w:rsidR="00D03C46" w:rsidRDefault="00BD37FC">
      <w:pPr>
        <w:pStyle w:val="ListDash1"/>
        <w:rPr>
          <w:noProof/>
        </w:rPr>
      </w:pPr>
      <w:r>
        <w:rPr>
          <w:noProof/>
        </w:rPr>
        <w:sym w:font="Wingdings" w:char="F0A8"/>
      </w:r>
      <w:r>
        <w:rPr>
          <w:noProof/>
        </w:rPr>
        <w:tab/>
        <w:t xml:space="preserve">Ehdotus/aloite ei edellytä hallintomäärärahoja </w:t>
      </w:r>
    </w:p>
    <w:p w:rsidR="00D03C46" w:rsidRDefault="00BD37FC">
      <w:pPr>
        <w:pStyle w:val="ListDash1"/>
        <w:rPr>
          <w:noProof/>
        </w:rPr>
      </w:pPr>
      <w:r>
        <w:rPr>
          <w:noProof/>
        </w:rPr>
        <w:t>X</w:t>
      </w:r>
      <w:r>
        <w:rPr>
          <w:noProof/>
        </w:rPr>
        <w:tab/>
        <w:t>Ehdotus/aloite edellyttää hallintomäärärahoja seuraavasti:</w:t>
      </w:r>
    </w:p>
    <w:p w:rsidR="00D03C46" w:rsidRDefault="00BD37FC">
      <w:pPr>
        <w:rPr>
          <w:noProof/>
          <w:sz w:val="20"/>
        </w:rPr>
      </w:pPr>
      <w:r>
        <w:rPr>
          <w:noProof/>
          <w:sz w:val="20"/>
        </w:rPr>
        <w:t>milj. euroa (kolmen desimaalin tarkkuudella)</w:t>
      </w:r>
    </w:p>
    <w:tbl>
      <w:tblPr>
        <w:tblW w:w="9651"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191"/>
      </w:tblGrid>
      <w:tr w:rsidR="00D03C46">
        <w:trPr>
          <w:trHeight w:val="585"/>
        </w:trPr>
        <w:tc>
          <w:tcPr>
            <w:tcW w:w="1980" w:type="dxa"/>
          </w:tcPr>
          <w:p w:rsidR="00D03C46" w:rsidRDefault="00D03C46">
            <w:pPr>
              <w:spacing w:before="60" w:after="60" w:line="200" w:lineRule="exact"/>
              <w:rPr>
                <w:noProof/>
                <w:sz w:val="16"/>
                <w:szCs w:val="16"/>
              </w:rPr>
            </w:pPr>
          </w:p>
        </w:tc>
        <w:tc>
          <w:tcPr>
            <w:tcW w:w="1080" w:type="dxa"/>
            <w:vAlign w:val="center"/>
          </w:tcPr>
          <w:p w:rsidR="00D03C46" w:rsidRDefault="00BD37FC">
            <w:pPr>
              <w:spacing w:before="60" w:after="60" w:line="200" w:lineRule="exact"/>
              <w:jc w:val="center"/>
              <w:rPr>
                <w:noProof/>
                <w:sz w:val="16"/>
                <w:szCs w:val="16"/>
              </w:rPr>
            </w:pPr>
            <w:r>
              <w:rPr>
                <w:noProof/>
                <w:sz w:val="16"/>
              </w:rPr>
              <w:t>Vuosi</w:t>
            </w:r>
            <w:r>
              <w:rPr>
                <w:noProof/>
                <w:sz w:val="22"/>
              </w:rPr>
              <w:br/>
            </w:r>
            <w:r>
              <w:rPr>
                <w:b/>
                <w:noProof/>
                <w:sz w:val="16"/>
              </w:rPr>
              <w:t>2019</w:t>
            </w:r>
          </w:p>
        </w:tc>
        <w:tc>
          <w:tcPr>
            <w:tcW w:w="1080" w:type="dxa"/>
            <w:vAlign w:val="center"/>
          </w:tcPr>
          <w:p w:rsidR="00D03C46" w:rsidRDefault="00BD37FC">
            <w:pPr>
              <w:spacing w:before="60" w:after="60" w:line="200" w:lineRule="exact"/>
              <w:jc w:val="center"/>
              <w:rPr>
                <w:noProof/>
                <w:sz w:val="16"/>
                <w:szCs w:val="16"/>
              </w:rPr>
            </w:pPr>
            <w:r>
              <w:rPr>
                <w:noProof/>
                <w:sz w:val="16"/>
              </w:rPr>
              <w:t>Vuosi</w:t>
            </w:r>
            <w:r>
              <w:rPr>
                <w:noProof/>
                <w:sz w:val="22"/>
              </w:rPr>
              <w:br/>
            </w:r>
            <w:r>
              <w:rPr>
                <w:b/>
                <w:noProof/>
                <w:sz w:val="16"/>
              </w:rPr>
              <w:t>2020</w:t>
            </w:r>
          </w:p>
        </w:tc>
        <w:tc>
          <w:tcPr>
            <w:tcW w:w="1080" w:type="dxa"/>
            <w:vAlign w:val="center"/>
          </w:tcPr>
          <w:p w:rsidR="00D03C46" w:rsidRDefault="00BD37FC">
            <w:pPr>
              <w:spacing w:before="60" w:after="60" w:line="200" w:lineRule="exact"/>
              <w:jc w:val="center"/>
              <w:rPr>
                <w:noProof/>
                <w:sz w:val="16"/>
                <w:szCs w:val="16"/>
              </w:rPr>
            </w:pPr>
            <w:r>
              <w:rPr>
                <w:noProof/>
                <w:sz w:val="16"/>
              </w:rPr>
              <w:t>Vuosi</w:t>
            </w:r>
            <w:r>
              <w:rPr>
                <w:noProof/>
                <w:sz w:val="22"/>
              </w:rPr>
              <w:br/>
            </w:r>
            <w:r>
              <w:rPr>
                <w:b/>
                <w:noProof/>
                <w:sz w:val="16"/>
              </w:rPr>
              <w:t>2021</w:t>
            </w:r>
          </w:p>
        </w:tc>
        <w:tc>
          <w:tcPr>
            <w:tcW w:w="1080" w:type="dxa"/>
            <w:vAlign w:val="center"/>
          </w:tcPr>
          <w:p w:rsidR="00D03C46" w:rsidRDefault="00BD37FC">
            <w:pPr>
              <w:spacing w:before="60" w:after="60" w:line="200" w:lineRule="exact"/>
              <w:jc w:val="center"/>
              <w:rPr>
                <w:noProof/>
                <w:sz w:val="16"/>
                <w:szCs w:val="16"/>
              </w:rPr>
            </w:pPr>
            <w:r>
              <w:rPr>
                <w:noProof/>
                <w:sz w:val="16"/>
              </w:rPr>
              <w:t>Vuosi</w:t>
            </w:r>
            <w:r>
              <w:rPr>
                <w:noProof/>
                <w:sz w:val="22"/>
              </w:rPr>
              <w:br/>
            </w:r>
            <w:r>
              <w:rPr>
                <w:b/>
                <w:noProof/>
                <w:sz w:val="16"/>
              </w:rPr>
              <w:t>2022</w:t>
            </w:r>
          </w:p>
        </w:tc>
        <w:tc>
          <w:tcPr>
            <w:tcW w:w="1080" w:type="dxa"/>
          </w:tcPr>
          <w:p w:rsidR="00D03C46" w:rsidRDefault="00BD37FC">
            <w:pPr>
              <w:spacing w:line="200" w:lineRule="exact"/>
              <w:jc w:val="center"/>
              <w:rPr>
                <w:noProof/>
                <w:sz w:val="16"/>
              </w:rPr>
            </w:pPr>
            <w:r>
              <w:rPr>
                <w:noProof/>
                <w:sz w:val="16"/>
              </w:rPr>
              <w:t>Vuosi</w:t>
            </w:r>
            <w:r>
              <w:rPr>
                <w:noProof/>
                <w:sz w:val="22"/>
              </w:rPr>
              <w:br/>
            </w:r>
            <w:r>
              <w:rPr>
                <w:b/>
                <w:noProof/>
                <w:sz w:val="16"/>
              </w:rPr>
              <w:t>2023</w:t>
            </w:r>
          </w:p>
        </w:tc>
        <w:tc>
          <w:tcPr>
            <w:tcW w:w="1080" w:type="dxa"/>
          </w:tcPr>
          <w:p w:rsidR="00D03C46" w:rsidRDefault="00BD37FC">
            <w:pPr>
              <w:spacing w:line="200" w:lineRule="exact"/>
              <w:jc w:val="center"/>
              <w:rPr>
                <w:noProof/>
                <w:sz w:val="16"/>
              </w:rPr>
            </w:pPr>
            <w:r>
              <w:rPr>
                <w:noProof/>
                <w:sz w:val="16"/>
              </w:rPr>
              <w:t>Vuosi</w:t>
            </w:r>
            <w:r>
              <w:rPr>
                <w:noProof/>
                <w:sz w:val="22"/>
              </w:rPr>
              <w:br/>
            </w:r>
            <w:r>
              <w:rPr>
                <w:b/>
                <w:noProof/>
                <w:sz w:val="16"/>
              </w:rPr>
              <w:t>2024</w:t>
            </w:r>
          </w:p>
        </w:tc>
        <w:tc>
          <w:tcPr>
            <w:tcW w:w="1191" w:type="dxa"/>
            <w:vAlign w:val="center"/>
          </w:tcPr>
          <w:p w:rsidR="00D03C46" w:rsidRDefault="00BD37FC">
            <w:pPr>
              <w:spacing w:line="200" w:lineRule="exact"/>
              <w:jc w:val="center"/>
              <w:rPr>
                <w:b/>
                <w:noProof/>
                <w:sz w:val="16"/>
                <w:szCs w:val="16"/>
              </w:rPr>
            </w:pPr>
            <w:r>
              <w:rPr>
                <w:b/>
                <w:noProof/>
                <w:sz w:val="16"/>
              </w:rPr>
              <w:t>YHTEENSÄ</w:t>
            </w:r>
          </w:p>
        </w:tc>
      </w:tr>
    </w:tbl>
    <w:p w:rsidR="00D03C46" w:rsidRDefault="00D03C46">
      <w:pPr>
        <w:spacing w:line="200" w:lineRule="exact"/>
        <w:rPr>
          <w:noProof/>
          <w:sz w:val="16"/>
          <w:szCs w:val="16"/>
        </w:rPr>
      </w:pPr>
    </w:p>
    <w:tbl>
      <w:tblPr>
        <w:tblW w:w="9651"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191"/>
      </w:tblGrid>
      <w:tr w:rsidR="00D03C46">
        <w:trPr>
          <w:trHeight w:val="585"/>
        </w:trPr>
        <w:tc>
          <w:tcPr>
            <w:tcW w:w="1980" w:type="dxa"/>
            <w:shd w:val="clear" w:color="auto" w:fill="CCCCCC"/>
            <w:vAlign w:val="center"/>
          </w:tcPr>
          <w:p w:rsidR="00D03C46" w:rsidRDefault="00BD37FC">
            <w:pPr>
              <w:spacing w:before="60" w:after="60" w:line="200" w:lineRule="exact"/>
              <w:jc w:val="center"/>
              <w:rPr>
                <w:b/>
                <w:noProof/>
                <w:sz w:val="16"/>
                <w:szCs w:val="16"/>
              </w:rPr>
            </w:pPr>
            <w:r>
              <w:rPr>
                <w:b/>
                <w:noProof/>
                <w:sz w:val="16"/>
              </w:rPr>
              <w:t>Monivuotisen rahoituskehyksen</w:t>
            </w:r>
            <w:r>
              <w:rPr>
                <w:noProof/>
              </w:rPr>
              <w:t xml:space="preserve"> </w:t>
            </w:r>
            <w:r>
              <w:rPr>
                <w:b/>
                <w:noProof/>
                <w:sz w:val="16"/>
              </w:rPr>
              <w:t>OTSAKE 5</w:t>
            </w: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D03C46">
            <w:pPr>
              <w:spacing w:before="60" w:after="60" w:line="200" w:lineRule="exact"/>
              <w:jc w:val="right"/>
              <w:rPr>
                <w:b/>
                <w:noProof/>
                <w:sz w:val="16"/>
                <w:szCs w:val="16"/>
              </w:rPr>
            </w:pPr>
          </w:p>
        </w:tc>
      </w:tr>
      <w:tr w:rsidR="00D03C46">
        <w:trPr>
          <w:trHeight w:val="585"/>
        </w:trPr>
        <w:tc>
          <w:tcPr>
            <w:tcW w:w="1980" w:type="dxa"/>
            <w:vAlign w:val="center"/>
          </w:tcPr>
          <w:p w:rsidR="00D03C46" w:rsidRDefault="00BD37FC">
            <w:pPr>
              <w:spacing w:before="60" w:after="60" w:line="200" w:lineRule="exact"/>
              <w:ind w:left="72"/>
              <w:jc w:val="left"/>
              <w:rPr>
                <w:noProof/>
                <w:sz w:val="16"/>
                <w:szCs w:val="16"/>
              </w:rPr>
            </w:pPr>
            <w:r>
              <w:rPr>
                <w:noProof/>
                <w:sz w:val="16"/>
              </w:rPr>
              <w:t xml:space="preserve">Henkilöresurssit </w:t>
            </w:r>
          </w:p>
        </w:tc>
        <w:tc>
          <w:tcPr>
            <w:tcW w:w="1080" w:type="dxa"/>
            <w:vAlign w:val="center"/>
          </w:tcPr>
          <w:p w:rsidR="00D03C46" w:rsidRDefault="00BD37FC">
            <w:pPr>
              <w:spacing w:before="60" w:after="60" w:line="200" w:lineRule="exact"/>
              <w:jc w:val="right"/>
              <w:rPr>
                <w:noProof/>
                <w:sz w:val="16"/>
                <w:szCs w:val="16"/>
              </w:rPr>
            </w:pPr>
            <w:r>
              <w:rPr>
                <w:noProof/>
                <w:sz w:val="16"/>
              </w:rPr>
              <w:t>0,143</w:t>
            </w:r>
          </w:p>
        </w:tc>
        <w:tc>
          <w:tcPr>
            <w:tcW w:w="1080" w:type="dxa"/>
            <w:vAlign w:val="center"/>
          </w:tcPr>
          <w:p w:rsidR="00D03C46" w:rsidRDefault="00BD37FC">
            <w:pPr>
              <w:spacing w:before="60" w:after="60" w:line="200" w:lineRule="exact"/>
              <w:jc w:val="right"/>
              <w:rPr>
                <w:noProof/>
                <w:sz w:val="16"/>
                <w:szCs w:val="16"/>
              </w:rPr>
            </w:pPr>
            <w:r>
              <w:rPr>
                <w:noProof/>
                <w:sz w:val="16"/>
              </w:rPr>
              <w:t>0,143</w:t>
            </w: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BD37FC">
            <w:pPr>
              <w:spacing w:before="60" w:after="60" w:line="200" w:lineRule="exact"/>
              <w:jc w:val="center"/>
              <w:rPr>
                <w:b/>
                <w:noProof/>
                <w:sz w:val="16"/>
                <w:szCs w:val="16"/>
              </w:rPr>
            </w:pPr>
            <w:r>
              <w:rPr>
                <w:b/>
                <w:noProof/>
                <w:sz w:val="16"/>
              </w:rPr>
              <w:t>0,286</w:t>
            </w:r>
          </w:p>
        </w:tc>
      </w:tr>
      <w:tr w:rsidR="00D03C46">
        <w:trPr>
          <w:trHeight w:val="585"/>
        </w:trPr>
        <w:tc>
          <w:tcPr>
            <w:tcW w:w="1980" w:type="dxa"/>
            <w:vAlign w:val="center"/>
          </w:tcPr>
          <w:p w:rsidR="00D03C46" w:rsidRDefault="00BD37FC">
            <w:pPr>
              <w:spacing w:before="60" w:after="60" w:line="200" w:lineRule="exact"/>
              <w:ind w:left="72"/>
              <w:jc w:val="left"/>
              <w:rPr>
                <w:noProof/>
                <w:sz w:val="16"/>
                <w:szCs w:val="16"/>
              </w:rPr>
            </w:pPr>
            <w:r>
              <w:rPr>
                <w:noProof/>
                <w:sz w:val="16"/>
              </w:rPr>
              <w:t xml:space="preserve">Muut hallintomenot </w:t>
            </w: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D03C46">
            <w:pPr>
              <w:spacing w:before="60" w:after="60" w:line="200" w:lineRule="exact"/>
              <w:jc w:val="center"/>
              <w:rPr>
                <w:b/>
                <w:noProof/>
                <w:sz w:val="16"/>
                <w:szCs w:val="16"/>
              </w:rPr>
            </w:pPr>
          </w:p>
        </w:tc>
      </w:tr>
      <w:tr w:rsidR="00D03C46">
        <w:trPr>
          <w:trHeight w:val="585"/>
        </w:trPr>
        <w:tc>
          <w:tcPr>
            <w:tcW w:w="1980" w:type="dxa"/>
            <w:shd w:val="clear" w:color="auto" w:fill="CCCCCC"/>
            <w:vAlign w:val="center"/>
          </w:tcPr>
          <w:p w:rsidR="00D03C46" w:rsidRDefault="00BD37FC">
            <w:pPr>
              <w:spacing w:before="60" w:after="60" w:line="200" w:lineRule="exact"/>
              <w:jc w:val="center"/>
              <w:rPr>
                <w:b/>
                <w:noProof/>
                <w:sz w:val="16"/>
                <w:szCs w:val="16"/>
              </w:rPr>
            </w:pPr>
            <w:r>
              <w:rPr>
                <w:b/>
                <w:noProof/>
                <w:sz w:val="16"/>
              </w:rPr>
              <w:t xml:space="preserve">Monivuotisen rahoituskehyksen OTSAKE 5, välisumma </w:t>
            </w:r>
          </w:p>
        </w:tc>
        <w:tc>
          <w:tcPr>
            <w:tcW w:w="1080" w:type="dxa"/>
            <w:vAlign w:val="center"/>
          </w:tcPr>
          <w:p w:rsidR="00D03C46" w:rsidRDefault="00BD37FC">
            <w:pPr>
              <w:spacing w:before="60" w:after="60" w:line="200" w:lineRule="exact"/>
              <w:jc w:val="right"/>
              <w:rPr>
                <w:b/>
                <w:noProof/>
                <w:sz w:val="16"/>
                <w:szCs w:val="16"/>
              </w:rPr>
            </w:pPr>
            <w:r>
              <w:rPr>
                <w:b/>
                <w:noProof/>
                <w:sz w:val="16"/>
              </w:rPr>
              <w:t>0,143</w:t>
            </w:r>
          </w:p>
        </w:tc>
        <w:tc>
          <w:tcPr>
            <w:tcW w:w="1080" w:type="dxa"/>
            <w:vAlign w:val="center"/>
          </w:tcPr>
          <w:p w:rsidR="00D03C46" w:rsidRDefault="00BD37FC">
            <w:pPr>
              <w:spacing w:before="60" w:after="60" w:line="200" w:lineRule="exact"/>
              <w:jc w:val="right"/>
              <w:rPr>
                <w:b/>
                <w:noProof/>
                <w:sz w:val="16"/>
                <w:szCs w:val="16"/>
              </w:rPr>
            </w:pPr>
            <w:r>
              <w:rPr>
                <w:b/>
                <w:noProof/>
                <w:sz w:val="16"/>
              </w:rPr>
              <w:t>0,143</w:t>
            </w: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BD37FC">
            <w:pPr>
              <w:spacing w:before="60" w:after="60" w:line="200" w:lineRule="exact"/>
              <w:jc w:val="center"/>
              <w:rPr>
                <w:b/>
                <w:noProof/>
                <w:sz w:val="16"/>
                <w:szCs w:val="16"/>
              </w:rPr>
            </w:pPr>
            <w:r>
              <w:rPr>
                <w:b/>
                <w:noProof/>
                <w:sz w:val="16"/>
              </w:rPr>
              <w:t>0,286</w:t>
            </w:r>
          </w:p>
        </w:tc>
      </w:tr>
    </w:tbl>
    <w:p w:rsidR="00D03C46" w:rsidRDefault="00D03C46">
      <w:pPr>
        <w:spacing w:line="200" w:lineRule="exact"/>
        <w:rPr>
          <w:noProof/>
          <w:sz w:val="16"/>
          <w:szCs w:val="16"/>
        </w:rPr>
      </w:pPr>
    </w:p>
    <w:tbl>
      <w:tblPr>
        <w:tblW w:w="9651"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191"/>
      </w:tblGrid>
      <w:tr w:rsidR="00D03C46">
        <w:trPr>
          <w:trHeight w:val="585"/>
        </w:trPr>
        <w:tc>
          <w:tcPr>
            <w:tcW w:w="1980" w:type="dxa"/>
            <w:shd w:val="clear" w:color="auto" w:fill="CCCCCC"/>
            <w:vAlign w:val="center"/>
          </w:tcPr>
          <w:p w:rsidR="00D03C46" w:rsidRDefault="00BD37FC">
            <w:pPr>
              <w:spacing w:before="60" w:after="60" w:line="200" w:lineRule="exact"/>
              <w:jc w:val="center"/>
              <w:rPr>
                <w:noProof/>
                <w:sz w:val="16"/>
                <w:szCs w:val="16"/>
              </w:rPr>
            </w:pPr>
            <w:r>
              <w:rPr>
                <w:b/>
                <w:noProof/>
                <w:sz w:val="16"/>
              </w:rPr>
              <w:t>Monivuotisen rahoituskehyksen</w:t>
            </w:r>
            <w:r>
              <w:rPr>
                <w:rStyle w:val="FootnoteReference"/>
                <w:b/>
                <w:noProof/>
                <w:sz w:val="16"/>
              </w:rPr>
              <w:footnoteReference w:id="42"/>
            </w:r>
            <w:r>
              <w:rPr>
                <w:noProof/>
              </w:rPr>
              <w:t xml:space="preserve"> </w:t>
            </w:r>
            <w:r>
              <w:rPr>
                <w:b/>
                <w:noProof/>
                <w:sz w:val="16"/>
              </w:rPr>
              <w:t xml:space="preserve">OTSAKKEESEEN 5 sisältymättömät </w:t>
            </w:r>
          </w:p>
          <w:p w:rsidR="00D03C46" w:rsidRDefault="00D03C46">
            <w:pPr>
              <w:spacing w:before="0" w:after="0" w:line="200" w:lineRule="exact"/>
              <w:jc w:val="center"/>
              <w:rPr>
                <w:b/>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D03C46">
            <w:pPr>
              <w:spacing w:before="60" w:after="60" w:line="200" w:lineRule="exact"/>
              <w:jc w:val="right"/>
              <w:rPr>
                <w:b/>
                <w:noProof/>
                <w:sz w:val="16"/>
                <w:szCs w:val="16"/>
              </w:rPr>
            </w:pPr>
          </w:p>
        </w:tc>
      </w:tr>
      <w:tr w:rsidR="00D03C46">
        <w:trPr>
          <w:trHeight w:val="585"/>
        </w:trPr>
        <w:tc>
          <w:tcPr>
            <w:tcW w:w="1980" w:type="dxa"/>
            <w:vAlign w:val="center"/>
          </w:tcPr>
          <w:p w:rsidR="00D03C46" w:rsidRDefault="00BD37FC">
            <w:pPr>
              <w:spacing w:before="60" w:after="60" w:line="200" w:lineRule="exact"/>
              <w:ind w:left="72"/>
              <w:jc w:val="left"/>
              <w:rPr>
                <w:noProof/>
                <w:sz w:val="16"/>
                <w:szCs w:val="16"/>
              </w:rPr>
            </w:pPr>
            <w:r>
              <w:rPr>
                <w:noProof/>
                <w:sz w:val="16"/>
              </w:rPr>
              <w:t xml:space="preserve">Henkilöresurssit </w:t>
            </w: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D03C46">
            <w:pPr>
              <w:spacing w:before="60" w:after="60" w:line="200" w:lineRule="exact"/>
              <w:jc w:val="right"/>
              <w:rPr>
                <w:b/>
                <w:noProof/>
                <w:sz w:val="16"/>
                <w:szCs w:val="16"/>
              </w:rPr>
            </w:pPr>
          </w:p>
        </w:tc>
      </w:tr>
      <w:tr w:rsidR="00D03C46">
        <w:trPr>
          <w:trHeight w:val="585"/>
        </w:trPr>
        <w:tc>
          <w:tcPr>
            <w:tcW w:w="1980" w:type="dxa"/>
            <w:vAlign w:val="center"/>
          </w:tcPr>
          <w:p w:rsidR="00D03C46" w:rsidRDefault="00BD37FC">
            <w:pPr>
              <w:spacing w:before="60" w:after="60" w:line="200" w:lineRule="exact"/>
              <w:ind w:left="72"/>
              <w:jc w:val="left"/>
              <w:rPr>
                <w:noProof/>
                <w:sz w:val="16"/>
                <w:szCs w:val="16"/>
              </w:rPr>
            </w:pPr>
            <w:r>
              <w:rPr>
                <w:noProof/>
                <w:sz w:val="16"/>
              </w:rPr>
              <w:t>Muut hallintomenot</w:t>
            </w:r>
            <w:r>
              <w:rPr>
                <w:i/>
                <w:noProof/>
                <w:sz w:val="16"/>
              </w:rPr>
              <w:t xml:space="preserve"> (yksi komission henkilöstöön kuuluva)</w:t>
            </w:r>
          </w:p>
        </w:tc>
        <w:tc>
          <w:tcPr>
            <w:tcW w:w="1080" w:type="dxa"/>
            <w:vAlign w:val="center"/>
          </w:tcPr>
          <w:p w:rsidR="00D03C46" w:rsidRDefault="00BD37FC">
            <w:pPr>
              <w:spacing w:before="60" w:after="60" w:line="200" w:lineRule="exact"/>
              <w:jc w:val="right"/>
              <w:rPr>
                <w:noProof/>
                <w:sz w:val="16"/>
                <w:szCs w:val="16"/>
              </w:rPr>
            </w:pPr>
            <w:r>
              <w:rPr>
                <w:noProof/>
                <w:sz w:val="16"/>
              </w:rPr>
              <w:t>0,125</w:t>
            </w:r>
          </w:p>
        </w:tc>
        <w:tc>
          <w:tcPr>
            <w:tcW w:w="1080" w:type="dxa"/>
            <w:vAlign w:val="center"/>
          </w:tcPr>
          <w:p w:rsidR="00D03C46" w:rsidRDefault="00BD37FC">
            <w:pPr>
              <w:spacing w:before="60" w:after="60" w:line="200" w:lineRule="exact"/>
              <w:jc w:val="right"/>
              <w:rPr>
                <w:noProof/>
                <w:sz w:val="16"/>
                <w:szCs w:val="16"/>
              </w:rPr>
            </w:pPr>
            <w:r>
              <w:rPr>
                <w:noProof/>
                <w:sz w:val="16"/>
              </w:rPr>
              <w:t>0,125</w:t>
            </w: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BD37FC">
            <w:pPr>
              <w:spacing w:before="60" w:after="60" w:line="200" w:lineRule="exact"/>
              <w:jc w:val="right"/>
              <w:rPr>
                <w:b/>
                <w:noProof/>
                <w:sz w:val="16"/>
                <w:szCs w:val="16"/>
              </w:rPr>
            </w:pPr>
            <w:r>
              <w:rPr>
                <w:b/>
                <w:noProof/>
                <w:sz w:val="16"/>
              </w:rPr>
              <w:t>0,250</w:t>
            </w:r>
          </w:p>
        </w:tc>
      </w:tr>
      <w:tr w:rsidR="00D03C46">
        <w:trPr>
          <w:trHeight w:val="585"/>
        </w:trPr>
        <w:tc>
          <w:tcPr>
            <w:tcW w:w="1980" w:type="dxa"/>
            <w:shd w:val="clear" w:color="auto" w:fill="CCCCCC"/>
            <w:vAlign w:val="center"/>
          </w:tcPr>
          <w:p w:rsidR="00D03C46" w:rsidRDefault="00BD37FC">
            <w:pPr>
              <w:spacing w:before="60" w:after="60" w:line="200" w:lineRule="exact"/>
              <w:jc w:val="center"/>
              <w:rPr>
                <w:b/>
                <w:noProof/>
                <w:sz w:val="16"/>
                <w:szCs w:val="16"/>
              </w:rPr>
            </w:pPr>
            <w:r>
              <w:rPr>
                <w:b/>
                <w:noProof/>
                <w:sz w:val="16"/>
              </w:rPr>
              <w:t xml:space="preserve">Monivuotisen rahoituskehyksen OTSAKKEESEEN 5 sisältymättömät, välisumma </w:t>
            </w:r>
          </w:p>
        </w:tc>
        <w:tc>
          <w:tcPr>
            <w:tcW w:w="1080" w:type="dxa"/>
            <w:vAlign w:val="center"/>
          </w:tcPr>
          <w:p w:rsidR="00D03C46" w:rsidRDefault="00BD37FC">
            <w:pPr>
              <w:spacing w:before="60" w:after="60" w:line="200" w:lineRule="exact"/>
              <w:jc w:val="right"/>
              <w:rPr>
                <w:b/>
                <w:noProof/>
                <w:sz w:val="16"/>
              </w:rPr>
            </w:pPr>
            <w:r>
              <w:rPr>
                <w:b/>
                <w:noProof/>
                <w:sz w:val="16"/>
              </w:rPr>
              <w:t>0,125</w:t>
            </w:r>
          </w:p>
        </w:tc>
        <w:tc>
          <w:tcPr>
            <w:tcW w:w="1080" w:type="dxa"/>
            <w:vAlign w:val="center"/>
          </w:tcPr>
          <w:p w:rsidR="00D03C46" w:rsidRDefault="00BD37FC">
            <w:pPr>
              <w:spacing w:before="60" w:after="60" w:line="200" w:lineRule="exact"/>
              <w:jc w:val="right"/>
              <w:rPr>
                <w:b/>
                <w:noProof/>
                <w:sz w:val="16"/>
              </w:rPr>
            </w:pPr>
            <w:r>
              <w:rPr>
                <w:b/>
                <w:noProof/>
                <w:sz w:val="16"/>
              </w:rPr>
              <w:t>0,125</w:t>
            </w: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080" w:type="dxa"/>
            <w:vAlign w:val="center"/>
          </w:tcPr>
          <w:p w:rsidR="00D03C46" w:rsidRDefault="00D03C46">
            <w:pPr>
              <w:spacing w:before="60" w:after="60" w:line="200" w:lineRule="exact"/>
              <w:jc w:val="right"/>
              <w:rPr>
                <w:noProof/>
                <w:sz w:val="16"/>
                <w:szCs w:val="16"/>
              </w:rPr>
            </w:pPr>
          </w:p>
        </w:tc>
        <w:tc>
          <w:tcPr>
            <w:tcW w:w="1191" w:type="dxa"/>
            <w:vAlign w:val="center"/>
          </w:tcPr>
          <w:p w:rsidR="00D03C46" w:rsidRDefault="00BD37FC">
            <w:pPr>
              <w:spacing w:before="60" w:after="60" w:line="200" w:lineRule="exact"/>
              <w:jc w:val="right"/>
              <w:rPr>
                <w:b/>
                <w:noProof/>
                <w:sz w:val="16"/>
                <w:szCs w:val="16"/>
              </w:rPr>
            </w:pPr>
            <w:r>
              <w:rPr>
                <w:b/>
                <w:noProof/>
                <w:sz w:val="16"/>
              </w:rPr>
              <w:t>0,250</w:t>
            </w:r>
          </w:p>
        </w:tc>
      </w:tr>
    </w:tbl>
    <w:p w:rsidR="00D03C46" w:rsidRDefault="00D03C46">
      <w:pPr>
        <w:spacing w:line="200" w:lineRule="exact"/>
        <w:rPr>
          <w:noProof/>
          <w:sz w:val="16"/>
          <w:szCs w:val="16"/>
        </w:rPr>
      </w:pPr>
    </w:p>
    <w:tbl>
      <w:tblPr>
        <w:tblW w:w="9651"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191"/>
      </w:tblGrid>
      <w:tr w:rsidR="00D03C4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03C46" w:rsidRDefault="00BD37FC">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rsidR="00D03C46" w:rsidRDefault="00BD37FC">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rsidR="00D03C46" w:rsidRDefault="00BD37FC">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rsidR="00D03C46" w:rsidRDefault="00D03C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3C46" w:rsidRDefault="00D03C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3C46" w:rsidRDefault="00D03C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3C46" w:rsidRDefault="00D03C46">
            <w:pPr>
              <w:spacing w:before="60" w:after="60" w:line="200" w:lineRule="exact"/>
              <w:jc w:val="right"/>
              <w:rPr>
                <w:b/>
                <w:noProof/>
                <w:sz w:val="16"/>
                <w:szCs w:val="16"/>
              </w:rPr>
            </w:pPr>
          </w:p>
        </w:tc>
        <w:tc>
          <w:tcPr>
            <w:tcW w:w="1191" w:type="dxa"/>
            <w:tcBorders>
              <w:top w:val="single" w:sz="12" w:space="0" w:color="auto"/>
              <w:left w:val="single" w:sz="2" w:space="0" w:color="auto"/>
              <w:bottom w:val="single" w:sz="12" w:space="0" w:color="auto"/>
              <w:right w:val="single" w:sz="2" w:space="0" w:color="auto"/>
            </w:tcBorders>
            <w:vAlign w:val="center"/>
          </w:tcPr>
          <w:p w:rsidR="00D03C46" w:rsidRDefault="00BD37FC">
            <w:pPr>
              <w:spacing w:before="60" w:after="60" w:line="200" w:lineRule="exact"/>
              <w:jc w:val="center"/>
              <w:rPr>
                <w:b/>
                <w:noProof/>
                <w:sz w:val="16"/>
                <w:szCs w:val="16"/>
              </w:rPr>
            </w:pPr>
            <w:r>
              <w:rPr>
                <w:b/>
                <w:noProof/>
                <w:sz w:val="16"/>
              </w:rPr>
              <w:t>0,536</w:t>
            </w:r>
          </w:p>
        </w:tc>
      </w:tr>
    </w:tbl>
    <w:p w:rsidR="00D03C46" w:rsidRDefault="00BD37FC">
      <w:pPr>
        <w:rPr>
          <w:noProof/>
          <w:sz w:val="18"/>
        </w:rPr>
      </w:pPr>
      <w:r>
        <w:rPr>
          <w:noProof/>
          <w:sz w:val="18"/>
        </w:rPr>
        <w:t xml:space="preserve">Henkilöresursseja ja muita hallintomenoja koskeva määrärahatarve katetaan toimen hallinnointiin jo osoitetuilla pääosaston </w:t>
      </w:r>
      <w:r>
        <w:rPr>
          <w:noProof/>
          <w:sz w:val="18"/>
        </w:rPr>
        <w:t>määrärahoilla ja/tai pääosastossa toteutettujen uudelleenjärjestelyjen tuloksena saaduilla määrärahoilla sekä tarvittaessa sellaisilla lisäresursseilla, jotka toimea hallinnoiva pääosasto voi saada käyttöönsä vuotuisessa määrärahojen jakomenettelyssä talou</w:t>
      </w:r>
      <w:r>
        <w:rPr>
          <w:noProof/>
          <w:sz w:val="18"/>
        </w:rPr>
        <w:t>sarvion puitteissa.</w:t>
      </w:r>
    </w:p>
    <w:p w:rsidR="00D03C46" w:rsidRDefault="00D03C46">
      <w:pPr>
        <w:rPr>
          <w:noProof/>
          <w:sz w:val="18"/>
        </w:rPr>
        <w:sectPr w:rsidR="00D03C46" w:rsidSect="00BD37FC">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rsidR="00D03C46" w:rsidRDefault="00BD37FC">
      <w:pPr>
        <w:pStyle w:val="ManualHeading4"/>
        <w:rPr>
          <w:bCs/>
          <w:noProof/>
          <w:szCs w:val="24"/>
        </w:rPr>
      </w:pPr>
      <w:r>
        <w:lastRenderedPageBreak/>
        <w:t>3.2.3.2.</w:t>
      </w:r>
      <w:r>
        <w:tab/>
      </w:r>
      <w:r>
        <w:rPr>
          <w:noProof/>
        </w:rPr>
        <w:t>Henkilöresurssien arvioitu tarve</w:t>
      </w:r>
    </w:p>
    <w:p w:rsidR="00D03C46" w:rsidRDefault="00BD37FC">
      <w:pPr>
        <w:pStyle w:val="ListDash1"/>
        <w:rPr>
          <w:noProof/>
        </w:rPr>
      </w:pPr>
      <w:r>
        <w:rPr>
          <w:noProof/>
        </w:rPr>
        <w:sym w:font="Wingdings" w:char="F0A8"/>
      </w:r>
      <w:r>
        <w:rPr>
          <w:noProof/>
        </w:rPr>
        <w:tab/>
        <w:t xml:space="preserve">Ehdotus/aloite ei edellytä henkilöresursseja. </w:t>
      </w:r>
    </w:p>
    <w:p w:rsidR="00D03C46" w:rsidRDefault="00BD37FC">
      <w:pPr>
        <w:pStyle w:val="ListDash1"/>
        <w:rPr>
          <w:noProof/>
        </w:rPr>
      </w:pPr>
      <w:r>
        <w:rPr>
          <w:noProof/>
        </w:rPr>
        <w:t>X</w:t>
      </w:r>
      <w:r>
        <w:rPr>
          <w:noProof/>
        </w:rPr>
        <w:tab/>
        <w:t>Ehdotus/aloite edellyttää henkilöresursseja seuraavasti:</w:t>
      </w:r>
    </w:p>
    <w:p w:rsidR="00D03C46" w:rsidRDefault="00BD37FC">
      <w:pPr>
        <w:spacing w:after="60"/>
        <w:jc w:val="right"/>
        <w:rPr>
          <w:i/>
          <w:noProof/>
          <w:sz w:val="20"/>
        </w:rPr>
      </w:pPr>
      <w:r>
        <w:rPr>
          <w:i/>
          <w:noProof/>
          <w:sz w:val="20"/>
        </w:rPr>
        <w:t xml:space="preserve">Arvio kokoaikaiseksi </w:t>
      </w:r>
      <w:r>
        <w:rPr>
          <w:i/>
          <w:noProof/>
          <w:sz w:val="20"/>
        </w:rPr>
        <w:t>henkilöstöksi muutettuna</w:t>
      </w:r>
    </w:p>
    <w:tbl>
      <w:tblPr>
        <w:tblW w:w="45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1955"/>
        <w:gridCol w:w="1955"/>
        <w:gridCol w:w="654"/>
        <w:gridCol w:w="654"/>
        <w:gridCol w:w="774"/>
        <w:gridCol w:w="706"/>
        <w:gridCol w:w="854"/>
        <w:gridCol w:w="849"/>
      </w:tblGrid>
      <w:tr w:rsidR="00D03C46">
        <w:trPr>
          <w:gridBefore w:val="1"/>
          <w:wBefore w:w="5" w:type="pct"/>
          <w:trHeight w:val="289"/>
          <w:jc w:val="center"/>
        </w:trPr>
        <w:tc>
          <w:tcPr>
            <w:tcW w:w="2323" w:type="pct"/>
            <w:gridSpan w:val="2"/>
            <w:shd w:val="clear" w:color="auto" w:fill="auto"/>
          </w:tcPr>
          <w:p w:rsidR="00D03C46" w:rsidRDefault="00D03C46">
            <w:pPr>
              <w:pStyle w:val="Text1"/>
              <w:spacing w:before="40" w:after="40"/>
              <w:ind w:left="0"/>
              <w:jc w:val="center"/>
              <w:rPr>
                <w:i/>
                <w:noProof/>
                <w:sz w:val="16"/>
                <w:szCs w:val="16"/>
              </w:rPr>
            </w:pPr>
          </w:p>
        </w:tc>
        <w:tc>
          <w:tcPr>
            <w:tcW w:w="389" w:type="pct"/>
            <w:shd w:val="clear" w:color="auto" w:fill="auto"/>
            <w:vAlign w:val="center"/>
          </w:tcPr>
          <w:p w:rsidR="00D03C46" w:rsidRDefault="00BD37FC">
            <w:pPr>
              <w:spacing w:before="20" w:after="20"/>
              <w:jc w:val="center"/>
              <w:rPr>
                <w:noProof/>
                <w:sz w:val="16"/>
                <w:szCs w:val="16"/>
              </w:rPr>
            </w:pPr>
            <w:r>
              <w:rPr>
                <w:noProof/>
                <w:sz w:val="16"/>
              </w:rPr>
              <w:t>Vuosi</w:t>
            </w:r>
            <w:r>
              <w:rPr>
                <w:noProof/>
                <w:sz w:val="22"/>
              </w:rPr>
              <w:br/>
            </w:r>
            <w:r>
              <w:rPr>
                <w:b/>
                <w:noProof/>
                <w:sz w:val="16"/>
              </w:rPr>
              <w:t>2019</w:t>
            </w:r>
          </w:p>
        </w:tc>
        <w:tc>
          <w:tcPr>
            <w:tcW w:w="389" w:type="pct"/>
            <w:shd w:val="clear" w:color="auto" w:fill="auto"/>
            <w:vAlign w:val="center"/>
          </w:tcPr>
          <w:p w:rsidR="00D03C46" w:rsidRDefault="00BD37FC">
            <w:pPr>
              <w:spacing w:before="20" w:after="20"/>
              <w:jc w:val="center"/>
              <w:rPr>
                <w:noProof/>
                <w:sz w:val="16"/>
                <w:szCs w:val="16"/>
              </w:rPr>
            </w:pPr>
            <w:r>
              <w:rPr>
                <w:noProof/>
                <w:sz w:val="16"/>
              </w:rPr>
              <w:t>Vuosi</w:t>
            </w:r>
            <w:r>
              <w:rPr>
                <w:noProof/>
                <w:sz w:val="22"/>
              </w:rPr>
              <w:br/>
            </w:r>
            <w:r>
              <w:rPr>
                <w:b/>
                <w:noProof/>
                <w:sz w:val="16"/>
              </w:rPr>
              <w:t>2020</w:t>
            </w:r>
          </w:p>
        </w:tc>
        <w:tc>
          <w:tcPr>
            <w:tcW w:w="460" w:type="pct"/>
            <w:shd w:val="clear" w:color="auto" w:fill="auto"/>
            <w:vAlign w:val="center"/>
          </w:tcPr>
          <w:p w:rsidR="00D03C46" w:rsidRDefault="00BD37FC">
            <w:pPr>
              <w:spacing w:before="20" w:after="20"/>
              <w:jc w:val="center"/>
              <w:rPr>
                <w:noProof/>
                <w:sz w:val="16"/>
                <w:szCs w:val="16"/>
              </w:rPr>
            </w:pPr>
            <w:r>
              <w:rPr>
                <w:noProof/>
                <w:sz w:val="16"/>
              </w:rPr>
              <w:t xml:space="preserve">Vuosi </w:t>
            </w:r>
            <w:r>
              <w:rPr>
                <w:b/>
                <w:noProof/>
                <w:sz w:val="16"/>
              </w:rPr>
              <w:t>2021</w:t>
            </w:r>
          </w:p>
        </w:tc>
        <w:tc>
          <w:tcPr>
            <w:tcW w:w="420" w:type="pct"/>
            <w:shd w:val="clear" w:color="auto" w:fill="auto"/>
            <w:vAlign w:val="center"/>
          </w:tcPr>
          <w:p w:rsidR="00D03C46" w:rsidRDefault="00BD37FC">
            <w:pPr>
              <w:spacing w:before="20" w:after="20"/>
              <w:jc w:val="center"/>
              <w:rPr>
                <w:noProof/>
                <w:sz w:val="16"/>
                <w:szCs w:val="16"/>
              </w:rPr>
            </w:pPr>
            <w:r>
              <w:rPr>
                <w:noProof/>
                <w:sz w:val="16"/>
              </w:rPr>
              <w:t xml:space="preserve">Vuosi </w:t>
            </w:r>
            <w:r>
              <w:rPr>
                <w:b/>
                <w:noProof/>
                <w:sz w:val="16"/>
              </w:rPr>
              <w:t>2022</w:t>
            </w:r>
          </w:p>
        </w:tc>
        <w:tc>
          <w:tcPr>
            <w:tcW w:w="508" w:type="pct"/>
            <w:shd w:val="clear" w:color="auto" w:fill="auto"/>
            <w:vAlign w:val="center"/>
          </w:tcPr>
          <w:p w:rsidR="00D03C46" w:rsidRDefault="00BD37FC">
            <w:pPr>
              <w:jc w:val="center"/>
              <w:rPr>
                <w:b/>
                <w:noProof/>
                <w:sz w:val="16"/>
                <w:szCs w:val="16"/>
              </w:rPr>
            </w:pPr>
            <w:r>
              <w:rPr>
                <w:noProof/>
                <w:sz w:val="16"/>
              </w:rPr>
              <w:t xml:space="preserve">Vuosi </w:t>
            </w:r>
            <w:r>
              <w:rPr>
                <w:b/>
                <w:noProof/>
                <w:sz w:val="16"/>
              </w:rPr>
              <w:t>2023</w:t>
            </w:r>
          </w:p>
        </w:tc>
        <w:tc>
          <w:tcPr>
            <w:tcW w:w="506" w:type="pct"/>
            <w:shd w:val="clear" w:color="auto" w:fill="auto"/>
            <w:vAlign w:val="center"/>
          </w:tcPr>
          <w:p w:rsidR="00D03C46" w:rsidRDefault="00BD37FC">
            <w:pPr>
              <w:jc w:val="center"/>
              <w:rPr>
                <w:b/>
                <w:noProof/>
                <w:sz w:val="16"/>
                <w:szCs w:val="16"/>
              </w:rPr>
            </w:pPr>
            <w:r>
              <w:rPr>
                <w:noProof/>
                <w:sz w:val="16"/>
              </w:rPr>
              <w:t xml:space="preserve">Vuosi </w:t>
            </w:r>
            <w:r>
              <w:rPr>
                <w:b/>
                <w:noProof/>
                <w:sz w:val="16"/>
              </w:rPr>
              <w:t>2024</w:t>
            </w:r>
          </w:p>
        </w:tc>
      </w:tr>
      <w:tr w:rsidR="00D03C46">
        <w:trPr>
          <w:gridBefore w:val="1"/>
          <w:wBefore w:w="5" w:type="pct"/>
          <w:trHeight w:val="289"/>
          <w:jc w:val="center"/>
        </w:trPr>
        <w:tc>
          <w:tcPr>
            <w:tcW w:w="3561" w:type="pct"/>
            <w:gridSpan w:val="5"/>
            <w:shd w:val="clear" w:color="auto" w:fill="auto"/>
          </w:tcPr>
          <w:p w:rsidR="00D03C46" w:rsidRDefault="00BD37FC">
            <w:pPr>
              <w:spacing w:before="20" w:after="20"/>
              <w:rPr>
                <w:noProof/>
                <w:sz w:val="16"/>
                <w:szCs w:val="16"/>
              </w:rPr>
            </w:pPr>
            <w:r>
              <w:rPr>
                <w:b/>
                <w:noProof/>
                <w:sz w:val="16"/>
              </w:rPr>
              <w:sym w:font="Wingdings" w:char="F09F"/>
            </w:r>
            <w:r>
              <w:rPr>
                <w:b/>
                <w:noProof/>
                <w:sz w:val="16"/>
              </w:rPr>
              <w:t xml:space="preserve"> Henkilöstötaulukkoon sisältyvät virat/toimet (virkamiehet ja väliaikaiset toimihenkilöt)</w:t>
            </w:r>
          </w:p>
        </w:tc>
        <w:tc>
          <w:tcPr>
            <w:tcW w:w="420" w:type="pct"/>
            <w:shd w:val="clear" w:color="auto" w:fill="auto"/>
            <w:vAlign w:val="center"/>
          </w:tcPr>
          <w:p w:rsidR="00D03C46" w:rsidRDefault="00D03C46">
            <w:pPr>
              <w:spacing w:before="20" w:after="20"/>
              <w:jc w:val="center"/>
              <w:rPr>
                <w:noProof/>
                <w:sz w:val="16"/>
                <w:szCs w:val="16"/>
              </w:rPr>
            </w:pPr>
          </w:p>
        </w:tc>
        <w:tc>
          <w:tcPr>
            <w:tcW w:w="1014" w:type="pct"/>
            <w:gridSpan w:val="2"/>
            <w:shd w:val="clear" w:color="auto" w:fill="auto"/>
            <w:vAlign w:val="center"/>
          </w:tcPr>
          <w:p w:rsidR="00D03C46" w:rsidRDefault="00D03C46">
            <w:pPr>
              <w:jc w:val="center"/>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4"/>
              <w:jc w:val="left"/>
              <w:rPr>
                <w:b/>
                <w:noProof/>
                <w:sz w:val="16"/>
                <w:szCs w:val="16"/>
              </w:rPr>
            </w:pPr>
            <w:r>
              <w:rPr>
                <w:noProof/>
                <w:sz w:val="16"/>
              </w:rPr>
              <w:t>33. 01 01 01 (päätoimipaikka ja komission edustustot EU:ssa)</w:t>
            </w:r>
          </w:p>
        </w:tc>
        <w:tc>
          <w:tcPr>
            <w:tcW w:w="389" w:type="pct"/>
            <w:shd w:val="clear" w:color="auto" w:fill="auto"/>
            <w:vAlign w:val="center"/>
          </w:tcPr>
          <w:p w:rsidR="00D03C46" w:rsidRDefault="00BD37FC">
            <w:pPr>
              <w:spacing w:beforeLines="20" w:before="48" w:afterLines="20" w:after="48"/>
              <w:jc w:val="center"/>
              <w:rPr>
                <w:noProof/>
                <w:sz w:val="16"/>
                <w:szCs w:val="16"/>
              </w:rPr>
            </w:pPr>
            <w:r>
              <w:rPr>
                <w:noProof/>
                <w:sz w:val="16"/>
              </w:rPr>
              <w:t>1</w:t>
            </w:r>
          </w:p>
        </w:tc>
        <w:tc>
          <w:tcPr>
            <w:tcW w:w="389" w:type="pct"/>
            <w:shd w:val="clear" w:color="auto" w:fill="auto"/>
            <w:vAlign w:val="center"/>
          </w:tcPr>
          <w:p w:rsidR="00D03C46" w:rsidRDefault="00BD37FC">
            <w:pPr>
              <w:spacing w:beforeLines="20" w:before="48" w:afterLines="20" w:after="48"/>
              <w:jc w:val="center"/>
              <w:rPr>
                <w:noProof/>
                <w:sz w:val="16"/>
                <w:szCs w:val="16"/>
              </w:rPr>
            </w:pPr>
            <w:r>
              <w:rPr>
                <w:noProof/>
                <w:sz w:val="16"/>
              </w:rPr>
              <w:t>1</w:t>
            </w: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4"/>
              <w:jc w:val="left"/>
              <w:rPr>
                <w:noProof/>
                <w:sz w:val="16"/>
                <w:szCs w:val="16"/>
              </w:rPr>
            </w:pPr>
            <w:r>
              <w:rPr>
                <w:noProof/>
                <w:sz w:val="16"/>
              </w:rPr>
              <w:t>XX 01 01 02 (edustustot EU:n ulkopuolella)</w:t>
            </w: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4"/>
              <w:jc w:val="left"/>
              <w:rPr>
                <w:noProof/>
                <w:sz w:val="16"/>
                <w:szCs w:val="16"/>
              </w:rPr>
            </w:pPr>
            <w:r>
              <w:rPr>
                <w:noProof/>
                <w:sz w:val="16"/>
              </w:rPr>
              <w:t>XX 01 05 01 (epäsuora tutkimustoiminta)</w:t>
            </w: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4"/>
              <w:jc w:val="left"/>
              <w:rPr>
                <w:noProof/>
                <w:sz w:val="16"/>
                <w:szCs w:val="16"/>
              </w:rPr>
            </w:pPr>
            <w:r>
              <w:rPr>
                <w:noProof/>
                <w:sz w:val="16"/>
              </w:rPr>
              <w:t>10 01 05 01 (suora tutkimustoiminta)</w:t>
            </w: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After w:val="3"/>
          <w:wAfter w:w="1433" w:type="pct"/>
          <w:trHeight w:val="248"/>
          <w:jc w:val="center"/>
        </w:trPr>
        <w:tc>
          <w:tcPr>
            <w:tcW w:w="3567" w:type="pct"/>
            <w:gridSpan w:val="6"/>
            <w:shd w:val="clear" w:color="auto" w:fill="auto"/>
            <w:vAlign w:val="center"/>
          </w:tcPr>
          <w:p w:rsidR="00D03C46" w:rsidRDefault="00BD37FC">
            <w:pPr>
              <w:pStyle w:val="Text1"/>
              <w:spacing w:before="60" w:after="60"/>
              <w:ind w:left="0"/>
              <w:jc w:val="left"/>
              <w:rPr>
                <w:b/>
                <w:noProof/>
                <w:sz w:val="16"/>
                <w:szCs w:val="16"/>
              </w:rPr>
            </w:pPr>
            <w:r>
              <w:rPr>
                <w:b/>
                <w:noProof/>
                <w:sz w:val="16"/>
              </w:rPr>
              <w:sym w:font="Wingdings" w:char="F09F"/>
            </w:r>
            <w:r>
              <w:rPr>
                <w:b/>
                <w:noProof/>
                <w:sz w:val="16"/>
              </w:rPr>
              <w:t xml:space="preserve"> Ulkopuolinen henkilöstö (kokoaikaiseksi muutettuna</w:t>
            </w:r>
            <w:r>
              <w:rPr>
                <w:rStyle w:val="FootnoteReference"/>
                <w:b/>
                <w:noProof/>
                <w:sz w:val="16"/>
              </w:rPr>
              <w:footnoteReference w:id="43"/>
            </w:r>
            <w:r>
              <w:rPr>
                <w:b/>
                <w:noProof/>
                <w:sz w:val="16"/>
              </w:rPr>
              <w:t>)</w:t>
            </w:r>
          </w:p>
          <w:p w:rsidR="00D03C46" w:rsidRDefault="00D03C46">
            <w:pPr>
              <w:pStyle w:val="Text1"/>
              <w:spacing w:before="0" w:after="0"/>
              <w:ind w:left="0"/>
              <w:jc w:val="left"/>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6"/>
              <w:jc w:val="left"/>
              <w:rPr>
                <w:b/>
                <w:noProof/>
                <w:sz w:val="16"/>
                <w:szCs w:val="16"/>
              </w:rPr>
            </w:pPr>
            <w:r>
              <w:rPr>
                <w:noProof/>
                <w:sz w:val="16"/>
              </w:rPr>
              <w:t xml:space="preserve">33. 01 02 01 (AC, END ja INT, kokonaismäärärahoista </w:t>
            </w:r>
            <w:r>
              <w:rPr>
                <w:noProof/>
                <w:sz w:val="16"/>
              </w:rPr>
              <w:t>katettavat)</w:t>
            </w: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6"/>
              <w:jc w:val="left"/>
              <w:rPr>
                <w:noProof/>
                <w:sz w:val="16"/>
                <w:szCs w:val="16"/>
              </w:rPr>
            </w:pPr>
            <w:r>
              <w:rPr>
                <w:noProof/>
                <w:sz w:val="16"/>
              </w:rPr>
              <w:t>XX 01 02 02 (AC, AL, END, INT ja JED, EU:n ulkopuolisissa edustustoissa)</w:t>
            </w: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1162" w:type="pct"/>
            <w:vMerge w:val="restart"/>
            <w:shd w:val="clear" w:color="auto" w:fill="auto"/>
            <w:vAlign w:val="center"/>
          </w:tcPr>
          <w:p w:rsidR="00D03C46" w:rsidRDefault="00BD37FC">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4"/>
            </w:r>
          </w:p>
          <w:p w:rsidR="00D03C46" w:rsidRDefault="00D03C46">
            <w:pPr>
              <w:pStyle w:val="Text1"/>
              <w:spacing w:beforeLines="20" w:before="48" w:afterLines="20" w:after="48"/>
              <w:ind w:left="136"/>
              <w:jc w:val="left"/>
              <w:rPr>
                <w:b/>
                <w:noProof/>
                <w:sz w:val="16"/>
                <w:szCs w:val="16"/>
              </w:rPr>
            </w:pPr>
          </w:p>
        </w:tc>
        <w:tc>
          <w:tcPr>
            <w:tcW w:w="1162" w:type="pct"/>
            <w:shd w:val="clear" w:color="auto" w:fill="auto"/>
            <w:vAlign w:val="center"/>
          </w:tcPr>
          <w:p w:rsidR="00D03C46" w:rsidRDefault="00BD37FC">
            <w:pPr>
              <w:pStyle w:val="Text1"/>
              <w:spacing w:beforeLines="20" w:before="48" w:afterLines="20" w:after="48"/>
              <w:ind w:left="136"/>
              <w:jc w:val="left"/>
              <w:rPr>
                <w:b/>
                <w:noProof/>
                <w:sz w:val="16"/>
                <w:szCs w:val="16"/>
              </w:rPr>
            </w:pPr>
            <w:r>
              <w:rPr>
                <w:noProof/>
                <w:sz w:val="16"/>
              </w:rPr>
              <w:t>– päätoimipaikassa</w:t>
            </w:r>
          </w:p>
          <w:p w:rsidR="00D03C46" w:rsidRDefault="00D03C46">
            <w:pPr>
              <w:pStyle w:val="Text1"/>
              <w:spacing w:beforeLines="20" w:before="48" w:afterLines="20" w:after="48"/>
              <w:ind w:left="136"/>
              <w:jc w:val="left"/>
              <w:rPr>
                <w:b/>
                <w:noProof/>
                <w:sz w:val="16"/>
                <w:szCs w:val="16"/>
              </w:rPr>
            </w:pPr>
          </w:p>
        </w:tc>
        <w:tc>
          <w:tcPr>
            <w:tcW w:w="389" w:type="pct"/>
            <w:shd w:val="clear" w:color="auto" w:fill="auto"/>
            <w:vAlign w:val="center"/>
          </w:tcPr>
          <w:p w:rsidR="00D03C46" w:rsidRDefault="00D03C46">
            <w:pPr>
              <w:pStyle w:val="Text1"/>
              <w:spacing w:beforeLines="20" w:before="48" w:afterLines="20" w:after="48"/>
              <w:ind w:left="0"/>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1162" w:type="pct"/>
            <w:vMerge/>
            <w:shd w:val="clear" w:color="auto" w:fill="auto"/>
            <w:vAlign w:val="center"/>
          </w:tcPr>
          <w:p w:rsidR="00D03C46" w:rsidRDefault="00D03C46">
            <w:pPr>
              <w:pStyle w:val="Text1"/>
              <w:spacing w:beforeLines="20" w:before="48" w:afterLines="20" w:after="48"/>
              <w:ind w:left="136"/>
              <w:jc w:val="left"/>
              <w:rPr>
                <w:b/>
                <w:noProof/>
                <w:sz w:val="16"/>
                <w:szCs w:val="16"/>
              </w:rPr>
            </w:pPr>
          </w:p>
        </w:tc>
        <w:tc>
          <w:tcPr>
            <w:tcW w:w="1162" w:type="pct"/>
            <w:shd w:val="clear" w:color="auto" w:fill="auto"/>
            <w:vAlign w:val="center"/>
          </w:tcPr>
          <w:p w:rsidR="00D03C46" w:rsidRDefault="00BD37FC">
            <w:pPr>
              <w:pStyle w:val="Text1"/>
              <w:spacing w:beforeLines="20" w:before="48" w:afterLines="20" w:after="48"/>
              <w:ind w:left="136"/>
              <w:jc w:val="left"/>
              <w:rPr>
                <w:b/>
                <w:noProof/>
                <w:sz w:val="16"/>
                <w:szCs w:val="16"/>
              </w:rPr>
            </w:pPr>
            <w:r>
              <w:rPr>
                <w:noProof/>
                <w:sz w:val="16"/>
              </w:rPr>
              <w:t xml:space="preserve">– edustustoissa </w:t>
            </w:r>
          </w:p>
        </w:tc>
        <w:tc>
          <w:tcPr>
            <w:tcW w:w="389" w:type="pct"/>
            <w:shd w:val="clear" w:color="auto" w:fill="auto"/>
            <w:vAlign w:val="center"/>
          </w:tcPr>
          <w:p w:rsidR="00D03C46" w:rsidRDefault="00D03C46">
            <w:pPr>
              <w:pStyle w:val="Text1"/>
              <w:spacing w:beforeLines="20" w:before="48" w:afterLines="20" w:after="48"/>
              <w:ind w:left="0"/>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6"/>
              <w:jc w:val="left"/>
              <w:rPr>
                <w:noProof/>
                <w:sz w:val="16"/>
                <w:szCs w:val="16"/>
              </w:rPr>
            </w:pPr>
            <w:r>
              <w:rPr>
                <w:b/>
                <w:noProof/>
                <w:sz w:val="16"/>
              </w:rPr>
              <w:t>XX</w:t>
            </w:r>
            <w:r>
              <w:rPr>
                <w:noProof/>
                <w:sz w:val="16"/>
              </w:rPr>
              <w:t xml:space="preserve"> 01 05 02 (epäsuora tutkimustoiminta: AC, END ja INT)</w:t>
            </w: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shd w:val="clear" w:color="auto" w:fill="auto"/>
            <w:vAlign w:val="center"/>
          </w:tcPr>
          <w:p w:rsidR="00D03C46" w:rsidRDefault="00BD37FC">
            <w:pPr>
              <w:pStyle w:val="Text1"/>
              <w:spacing w:beforeLines="20" w:before="48" w:afterLines="20" w:after="48"/>
              <w:ind w:left="136"/>
              <w:jc w:val="left"/>
              <w:rPr>
                <w:noProof/>
                <w:sz w:val="16"/>
                <w:szCs w:val="16"/>
              </w:rPr>
            </w:pPr>
            <w:r>
              <w:rPr>
                <w:noProof/>
                <w:sz w:val="16"/>
              </w:rPr>
              <w:t xml:space="preserve">10 01 05 02 (suora </w:t>
            </w:r>
            <w:r>
              <w:rPr>
                <w:noProof/>
                <w:sz w:val="16"/>
              </w:rPr>
              <w:t>tutkimustoiminta: AC, END ja INT)</w:t>
            </w: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389" w:type="pct"/>
            <w:shd w:val="clear" w:color="auto" w:fill="auto"/>
            <w:vAlign w:val="center"/>
          </w:tcPr>
          <w:p w:rsidR="00D03C46" w:rsidRDefault="00D03C46">
            <w:pPr>
              <w:spacing w:beforeLines="20" w:before="48" w:afterLines="20" w:after="48"/>
              <w:jc w:val="center"/>
              <w:rPr>
                <w:noProof/>
                <w:sz w:val="16"/>
                <w:szCs w:val="16"/>
              </w:rPr>
            </w:pPr>
          </w:p>
        </w:tc>
        <w:tc>
          <w:tcPr>
            <w:tcW w:w="460" w:type="pct"/>
            <w:shd w:val="clear" w:color="auto" w:fill="auto"/>
            <w:vAlign w:val="center"/>
          </w:tcPr>
          <w:p w:rsidR="00D03C46" w:rsidRDefault="00D03C46">
            <w:pPr>
              <w:spacing w:beforeLines="20" w:before="48" w:afterLines="20" w:after="48"/>
              <w:jc w:val="center"/>
              <w:rPr>
                <w:noProof/>
                <w:sz w:val="16"/>
                <w:szCs w:val="16"/>
              </w:rPr>
            </w:pPr>
          </w:p>
        </w:tc>
        <w:tc>
          <w:tcPr>
            <w:tcW w:w="420" w:type="pct"/>
            <w:shd w:val="clear" w:color="auto" w:fill="auto"/>
            <w:vAlign w:val="center"/>
          </w:tcPr>
          <w:p w:rsidR="00D03C46" w:rsidRDefault="00D03C46">
            <w:pPr>
              <w:spacing w:beforeLines="20" w:before="48" w:afterLines="20" w:after="48"/>
              <w:jc w:val="center"/>
              <w:rPr>
                <w:noProof/>
                <w:sz w:val="16"/>
                <w:szCs w:val="16"/>
              </w:rPr>
            </w:pPr>
          </w:p>
        </w:tc>
        <w:tc>
          <w:tcPr>
            <w:tcW w:w="508" w:type="pct"/>
            <w:shd w:val="clear" w:color="auto" w:fill="auto"/>
            <w:vAlign w:val="center"/>
          </w:tcPr>
          <w:p w:rsidR="00D03C46" w:rsidRDefault="00D03C46">
            <w:pPr>
              <w:spacing w:beforeLines="20" w:before="48" w:afterLines="20" w:after="48"/>
              <w:jc w:val="center"/>
              <w:rPr>
                <w:noProof/>
                <w:sz w:val="16"/>
                <w:szCs w:val="16"/>
              </w:rPr>
            </w:pPr>
          </w:p>
        </w:tc>
        <w:tc>
          <w:tcPr>
            <w:tcW w:w="506" w:type="pct"/>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tcBorders>
              <w:bottom w:val="double" w:sz="4" w:space="0" w:color="auto"/>
            </w:tcBorders>
            <w:shd w:val="clear" w:color="auto" w:fill="auto"/>
            <w:vAlign w:val="center"/>
          </w:tcPr>
          <w:p w:rsidR="00D03C46" w:rsidRDefault="00BD37FC">
            <w:pPr>
              <w:pStyle w:val="Text1"/>
              <w:spacing w:beforeLines="20" w:before="48" w:afterLines="20" w:after="48"/>
              <w:ind w:left="134"/>
              <w:jc w:val="left"/>
              <w:rPr>
                <w:noProof/>
                <w:sz w:val="16"/>
                <w:szCs w:val="16"/>
              </w:rPr>
            </w:pPr>
            <w:r>
              <w:rPr>
                <w:noProof/>
                <w:sz w:val="16"/>
              </w:rPr>
              <w:t>Muu budjettikohta (mikä?)</w:t>
            </w:r>
          </w:p>
        </w:tc>
        <w:tc>
          <w:tcPr>
            <w:tcW w:w="389" w:type="pct"/>
            <w:tcBorders>
              <w:bottom w:val="double" w:sz="4" w:space="0" w:color="auto"/>
            </w:tcBorders>
            <w:shd w:val="clear" w:color="auto" w:fill="auto"/>
            <w:vAlign w:val="center"/>
          </w:tcPr>
          <w:p w:rsidR="00D03C46" w:rsidRDefault="00D03C46">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rsidR="00D03C46" w:rsidRDefault="00D03C46">
            <w:pPr>
              <w:spacing w:beforeLines="20" w:before="48" w:afterLines="20" w:after="48"/>
              <w:jc w:val="center"/>
              <w:rPr>
                <w:noProof/>
                <w:sz w:val="16"/>
                <w:szCs w:val="16"/>
              </w:rPr>
            </w:pPr>
          </w:p>
        </w:tc>
        <w:tc>
          <w:tcPr>
            <w:tcW w:w="460" w:type="pct"/>
            <w:tcBorders>
              <w:bottom w:val="double" w:sz="4" w:space="0" w:color="auto"/>
            </w:tcBorders>
            <w:shd w:val="clear" w:color="auto" w:fill="auto"/>
            <w:vAlign w:val="center"/>
          </w:tcPr>
          <w:p w:rsidR="00D03C46" w:rsidRDefault="00D03C46">
            <w:pPr>
              <w:spacing w:beforeLines="20" w:before="48" w:afterLines="20" w:after="48"/>
              <w:jc w:val="center"/>
              <w:rPr>
                <w:noProof/>
                <w:sz w:val="16"/>
                <w:szCs w:val="16"/>
              </w:rPr>
            </w:pPr>
          </w:p>
        </w:tc>
        <w:tc>
          <w:tcPr>
            <w:tcW w:w="420" w:type="pct"/>
            <w:tcBorders>
              <w:bottom w:val="double" w:sz="4" w:space="0" w:color="auto"/>
            </w:tcBorders>
            <w:shd w:val="clear" w:color="auto" w:fill="auto"/>
            <w:vAlign w:val="center"/>
          </w:tcPr>
          <w:p w:rsidR="00D03C46" w:rsidRDefault="00D03C46">
            <w:pPr>
              <w:spacing w:beforeLines="20" w:before="48" w:afterLines="20" w:after="48"/>
              <w:jc w:val="center"/>
              <w:rPr>
                <w:noProof/>
                <w:sz w:val="16"/>
                <w:szCs w:val="16"/>
              </w:rPr>
            </w:pPr>
          </w:p>
        </w:tc>
        <w:tc>
          <w:tcPr>
            <w:tcW w:w="508" w:type="pct"/>
            <w:tcBorders>
              <w:bottom w:val="double" w:sz="4" w:space="0" w:color="auto"/>
            </w:tcBorders>
            <w:shd w:val="clear" w:color="auto" w:fill="auto"/>
            <w:vAlign w:val="center"/>
          </w:tcPr>
          <w:p w:rsidR="00D03C46" w:rsidRDefault="00D03C46">
            <w:pPr>
              <w:spacing w:beforeLines="20" w:before="48" w:afterLines="20" w:after="48"/>
              <w:jc w:val="center"/>
              <w:rPr>
                <w:noProof/>
                <w:sz w:val="16"/>
                <w:szCs w:val="16"/>
              </w:rPr>
            </w:pPr>
          </w:p>
        </w:tc>
        <w:tc>
          <w:tcPr>
            <w:tcW w:w="506" w:type="pct"/>
            <w:tcBorders>
              <w:bottom w:val="double" w:sz="4" w:space="0" w:color="auto"/>
            </w:tcBorders>
            <w:shd w:val="clear" w:color="auto" w:fill="auto"/>
            <w:vAlign w:val="center"/>
          </w:tcPr>
          <w:p w:rsidR="00D03C46" w:rsidRDefault="00D03C46">
            <w:pPr>
              <w:spacing w:beforeLines="20" w:before="48" w:afterLines="20" w:after="48"/>
              <w:jc w:val="center"/>
              <w:rPr>
                <w:noProof/>
                <w:sz w:val="16"/>
                <w:szCs w:val="16"/>
              </w:rPr>
            </w:pPr>
          </w:p>
        </w:tc>
      </w:tr>
      <w:tr w:rsidR="00D03C46">
        <w:trPr>
          <w:gridBefore w:val="1"/>
          <w:wBefore w:w="5" w:type="pct"/>
          <w:trHeight w:val="289"/>
          <w:jc w:val="center"/>
        </w:trPr>
        <w:tc>
          <w:tcPr>
            <w:tcW w:w="2323" w:type="pct"/>
            <w:gridSpan w:val="2"/>
            <w:tcBorders>
              <w:top w:val="double" w:sz="4" w:space="0" w:color="auto"/>
            </w:tcBorders>
            <w:shd w:val="clear" w:color="auto" w:fill="auto"/>
            <w:vAlign w:val="center"/>
          </w:tcPr>
          <w:p w:rsidR="00D03C46" w:rsidRDefault="00BD37FC">
            <w:pPr>
              <w:pStyle w:val="Text1"/>
              <w:spacing w:beforeLines="20" w:before="48" w:afterLines="20" w:after="48"/>
              <w:ind w:left="136"/>
              <w:jc w:val="left"/>
              <w:rPr>
                <w:noProof/>
                <w:sz w:val="16"/>
                <w:szCs w:val="16"/>
              </w:rPr>
            </w:pPr>
            <w:r>
              <w:rPr>
                <w:b/>
                <w:noProof/>
                <w:sz w:val="16"/>
              </w:rPr>
              <w:t>YHTEENSÄ</w:t>
            </w:r>
          </w:p>
        </w:tc>
        <w:tc>
          <w:tcPr>
            <w:tcW w:w="389" w:type="pct"/>
            <w:tcBorders>
              <w:top w:val="double" w:sz="4" w:space="0" w:color="auto"/>
            </w:tcBorders>
            <w:shd w:val="clear" w:color="auto" w:fill="auto"/>
            <w:vAlign w:val="center"/>
          </w:tcPr>
          <w:p w:rsidR="00D03C46" w:rsidRDefault="00BD37FC">
            <w:pPr>
              <w:spacing w:beforeLines="20" w:before="48" w:afterLines="20" w:after="48"/>
              <w:jc w:val="center"/>
              <w:rPr>
                <w:b/>
                <w:noProof/>
                <w:sz w:val="16"/>
                <w:szCs w:val="16"/>
              </w:rPr>
            </w:pPr>
            <w:r>
              <w:rPr>
                <w:b/>
                <w:noProof/>
                <w:sz w:val="16"/>
              </w:rPr>
              <w:t>1</w:t>
            </w:r>
          </w:p>
        </w:tc>
        <w:tc>
          <w:tcPr>
            <w:tcW w:w="389" w:type="pct"/>
            <w:tcBorders>
              <w:top w:val="double" w:sz="4" w:space="0" w:color="auto"/>
            </w:tcBorders>
            <w:shd w:val="clear" w:color="auto" w:fill="auto"/>
            <w:vAlign w:val="center"/>
          </w:tcPr>
          <w:p w:rsidR="00D03C46" w:rsidRDefault="00BD37FC">
            <w:pPr>
              <w:spacing w:beforeLines="20" w:before="48" w:afterLines="20" w:after="48"/>
              <w:jc w:val="center"/>
              <w:rPr>
                <w:b/>
                <w:noProof/>
                <w:sz w:val="16"/>
                <w:szCs w:val="16"/>
              </w:rPr>
            </w:pPr>
            <w:r>
              <w:rPr>
                <w:b/>
                <w:noProof/>
                <w:sz w:val="16"/>
              </w:rPr>
              <w:t>1</w:t>
            </w:r>
          </w:p>
        </w:tc>
        <w:tc>
          <w:tcPr>
            <w:tcW w:w="460" w:type="pct"/>
            <w:tcBorders>
              <w:top w:val="double" w:sz="4" w:space="0" w:color="auto"/>
            </w:tcBorders>
            <w:shd w:val="clear" w:color="auto" w:fill="auto"/>
            <w:vAlign w:val="center"/>
          </w:tcPr>
          <w:p w:rsidR="00D03C46" w:rsidRDefault="00D03C46">
            <w:pPr>
              <w:spacing w:beforeLines="20" w:before="48" w:afterLines="20" w:after="48"/>
              <w:jc w:val="center"/>
              <w:rPr>
                <w:b/>
                <w:noProof/>
                <w:sz w:val="16"/>
                <w:szCs w:val="16"/>
              </w:rPr>
            </w:pPr>
          </w:p>
        </w:tc>
        <w:tc>
          <w:tcPr>
            <w:tcW w:w="420" w:type="pct"/>
            <w:tcBorders>
              <w:top w:val="double" w:sz="4" w:space="0" w:color="auto"/>
            </w:tcBorders>
            <w:shd w:val="clear" w:color="auto" w:fill="auto"/>
            <w:vAlign w:val="center"/>
          </w:tcPr>
          <w:p w:rsidR="00D03C46" w:rsidRDefault="00D03C46">
            <w:pPr>
              <w:spacing w:beforeLines="20" w:before="48" w:afterLines="20" w:after="48"/>
              <w:jc w:val="center"/>
              <w:rPr>
                <w:b/>
                <w:noProof/>
                <w:sz w:val="16"/>
                <w:szCs w:val="16"/>
              </w:rPr>
            </w:pPr>
          </w:p>
        </w:tc>
        <w:tc>
          <w:tcPr>
            <w:tcW w:w="508" w:type="pct"/>
            <w:tcBorders>
              <w:top w:val="double" w:sz="4" w:space="0" w:color="auto"/>
            </w:tcBorders>
            <w:shd w:val="clear" w:color="auto" w:fill="auto"/>
            <w:vAlign w:val="center"/>
          </w:tcPr>
          <w:p w:rsidR="00D03C46" w:rsidRDefault="00D03C46">
            <w:pPr>
              <w:spacing w:beforeLines="20" w:before="48" w:afterLines="20" w:after="48"/>
              <w:jc w:val="center"/>
              <w:rPr>
                <w:b/>
                <w:noProof/>
                <w:sz w:val="16"/>
                <w:szCs w:val="16"/>
              </w:rPr>
            </w:pPr>
          </w:p>
        </w:tc>
        <w:tc>
          <w:tcPr>
            <w:tcW w:w="506" w:type="pct"/>
            <w:tcBorders>
              <w:top w:val="double" w:sz="4" w:space="0" w:color="auto"/>
            </w:tcBorders>
            <w:shd w:val="clear" w:color="auto" w:fill="auto"/>
            <w:vAlign w:val="center"/>
          </w:tcPr>
          <w:p w:rsidR="00D03C46" w:rsidRDefault="00D03C46">
            <w:pPr>
              <w:spacing w:beforeLines="20" w:before="48" w:afterLines="20" w:after="48"/>
              <w:jc w:val="center"/>
              <w:rPr>
                <w:b/>
                <w:noProof/>
                <w:sz w:val="16"/>
                <w:szCs w:val="16"/>
              </w:rPr>
            </w:pPr>
          </w:p>
        </w:tc>
      </w:tr>
    </w:tbl>
    <w:p w:rsidR="00D03C46" w:rsidRDefault="00BD37FC">
      <w:pPr>
        <w:pStyle w:val="Text1"/>
        <w:rPr>
          <w:noProof/>
          <w:sz w:val="18"/>
          <w:szCs w:val="18"/>
        </w:rPr>
      </w:pPr>
      <w:r>
        <w:rPr>
          <w:noProof/>
          <w:sz w:val="18"/>
        </w:rPr>
        <w:t xml:space="preserve">Henkilöresurssien tarve katetaan toimen hallinnointiin jo osoitetulla pääosaston henkilöstöllä ja/tai pääosastossa toteutettujen henkilöstön uudelleenjärjestelyjen </w:t>
      </w:r>
      <w:r>
        <w:rPr>
          <w:noProof/>
          <w:sz w:val="18"/>
        </w:rPr>
        <w:t>tuloksena saadulla henkilöstöllä sekä tarvittaessa sellaisilla lisäresursseilla, jotka toimea hallinnoiva pääosasto voi saada käyttöönsä vuotuisessa määrärahojen jakomenettelyssä talousarvion puitteissa.</w:t>
      </w:r>
    </w:p>
    <w:p w:rsidR="00D03C46" w:rsidRDefault="00BD37FC">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03C46">
        <w:tc>
          <w:tcPr>
            <w:tcW w:w="3240" w:type="dxa"/>
          </w:tcPr>
          <w:p w:rsidR="00D03C46" w:rsidRDefault="00BD37FC">
            <w:pPr>
              <w:rPr>
                <w:noProof/>
                <w:sz w:val="20"/>
              </w:rPr>
            </w:pPr>
            <w:r>
              <w:rPr>
                <w:noProof/>
                <w:sz w:val="20"/>
              </w:rPr>
              <w:t>Virkamiehet ja väliai</w:t>
            </w:r>
            <w:r>
              <w:rPr>
                <w:noProof/>
                <w:sz w:val="20"/>
              </w:rPr>
              <w:t>kaiset toimihenkilöt</w:t>
            </w:r>
          </w:p>
        </w:tc>
        <w:tc>
          <w:tcPr>
            <w:tcW w:w="7200" w:type="dxa"/>
          </w:tcPr>
          <w:p w:rsidR="00D03C46" w:rsidRDefault="00BD37FC">
            <w:pPr>
              <w:rPr>
                <w:noProof/>
                <w:sz w:val="20"/>
              </w:rPr>
            </w:pPr>
            <w:r>
              <w:rPr>
                <w:noProof/>
                <w:sz w:val="20"/>
              </w:rPr>
              <w:t xml:space="preserve">Käynnistää kiinnostuksenilmaisupyyntö ja koordinoida aloitetta </w:t>
            </w:r>
          </w:p>
        </w:tc>
      </w:tr>
      <w:tr w:rsidR="00D03C46">
        <w:tc>
          <w:tcPr>
            <w:tcW w:w="3240" w:type="dxa"/>
          </w:tcPr>
          <w:p w:rsidR="00D03C46" w:rsidRDefault="00BD37FC">
            <w:pPr>
              <w:spacing w:before="60" w:after="60"/>
              <w:rPr>
                <w:noProof/>
                <w:sz w:val="20"/>
              </w:rPr>
            </w:pPr>
            <w:r>
              <w:rPr>
                <w:noProof/>
                <w:sz w:val="20"/>
              </w:rPr>
              <w:t>Ulkopuolinen henkilöstö</w:t>
            </w:r>
          </w:p>
        </w:tc>
        <w:tc>
          <w:tcPr>
            <w:tcW w:w="7200" w:type="dxa"/>
          </w:tcPr>
          <w:p w:rsidR="00D03C46" w:rsidRDefault="00D03C46">
            <w:pPr>
              <w:rPr>
                <w:noProof/>
                <w:sz w:val="20"/>
              </w:rPr>
            </w:pPr>
          </w:p>
        </w:tc>
      </w:tr>
    </w:tbl>
    <w:p w:rsidR="00D03C46" w:rsidRDefault="00D03C46">
      <w:pPr>
        <w:rPr>
          <w:noProof/>
        </w:rPr>
        <w:sectPr w:rsidR="00D03C46" w:rsidSect="00BD37FC">
          <w:pgSz w:w="11907" w:h="16840"/>
          <w:pgMar w:top="1134" w:right="1418" w:bottom="1134" w:left="1418" w:header="709" w:footer="709" w:gutter="0"/>
          <w:cols w:space="708"/>
          <w:docGrid w:linePitch="360"/>
        </w:sectPr>
      </w:pPr>
    </w:p>
    <w:p w:rsidR="00D03C46" w:rsidRDefault="00BD37FC">
      <w:pPr>
        <w:pStyle w:val="ManualHeading3"/>
        <w:rPr>
          <w:bCs/>
          <w:noProof/>
          <w:szCs w:val="24"/>
        </w:rPr>
      </w:pPr>
      <w:r>
        <w:lastRenderedPageBreak/>
        <w:t>3.2.4.</w:t>
      </w:r>
      <w:r>
        <w:tab/>
      </w:r>
      <w:r>
        <w:rPr>
          <w:noProof/>
        </w:rPr>
        <w:t xml:space="preserve">Yhteensopivuus nykyisen monivuotisen rahoituskehyksen kanssa </w:t>
      </w:r>
    </w:p>
    <w:p w:rsidR="00D03C46" w:rsidRDefault="00BD37FC">
      <w:pPr>
        <w:pStyle w:val="ListDash1"/>
        <w:rPr>
          <w:noProof/>
        </w:rPr>
      </w:pPr>
      <w:r>
        <w:rPr>
          <w:noProof/>
        </w:rPr>
        <w:t>X</w:t>
      </w:r>
      <w:r>
        <w:rPr>
          <w:noProof/>
        </w:rPr>
        <w:tab/>
        <w:t xml:space="preserve">Ehdotus/aloite on nykyisen monivuotisen </w:t>
      </w:r>
      <w:r>
        <w:rPr>
          <w:noProof/>
        </w:rPr>
        <w:t>rahoituskehyksen mukainen.</w:t>
      </w:r>
    </w:p>
    <w:p w:rsidR="00D03C46" w:rsidRDefault="00BD37FC">
      <w:pPr>
        <w:pStyle w:val="ListDash1"/>
        <w:rPr>
          <w:noProof/>
        </w:rPr>
      </w:pPr>
      <w:r>
        <w:rPr>
          <w:noProof/>
        </w:rPr>
        <w:sym w:font="Wingdings" w:char="F0A8"/>
      </w:r>
      <w:r>
        <w:rPr>
          <w:noProof/>
        </w:rPr>
        <w:tab/>
        <w:t>Ehdotus/aloite edellyttää monivuotisen rahoituskehyksen asianomaisen otsakkeen rahoitussuunnitelman muuttamista.</w:t>
      </w:r>
    </w:p>
    <w:p w:rsidR="00D03C46" w:rsidRDefault="00BD37FC">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w:t>
      </w:r>
      <w:r>
        <w:rPr>
          <w:noProof/>
          <w:sz w:val="20"/>
        </w:rPr>
        <w:t>ät.</w:t>
      </w:r>
    </w:p>
    <w:p w:rsidR="00D03C46" w:rsidRDefault="00D03C46">
      <w:pPr>
        <w:pStyle w:val="Text1"/>
        <w:pBdr>
          <w:top w:val="single" w:sz="4" w:space="1" w:color="auto"/>
          <w:left w:val="single" w:sz="4" w:space="4" w:color="auto"/>
          <w:bottom w:val="single" w:sz="4" w:space="1" w:color="auto"/>
          <w:right w:val="single" w:sz="4" w:space="4" w:color="auto"/>
        </w:pBdr>
        <w:rPr>
          <w:noProof/>
        </w:rPr>
      </w:pPr>
    </w:p>
    <w:p w:rsidR="00D03C46" w:rsidRDefault="00BD37FC">
      <w:pPr>
        <w:pStyle w:val="ListDash1"/>
        <w:rPr>
          <w:noProof/>
        </w:rPr>
      </w:pPr>
      <w:r>
        <w:rPr>
          <w:noProof/>
        </w:rPr>
        <w:sym w:font="Wingdings" w:char="F0A8"/>
      </w:r>
      <w:r>
        <w:rPr>
          <w:noProof/>
        </w:rPr>
        <w:tab/>
        <w:t>Ehdotus/aloite edellyttää joustovälineen varojen käyttöön ottamista tai monivuotisen rahoituskehyksen tarkistamista.</w:t>
      </w:r>
    </w:p>
    <w:p w:rsidR="00D03C46" w:rsidRDefault="00BD37FC">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rsidR="00D03C46" w:rsidRDefault="00D03C46">
      <w:pPr>
        <w:pStyle w:val="Text1"/>
        <w:pBdr>
          <w:top w:val="single" w:sz="4" w:space="1" w:color="auto"/>
          <w:left w:val="single" w:sz="4" w:space="4" w:color="auto"/>
          <w:bottom w:val="single" w:sz="4" w:space="1" w:color="auto"/>
          <w:right w:val="single" w:sz="4" w:space="4" w:color="auto"/>
        </w:pBdr>
        <w:rPr>
          <w:noProof/>
        </w:rPr>
      </w:pPr>
    </w:p>
    <w:p w:rsidR="00D03C46" w:rsidRDefault="00BD37FC">
      <w:pPr>
        <w:pStyle w:val="ManualHeading3"/>
        <w:rPr>
          <w:bCs/>
          <w:noProof/>
          <w:szCs w:val="24"/>
        </w:rPr>
      </w:pPr>
      <w:r>
        <w:t>3.2.5.</w:t>
      </w:r>
      <w:r>
        <w:tab/>
      </w:r>
      <w:r>
        <w:rPr>
          <w:noProof/>
        </w:rPr>
        <w:t xml:space="preserve">Ulkopuolisten tahojen rahoitusosuudet </w:t>
      </w:r>
    </w:p>
    <w:p w:rsidR="00D03C46" w:rsidRDefault="00BD37FC">
      <w:pPr>
        <w:pStyle w:val="ListDash1"/>
        <w:rPr>
          <w:noProof/>
        </w:rPr>
      </w:pPr>
      <w:r>
        <w:rPr>
          <w:noProof/>
        </w:rPr>
        <w:t xml:space="preserve">X Ehdotuksen/aloitteen rahoittamiseen ei osallistu ulkopuolisia tahoja. </w:t>
      </w:r>
    </w:p>
    <w:p w:rsidR="00D03C46" w:rsidRDefault="00BD37FC">
      <w:pPr>
        <w:pStyle w:val="ListDash1"/>
        <w:rPr>
          <w:noProof/>
        </w:rPr>
      </w:pPr>
      <w:r>
        <w:rPr>
          <w:noProof/>
        </w:rPr>
        <w:t>Ehdotuksen/aloitteen rahoittamiseen osallistuu ulkopuolisia tahoja seuraavasti (arvio):</w:t>
      </w:r>
    </w:p>
    <w:p w:rsidR="00D03C46" w:rsidRDefault="00BD37FC">
      <w:pPr>
        <w:jc w:val="right"/>
        <w:rPr>
          <w:noProof/>
          <w:sz w:val="20"/>
        </w:rPr>
      </w:pPr>
      <w:r>
        <w:rPr>
          <w:noProof/>
          <w:sz w:val="20"/>
        </w:rPr>
        <w:t xml:space="preserve">Määrärahat, milj. euroa (kolmen desimaalin </w:t>
      </w:r>
      <w:r>
        <w:rPr>
          <w:noProof/>
          <w:sz w:val="20"/>
        </w:rPr>
        <w:t>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03C46">
        <w:trPr>
          <w:cantSplit/>
        </w:trPr>
        <w:tc>
          <w:tcPr>
            <w:tcW w:w="2340" w:type="dxa"/>
          </w:tcPr>
          <w:p w:rsidR="00D03C46" w:rsidRDefault="00D03C46">
            <w:pPr>
              <w:spacing w:before="60" w:after="60"/>
              <w:rPr>
                <w:noProof/>
                <w:sz w:val="20"/>
              </w:rPr>
            </w:pPr>
          </w:p>
        </w:tc>
        <w:tc>
          <w:tcPr>
            <w:tcW w:w="964" w:type="dxa"/>
            <w:vAlign w:val="center"/>
          </w:tcPr>
          <w:p w:rsidR="00D03C46" w:rsidRDefault="00BD37FC">
            <w:pPr>
              <w:jc w:val="center"/>
              <w:rPr>
                <w:noProof/>
                <w:sz w:val="20"/>
              </w:rPr>
            </w:pPr>
            <w:r>
              <w:rPr>
                <w:noProof/>
                <w:sz w:val="20"/>
              </w:rPr>
              <w:t>Vuosi</w:t>
            </w:r>
            <w:r>
              <w:rPr>
                <w:noProof/>
                <w:sz w:val="22"/>
              </w:rPr>
              <w:br/>
            </w:r>
            <w:r>
              <w:rPr>
                <w:b/>
                <w:noProof/>
                <w:sz w:val="20"/>
              </w:rPr>
              <w:t>N</w:t>
            </w:r>
          </w:p>
        </w:tc>
        <w:tc>
          <w:tcPr>
            <w:tcW w:w="964" w:type="dxa"/>
            <w:vAlign w:val="center"/>
          </w:tcPr>
          <w:p w:rsidR="00D03C46" w:rsidRDefault="00BD37FC">
            <w:pPr>
              <w:jc w:val="center"/>
              <w:rPr>
                <w:noProof/>
                <w:sz w:val="20"/>
              </w:rPr>
            </w:pPr>
            <w:r>
              <w:rPr>
                <w:noProof/>
                <w:sz w:val="20"/>
              </w:rPr>
              <w:t>Vuosi</w:t>
            </w:r>
            <w:r>
              <w:rPr>
                <w:noProof/>
                <w:sz w:val="22"/>
              </w:rPr>
              <w:br/>
            </w:r>
            <w:r>
              <w:rPr>
                <w:b/>
                <w:noProof/>
                <w:sz w:val="20"/>
              </w:rPr>
              <w:t>N+1</w:t>
            </w:r>
          </w:p>
        </w:tc>
        <w:tc>
          <w:tcPr>
            <w:tcW w:w="964" w:type="dxa"/>
            <w:vAlign w:val="center"/>
          </w:tcPr>
          <w:p w:rsidR="00D03C46" w:rsidRDefault="00BD37FC">
            <w:pPr>
              <w:jc w:val="center"/>
              <w:rPr>
                <w:noProof/>
                <w:sz w:val="20"/>
              </w:rPr>
            </w:pPr>
            <w:r>
              <w:rPr>
                <w:noProof/>
                <w:sz w:val="20"/>
              </w:rPr>
              <w:t>Vuosi</w:t>
            </w:r>
            <w:r>
              <w:rPr>
                <w:noProof/>
                <w:sz w:val="22"/>
              </w:rPr>
              <w:br/>
            </w:r>
            <w:r>
              <w:rPr>
                <w:b/>
                <w:noProof/>
                <w:sz w:val="20"/>
              </w:rPr>
              <w:t>N+2</w:t>
            </w:r>
          </w:p>
        </w:tc>
        <w:tc>
          <w:tcPr>
            <w:tcW w:w="964" w:type="dxa"/>
            <w:vAlign w:val="center"/>
          </w:tcPr>
          <w:p w:rsidR="00D03C46" w:rsidRDefault="00BD37FC">
            <w:pPr>
              <w:jc w:val="center"/>
              <w:rPr>
                <w:noProof/>
                <w:sz w:val="20"/>
              </w:rPr>
            </w:pPr>
            <w:r>
              <w:rPr>
                <w:noProof/>
                <w:sz w:val="20"/>
              </w:rPr>
              <w:t>Vuosi</w:t>
            </w:r>
            <w:r>
              <w:rPr>
                <w:noProof/>
                <w:sz w:val="22"/>
              </w:rPr>
              <w:br/>
            </w:r>
            <w:r>
              <w:rPr>
                <w:b/>
                <w:noProof/>
                <w:sz w:val="20"/>
              </w:rPr>
              <w:t>N+3</w:t>
            </w:r>
          </w:p>
        </w:tc>
        <w:tc>
          <w:tcPr>
            <w:tcW w:w="2892" w:type="dxa"/>
            <w:gridSpan w:val="3"/>
            <w:vAlign w:val="center"/>
          </w:tcPr>
          <w:p w:rsidR="00D03C46" w:rsidRDefault="00BD37FC">
            <w:pPr>
              <w:jc w:val="center"/>
              <w:rPr>
                <w:b/>
                <w:noProof/>
                <w:sz w:val="20"/>
              </w:rPr>
            </w:pPr>
            <w:r>
              <w:rPr>
                <w:noProof/>
                <w:sz w:val="20"/>
              </w:rPr>
              <w:t>Ilmoitetaan kaikki vuodet, joille ehdotuksen/aloitteen vaikutukset ulottuvat (ks. kohta 1.6)</w:t>
            </w:r>
          </w:p>
        </w:tc>
        <w:tc>
          <w:tcPr>
            <w:tcW w:w="1158" w:type="dxa"/>
            <w:vAlign w:val="center"/>
          </w:tcPr>
          <w:p w:rsidR="00D03C46" w:rsidRDefault="00BD37FC">
            <w:pPr>
              <w:spacing w:before="60" w:after="60"/>
              <w:jc w:val="center"/>
              <w:rPr>
                <w:noProof/>
                <w:sz w:val="20"/>
              </w:rPr>
            </w:pPr>
            <w:r>
              <w:rPr>
                <w:noProof/>
                <w:sz w:val="20"/>
              </w:rPr>
              <w:t>Yhteensä</w:t>
            </w:r>
          </w:p>
        </w:tc>
      </w:tr>
      <w:tr w:rsidR="00D03C46">
        <w:trPr>
          <w:cantSplit/>
        </w:trPr>
        <w:tc>
          <w:tcPr>
            <w:tcW w:w="2340" w:type="dxa"/>
          </w:tcPr>
          <w:p w:rsidR="00D03C46" w:rsidRDefault="00BD37FC">
            <w:pPr>
              <w:rPr>
                <w:noProof/>
                <w:sz w:val="22"/>
              </w:rPr>
            </w:pPr>
            <w:r>
              <w:rPr>
                <w:noProof/>
                <w:sz w:val="20"/>
              </w:rPr>
              <w:t>Rahoitukseen osallistuva taho</w:t>
            </w:r>
            <w:r>
              <w:rPr>
                <w:i/>
                <w:noProof/>
                <w:sz w:val="20"/>
              </w:rPr>
              <w:t xml:space="preserve"> </w:t>
            </w: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1158" w:type="dxa"/>
            <w:vAlign w:val="center"/>
          </w:tcPr>
          <w:p w:rsidR="00D03C46" w:rsidRDefault="00D03C46">
            <w:pPr>
              <w:spacing w:before="60" w:after="60"/>
              <w:jc w:val="center"/>
              <w:rPr>
                <w:noProof/>
                <w:sz w:val="20"/>
              </w:rPr>
            </w:pPr>
          </w:p>
        </w:tc>
      </w:tr>
      <w:tr w:rsidR="00D03C46">
        <w:trPr>
          <w:cantSplit/>
        </w:trPr>
        <w:tc>
          <w:tcPr>
            <w:tcW w:w="2340" w:type="dxa"/>
          </w:tcPr>
          <w:p w:rsidR="00D03C46" w:rsidRDefault="00BD37FC">
            <w:pPr>
              <w:spacing w:before="60" w:after="60"/>
              <w:jc w:val="left"/>
              <w:rPr>
                <w:noProof/>
                <w:sz w:val="20"/>
              </w:rPr>
            </w:pPr>
            <w:r>
              <w:rPr>
                <w:noProof/>
                <w:sz w:val="20"/>
              </w:rPr>
              <w:t xml:space="preserve">Yhteisrahoituksella katettavat määrärahat YHTEENSÄ </w:t>
            </w: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964" w:type="dxa"/>
            <w:vAlign w:val="center"/>
          </w:tcPr>
          <w:p w:rsidR="00D03C46" w:rsidRDefault="00D03C46">
            <w:pPr>
              <w:spacing w:before="60" w:after="60"/>
              <w:jc w:val="center"/>
              <w:rPr>
                <w:noProof/>
                <w:sz w:val="20"/>
              </w:rPr>
            </w:pPr>
          </w:p>
        </w:tc>
        <w:tc>
          <w:tcPr>
            <w:tcW w:w="1158" w:type="dxa"/>
            <w:vAlign w:val="center"/>
          </w:tcPr>
          <w:p w:rsidR="00D03C46" w:rsidRDefault="00D03C46">
            <w:pPr>
              <w:spacing w:before="60" w:after="60"/>
              <w:jc w:val="center"/>
              <w:rPr>
                <w:noProof/>
                <w:sz w:val="20"/>
              </w:rPr>
            </w:pPr>
          </w:p>
        </w:tc>
      </w:tr>
    </w:tbl>
    <w:p w:rsidR="00D03C46" w:rsidRDefault="00BD37FC">
      <w:pPr>
        <w:rPr>
          <w:noProof/>
        </w:rPr>
      </w:pPr>
      <w:r>
        <w:rPr>
          <w:noProof/>
        </w:rPr>
        <w:br/>
      </w:r>
    </w:p>
    <w:p w:rsidR="00D03C46" w:rsidRDefault="00BD37FC">
      <w:pPr>
        <w:pStyle w:val="ManualHeading2"/>
        <w:rPr>
          <w:bCs/>
          <w:noProof/>
          <w:szCs w:val="24"/>
        </w:rPr>
      </w:pPr>
      <w:r>
        <w:rPr>
          <w:noProof/>
        </w:rPr>
        <w:br w:type="page"/>
      </w:r>
      <w:r>
        <w:lastRenderedPageBreak/>
        <w:t>3.3.</w:t>
      </w:r>
      <w:r>
        <w:tab/>
      </w:r>
      <w:r>
        <w:rPr>
          <w:noProof/>
        </w:rPr>
        <w:t xml:space="preserve">Arvioidut vaikutukset tuloihin </w:t>
      </w:r>
    </w:p>
    <w:p w:rsidR="00D03C46" w:rsidRDefault="00BD37FC">
      <w:pPr>
        <w:pStyle w:val="ListDash1"/>
        <w:rPr>
          <w:noProof/>
        </w:rPr>
      </w:pPr>
      <w:r>
        <w:rPr>
          <w:noProof/>
        </w:rPr>
        <w:t>X</w:t>
      </w:r>
      <w:r>
        <w:rPr>
          <w:noProof/>
        </w:rPr>
        <w:tab/>
        <w:t>Ehdotuksella/aloitteella ei ole vaikutuksia tuloihin.</w:t>
      </w:r>
    </w:p>
    <w:p w:rsidR="00D03C46" w:rsidRDefault="00BD37FC">
      <w:pPr>
        <w:pStyle w:val="ListDash1"/>
        <w:rPr>
          <w:noProof/>
        </w:rPr>
      </w:pPr>
      <w:r>
        <w:rPr>
          <w:noProof/>
        </w:rPr>
        <w:sym w:font="Wingdings" w:char="F0A8"/>
      </w:r>
      <w:r>
        <w:rPr>
          <w:noProof/>
        </w:rPr>
        <w:tab/>
        <w:t>Ehdotuksella/aloitteella on vaikutuksia tuloihin seuraavasti:</w:t>
      </w:r>
    </w:p>
    <w:p w:rsidR="00D03C46" w:rsidRDefault="00BD37FC">
      <w:pPr>
        <w:pStyle w:val="ListNumberLevel3"/>
        <w:rPr>
          <w:noProof/>
        </w:rPr>
      </w:pPr>
      <w:r>
        <w:rPr>
          <w:noProof/>
        </w:rPr>
        <w:sym w:font="Wingdings" w:char="F0A8"/>
      </w:r>
      <w:r>
        <w:rPr>
          <w:noProof/>
        </w:rPr>
        <w:tab/>
        <w:t xml:space="preserve">vaikutukset omiin varoihin </w:t>
      </w:r>
    </w:p>
    <w:p w:rsidR="00D03C46" w:rsidRDefault="00BD37FC">
      <w:pPr>
        <w:pStyle w:val="ListNumberLevel3"/>
        <w:rPr>
          <w:noProof/>
        </w:rPr>
      </w:pPr>
      <w:r>
        <w:rPr>
          <w:noProof/>
        </w:rPr>
        <w:sym w:font="Wingdings" w:char="F0A8"/>
      </w:r>
      <w:r>
        <w:rPr>
          <w:noProof/>
        </w:rPr>
        <w:tab/>
        <w:t xml:space="preserve">vaikutukset sekalaisiin tuloihin </w:t>
      </w:r>
    </w:p>
    <w:p w:rsidR="00D03C46" w:rsidRDefault="00BD37FC">
      <w:pPr>
        <w:jc w:val="right"/>
        <w:rPr>
          <w:i/>
          <w:noProof/>
          <w:sz w:val="20"/>
        </w:rPr>
      </w:pPr>
      <w:r>
        <w:rPr>
          <w:noProof/>
        </w:rPr>
        <w:t xml:space="preserve">milj. euroa (kolmen </w:t>
      </w:r>
      <w:r>
        <w:rPr>
          <w:noProof/>
        </w:rPr>
        <w:t>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03C46">
        <w:trPr>
          <w:trHeight w:val="388"/>
        </w:trPr>
        <w:tc>
          <w:tcPr>
            <w:tcW w:w="2144" w:type="dxa"/>
            <w:vMerge w:val="restart"/>
            <w:vAlign w:val="center"/>
          </w:tcPr>
          <w:p w:rsidR="00D03C46" w:rsidRDefault="00BD37FC">
            <w:pPr>
              <w:spacing w:before="40" w:after="40"/>
              <w:rPr>
                <w:noProof/>
                <w:sz w:val="18"/>
              </w:rPr>
            </w:pPr>
            <w:r>
              <w:rPr>
                <w:noProof/>
                <w:sz w:val="18"/>
              </w:rPr>
              <w:t>Tulopuolen budjettikohta:</w:t>
            </w:r>
          </w:p>
        </w:tc>
        <w:tc>
          <w:tcPr>
            <w:tcW w:w="1276" w:type="dxa"/>
            <w:vMerge w:val="restart"/>
            <w:vAlign w:val="center"/>
          </w:tcPr>
          <w:p w:rsidR="00D03C46" w:rsidRDefault="00BD37FC">
            <w:pPr>
              <w:jc w:val="center"/>
              <w:rPr>
                <w:noProof/>
                <w:sz w:val="18"/>
              </w:rPr>
            </w:pPr>
            <w:r>
              <w:rPr>
                <w:noProof/>
                <w:sz w:val="18"/>
              </w:rPr>
              <w:t>Käytettävissä olevat määrärahat kuluvana varainhoito-vuonna</w:t>
            </w:r>
          </w:p>
        </w:tc>
        <w:tc>
          <w:tcPr>
            <w:tcW w:w="7200" w:type="dxa"/>
            <w:gridSpan w:val="7"/>
            <w:vAlign w:val="center"/>
          </w:tcPr>
          <w:p w:rsidR="00D03C46" w:rsidRDefault="00BD37FC">
            <w:pPr>
              <w:jc w:val="center"/>
              <w:rPr>
                <w:noProof/>
                <w:sz w:val="18"/>
              </w:rPr>
            </w:pPr>
            <w:r>
              <w:rPr>
                <w:noProof/>
                <w:sz w:val="18"/>
              </w:rPr>
              <w:t>Ehdotuksen/aloitteen vaikutus</w:t>
            </w:r>
            <w:r>
              <w:rPr>
                <w:rStyle w:val="FootnoteReference"/>
                <w:noProof/>
                <w:sz w:val="18"/>
              </w:rPr>
              <w:footnoteReference w:id="45"/>
            </w:r>
          </w:p>
        </w:tc>
      </w:tr>
      <w:tr w:rsidR="00D03C46">
        <w:trPr>
          <w:trHeight w:val="388"/>
        </w:trPr>
        <w:tc>
          <w:tcPr>
            <w:tcW w:w="2144" w:type="dxa"/>
            <w:vMerge/>
          </w:tcPr>
          <w:p w:rsidR="00D03C46" w:rsidRDefault="00D03C46">
            <w:pPr>
              <w:spacing w:before="40" w:after="40"/>
              <w:rPr>
                <w:noProof/>
                <w:sz w:val="18"/>
              </w:rPr>
            </w:pPr>
          </w:p>
        </w:tc>
        <w:tc>
          <w:tcPr>
            <w:tcW w:w="1276" w:type="dxa"/>
            <w:vMerge/>
          </w:tcPr>
          <w:p w:rsidR="00D03C46" w:rsidRDefault="00D03C46">
            <w:pPr>
              <w:spacing w:beforeLines="40" w:before="96" w:afterLines="40" w:after="96"/>
              <w:rPr>
                <w:i/>
                <w:noProof/>
                <w:sz w:val="18"/>
              </w:rPr>
            </w:pPr>
          </w:p>
        </w:tc>
        <w:tc>
          <w:tcPr>
            <w:tcW w:w="1080" w:type="dxa"/>
            <w:vAlign w:val="center"/>
          </w:tcPr>
          <w:p w:rsidR="00D03C46" w:rsidRDefault="00BD37FC">
            <w:pPr>
              <w:jc w:val="center"/>
              <w:rPr>
                <w:noProof/>
                <w:sz w:val="18"/>
              </w:rPr>
            </w:pPr>
            <w:r>
              <w:rPr>
                <w:noProof/>
                <w:sz w:val="18"/>
              </w:rPr>
              <w:t>Vuosi</w:t>
            </w:r>
            <w:r>
              <w:rPr>
                <w:noProof/>
                <w:sz w:val="22"/>
              </w:rPr>
              <w:br/>
            </w:r>
            <w:r>
              <w:rPr>
                <w:b/>
                <w:noProof/>
                <w:sz w:val="18"/>
              </w:rPr>
              <w:t>N</w:t>
            </w:r>
          </w:p>
        </w:tc>
        <w:tc>
          <w:tcPr>
            <w:tcW w:w="900" w:type="dxa"/>
            <w:vAlign w:val="center"/>
          </w:tcPr>
          <w:p w:rsidR="00D03C46" w:rsidRDefault="00BD37FC">
            <w:pPr>
              <w:jc w:val="center"/>
              <w:rPr>
                <w:noProof/>
                <w:sz w:val="18"/>
              </w:rPr>
            </w:pPr>
            <w:r>
              <w:rPr>
                <w:noProof/>
                <w:sz w:val="18"/>
              </w:rPr>
              <w:t>Vuosi</w:t>
            </w:r>
            <w:r>
              <w:rPr>
                <w:noProof/>
                <w:sz w:val="22"/>
              </w:rPr>
              <w:br/>
            </w:r>
            <w:r>
              <w:rPr>
                <w:b/>
                <w:noProof/>
                <w:sz w:val="18"/>
              </w:rPr>
              <w:t>N+1</w:t>
            </w:r>
          </w:p>
        </w:tc>
        <w:tc>
          <w:tcPr>
            <w:tcW w:w="900" w:type="dxa"/>
            <w:vAlign w:val="center"/>
          </w:tcPr>
          <w:p w:rsidR="00D03C46" w:rsidRDefault="00BD37FC">
            <w:pPr>
              <w:jc w:val="center"/>
              <w:rPr>
                <w:noProof/>
                <w:sz w:val="18"/>
              </w:rPr>
            </w:pPr>
            <w:r>
              <w:rPr>
                <w:noProof/>
                <w:sz w:val="18"/>
              </w:rPr>
              <w:t>Vuosi</w:t>
            </w:r>
            <w:r>
              <w:rPr>
                <w:noProof/>
                <w:sz w:val="22"/>
              </w:rPr>
              <w:br/>
            </w:r>
            <w:r>
              <w:rPr>
                <w:b/>
                <w:noProof/>
                <w:sz w:val="18"/>
              </w:rPr>
              <w:t>N+2</w:t>
            </w:r>
          </w:p>
        </w:tc>
        <w:tc>
          <w:tcPr>
            <w:tcW w:w="1080" w:type="dxa"/>
            <w:vAlign w:val="center"/>
          </w:tcPr>
          <w:p w:rsidR="00D03C46" w:rsidRDefault="00BD37FC">
            <w:pPr>
              <w:jc w:val="center"/>
              <w:rPr>
                <w:noProof/>
                <w:sz w:val="18"/>
              </w:rPr>
            </w:pPr>
            <w:r>
              <w:rPr>
                <w:noProof/>
                <w:sz w:val="18"/>
              </w:rPr>
              <w:t>Vuosi</w:t>
            </w:r>
            <w:r>
              <w:rPr>
                <w:noProof/>
                <w:sz w:val="22"/>
              </w:rPr>
              <w:br/>
            </w:r>
            <w:r>
              <w:rPr>
                <w:b/>
                <w:noProof/>
                <w:sz w:val="18"/>
              </w:rPr>
              <w:t>N+3</w:t>
            </w:r>
          </w:p>
        </w:tc>
        <w:tc>
          <w:tcPr>
            <w:tcW w:w="3240" w:type="dxa"/>
            <w:gridSpan w:val="3"/>
            <w:vAlign w:val="center"/>
          </w:tcPr>
          <w:p w:rsidR="00D03C46" w:rsidRDefault="00BD37FC">
            <w:pPr>
              <w:jc w:val="center"/>
              <w:rPr>
                <w:b/>
                <w:noProof/>
                <w:sz w:val="18"/>
              </w:rPr>
            </w:pPr>
            <w:r>
              <w:rPr>
                <w:noProof/>
                <w:sz w:val="18"/>
              </w:rPr>
              <w:t xml:space="preserve">Ilmoitetaan kaikki vuodet, joille ehdotuksen/aloitteen vaikutukset </w:t>
            </w:r>
            <w:r>
              <w:rPr>
                <w:noProof/>
                <w:sz w:val="18"/>
              </w:rPr>
              <w:t>ulottuvat (ks. kohta 1.6)</w:t>
            </w:r>
          </w:p>
        </w:tc>
      </w:tr>
      <w:tr w:rsidR="00D03C46">
        <w:trPr>
          <w:trHeight w:val="388"/>
        </w:trPr>
        <w:tc>
          <w:tcPr>
            <w:tcW w:w="2144" w:type="dxa"/>
            <w:vAlign w:val="center"/>
          </w:tcPr>
          <w:p w:rsidR="00D03C46" w:rsidRDefault="00BD37FC">
            <w:pPr>
              <w:spacing w:before="40" w:after="40"/>
              <w:rPr>
                <w:noProof/>
                <w:sz w:val="18"/>
              </w:rPr>
            </w:pPr>
            <w:r>
              <w:rPr>
                <w:noProof/>
                <w:sz w:val="18"/>
              </w:rPr>
              <w:t>Momentti …</w:t>
            </w:r>
          </w:p>
        </w:tc>
        <w:tc>
          <w:tcPr>
            <w:tcW w:w="1276" w:type="dxa"/>
          </w:tcPr>
          <w:p w:rsidR="00D03C46" w:rsidRDefault="00D03C46">
            <w:pPr>
              <w:spacing w:beforeLines="40" w:before="96" w:afterLines="40" w:after="96"/>
              <w:jc w:val="center"/>
              <w:rPr>
                <w:i/>
                <w:noProof/>
                <w:sz w:val="18"/>
              </w:rPr>
            </w:pPr>
          </w:p>
        </w:tc>
        <w:tc>
          <w:tcPr>
            <w:tcW w:w="1080" w:type="dxa"/>
          </w:tcPr>
          <w:p w:rsidR="00D03C46" w:rsidRDefault="00D03C46">
            <w:pPr>
              <w:spacing w:beforeLines="40" w:before="96" w:afterLines="40" w:after="96"/>
              <w:jc w:val="center"/>
              <w:rPr>
                <w:noProof/>
                <w:sz w:val="18"/>
              </w:rPr>
            </w:pPr>
          </w:p>
        </w:tc>
        <w:tc>
          <w:tcPr>
            <w:tcW w:w="900" w:type="dxa"/>
          </w:tcPr>
          <w:p w:rsidR="00D03C46" w:rsidRDefault="00D03C46">
            <w:pPr>
              <w:spacing w:beforeLines="40" w:before="96" w:afterLines="40" w:after="96"/>
              <w:jc w:val="center"/>
              <w:rPr>
                <w:noProof/>
                <w:sz w:val="18"/>
              </w:rPr>
            </w:pPr>
          </w:p>
        </w:tc>
        <w:tc>
          <w:tcPr>
            <w:tcW w:w="900" w:type="dxa"/>
          </w:tcPr>
          <w:p w:rsidR="00D03C46" w:rsidRDefault="00D03C46">
            <w:pPr>
              <w:spacing w:beforeLines="40" w:before="96" w:afterLines="40" w:after="96"/>
              <w:jc w:val="center"/>
              <w:rPr>
                <w:noProof/>
                <w:sz w:val="18"/>
              </w:rPr>
            </w:pPr>
          </w:p>
        </w:tc>
        <w:tc>
          <w:tcPr>
            <w:tcW w:w="1080" w:type="dxa"/>
          </w:tcPr>
          <w:p w:rsidR="00D03C46" w:rsidRDefault="00D03C46">
            <w:pPr>
              <w:spacing w:beforeLines="40" w:before="96" w:afterLines="40" w:after="96"/>
              <w:jc w:val="center"/>
              <w:rPr>
                <w:noProof/>
                <w:sz w:val="18"/>
              </w:rPr>
            </w:pPr>
          </w:p>
        </w:tc>
        <w:tc>
          <w:tcPr>
            <w:tcW w:w="1080" w:type="dxa"/>
          </w:tcPr>
          <w:p w:rsidR="00D03C46" w:rsidRDefault="00D03C46">
            <w:pPr>
              <w:spacing w:beforeLines="40" w:before="96" w:afterLines="40" w:after="96"/>
              <w:jc w:val="center"/>
              <w:rPr>
                <w:noProof/>
                <w:sz w:val="18"/>
              </w:rPr>
            </w:pPr>
          </w:p>
        </w:tc>
        <w:tc>
          <w:tcPr>
            <w:tcW w:w="1080" w:type="dxa"/>
          </w:tcPr>
          <w:p w:rsidR="00D03C46" w:rsidRDefault="00D03C46">
            <w:pPr>
              <w:spacing w:beforeLines="40" w:before="96" w:afterLines="40" w:after="96"/>
              <w:jc w:val="center"/>
              <w:rPr>
                <w:noProof/>
                <w:sz w:val="18"/>
              </w:rPr>
            </w:pPr>
          </w:p>
        </w:tc>
        <w:tc>
          <w:tcPr>
            <w:tcW w:w="1080" w:type="dxa"/>
          </w:tcPr>
          <w:p w:rsidR="00D03C46" w:rsidRDefault="00D03C46">
            <w:pPr>
              <w:spacing w:beforeLines="40" w:before="96" w:afterLines="40" w:after="96"/>
              <w:jc w:val="center"/>
              <w:rPr>
                <w:noProof/>
                <w:sz w:val="18"/>
              </w:rPr>
            </w:pPr>
          </w:p>
        </w:tc>
      </w:tr>
    </w:tbl>
    <w:p w:rsidR="00D03C46" w:rsidRDefault="00BD37FC">
      <w:pPr>
        <w:pStyle w:val="Text1"/>
        <w:rPr>
          <w:noProof/>
          <w:sz w:val="20"/>
        </w:rPr>
      </w:pPr>
      <w:r>
        <w:rPr>
          <w:noProof/>
          <w:sz w:val="20"/>
        </w:rPr>
        <w:t>Vastaava(t) menopuolen budjettikohta (budjettikohdat) käyttötarkoitukseensa sidottujen sekalaisten tulojen tapauksessa:</w:t>
      </w:r>
    </w:p>
    <w:p w:rsidR="00D03C46" w:rsidRDefault="00D03C46">
      <w:pPr>
        <w:pStyle w:val="Text1"/>
        <w:pBdr>
          <w:top w:val="single" w:sz="4" w:space="1" w:color="auto"/>
          <w:left w:val="single" w:sz="4" w:space="4" w:color="auto"/>
          <w:bottom w:val="single" w:sz="4" w:space="1" w:color="auto"/>
          <w:right w:val="single" w:sz="4" w:space="4" w:color="auto"/>
        </w:pBdr>
        <w:rPr>
          <w:noProof/>
        </w:rPr>
      </w:pPr>
    </w:p>
    <w:p w:rsidR="00D03C46" w:rsidRDefault="00BD37FC">
      <w:pPr>
        <w:pStyle w:val="Text1"/>
        <w:rPr>
          <w:noProof/>
          <w:sz w:val="20"/>
        </w:rPr>
      </w:pPr>
      <w:r>
        <w:rPr>
          <w:noProof/>
          <w:sz w:val="20"/>
        </w:rPr>
        <w:t>Selvitys tuloihin kohdistuvan vaikutuksen laskentamenetelmästä.</w:t>
      </w:r>
    </w:p>
    <w:p w:rsidR="00D03C46" w:rsidRPr="00BD37FC" w:rsidRDefault="00D03C46">
      <w:pPr>
        <w:pStyle w:val="Text1"/>
        <w:pBdr>
          <w:top w:val="single" w:sz="4" w:space="1" w:color="auto"/>
          <w:left w:val="single" w:sz="4" w:space="4" w:color="auto"/>
          <w:bottom w:val="single" w:sz="4" w:space="1" w:color="auto"/>
          <w:right w:val="single" w:sz="4" w:space="4" w:color="auto"/>
        </w:pBdr>
        <w:rPr>
          <w:noProof/>
        </w:rPr>
      </w:pPr>
    </w:p>
    <w:sectPr w:rsidR="00D03C46" w:rsidRPr="00BD37FC" w:rsidSect="00BD37FC">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46" w:rsidRDefault="00BD37FC">
      <w:pPr>
        <w:spacing w:before="0" w:after="0"/>
      </w:pPr>
      <w:r>
        <w:separator/>
      </w:r>
    </w:p>
  </w:endnote>
  <w:endnote w:type="continuationSeparator" w:id="0">
    <w:p w:rsidR="00D03C46" w:rsidRDefault="00BD37FC">
      <w:pPr>
        <w:spacing w:before="0" w:after="0"/>
      </w:pPr>
      <w:r>
        <w:continuationSeparator/>
      </w:r>
    </w:p>
  </w:endnote>
  <w:endnote w:type="continuationNotice" w:id="1">
    <w:p w:rsidR="00D03C46" w:rsidRDefault="00D03C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46" w:rsidRPr="00BD37FC" w:rsidRDefault="00BD37FC" w:rsidP="00BD37FC">
    <w:pPr>
      <w:pStyle w:val="Footer"/>
      <w:rPr>
        <w:rFonts w:ascii="Arial" w:hAnsi="Arial" w:cs="Arial"/>
        <w:b/>
        <w:sz w:val="48"/>
      </w:rPr>
    </w:pPr>
    <w:r w:rsidRPr="00BD37FC">
      <w:rPr>
        <w:rFonts w:ascii="Arial" w:hAnsi="Arial" w:cs="Arial"/>
        <w:b/>
        <w:sz w:val="48"/>
      </w:rPr>
      <w:t>FI</w:t>
    </w:r>
    <w:r w:rsidRPr="00BD37FC">
      <w:rPr>
        <w:rFonts w:ascii="Arial" w:hAnsi="Arial" w:cs="Arial"/>
        <w:b/>
        <w:sz w:val="48"/>
      </w:rPr>
      <w:tab/>
    </w:r>
    <w:r w:rsidRPr="00BD37FC">
      <w:rPr>
        <w:rFonts w:ascii="Arial" w:hAnsi="Arial" w:cs="Arial"/>
        <w:b/>
        <w:sz w:val="48"/>
      </w:rPr>
      <w:tab/>
    </w:r>
    <w:r w:rsidRPr="00BD37FC">
      <w:tab/>
    </w:r>
    <w:proofErr w:type="spellStart"/>
    <w:r w:rsidRPr="00BD37FC">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
      <w:rPr>
        <w:rFonts w:ascii="Arial" w:hAnsi="Arial" w:cs="Arial"/>
        <w:b/>
        <w:sz w:val="48"/>
      </w:rPr>
    </w:pPr>
    <w:r w:rsidRPr="00BD37FC">
      <w:rPr>
        <w:rFonts w:ascii="Arial" w:hAnsi="Arial" w:cs="Arial"/>
        <w:b/>
        <w:sz w:val="48"/>
      </w:rPr>
      <w:t>FI</w:t>
    </w:r>
    <w:r w:rsidRPr="00BD37FC">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rsidRPr="00BD37FC">
      <w:tab/>
    </w:r>
    <w:r w:rsidRPr="00BD37FC">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Landscape"/>
      <w:rPr>
        <w:rFonts w:ascii="Arial" w:hAnsi="Arial" w:cs="Arial"/>
        <w:b/>
        <w:sz w:val="48"/>
      </w:rPr>
    </w:pPr>
    <w:r w:rsidRPr="00BD37FC">
      <w:rPr>
        <w:rFonts w:ascii="Arial" w:hAnsi="Arial" w:cs="Arial"/>
        <w:b/>
        <w:sz w:val="48"/>
      </w:rPr>
      <w:t>FI</w:t>
    </w:r>
    <w:r w:rsidRPr="00BD37FC">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rsidRPr="00BD37FC">
      <w:tab/>
    </w:r>
    <w:r w:rsidRPr="00BD37FC">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
      <w:rPr>
        <w:rFonts w:ascii="Arial" w:hAnsi="Arial" w:cs="Arial"/>
        <w:b/>
        <w:sz w:val="48"/>
      </w:rPr>
    </w:pPr>
    <w:r w:rsidRPr="00BD37FC">
      <w:rPr>
        <w:rFonts w:ascii="Arial" w:hAnsi="Arial" w:cs="Arial"/>
        <w:b/>
        <w:sz w:val="48"/>
      </w:rPr>
      <w:t>FI</w:t>
    </w:r>
    <w:r w:rsidRPr="00BD37FC">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rsidRPr="00BD37FC">
      <w:tab/>
    </w:r>
    <w:r w:rsidRPr="00BD37FC">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46" w:rsidRDefault="00BD37FC">
      <w:pPr>
        <w:spacing w:before="0" w:after="0"/>
      </w:pPr>
      <w:r>
        <w:separator/>
      </w:r>
    </w:p>
  </w:footnote>
  <w:footnote w:type="continuationSeparator" w:id="0">
    <w:p w:rsidR="00D03C46" w:rsidRDefault="00BD37FC">
      <w:pPr>
        <w:spacing w:before="0" w:after="0"/>
      </w:pPr>
      <w:r>
        <w:continuationSeparator/>
      </w:r>
    </w:p>
  </w:footnote>
  <w:footnote w:type="continuationNotice" w:id="1">
    <w:p w:rsidR="00D03C46" w:rsidRDefault="00D03C46">
      <w:pPr>
        <w:spacing w:before="0" w:after="0"/>
      </w:pPr>
    </w:p>
  </w:footnote>
  <w:footnote w:id="2">
    <w:p w:rsidR="00D03C46" w:rsidRDefault="00BD37FC">
      <w:pPr>
        <w:pStyle w:val="FootnoteText"/>
      </w:pPr>
      <w:r>
        <w:rPr>
          <w:rStyle w:val="FootnoteReference"/>
        </w:rPr>
        <w:footnoteRef/>
      </w:r>
      <w:r>
        <w:tab/>
        <w:t xml:space="preserve">EUVL L 110, </w:t>
      </w:r>
      <w:r>
        <w:t>1.5.2009, s. 30–36.</w:t>
      </w:r>
    </w:p>
  </w:footnote>
  <w:footnote w:id="3">
    <w:p w:rsidR="00D03C46" w:rsidRDefault="00BD37FC">
      <w:pPr>
        <w:pStyle w:val="FootnoteText"/>
      </w:pPr>
      <w:r>
        <w:rPr>
          <w:rStyle w:val="FootnoteReference"/>
        </w:rPr>
        <w:footnoteRef/>
      </w:r>
      <w:r>
        <w:tab/>
      </w:r>
      <w:proofErr w:type="gramStart"/>
      <w:r>
        <w:t>COM(2018) 185, Ehdotus Euroopan parlamentin ja neuvoston direktiiviksi 5 päivänä huhtikuuta 1993 annetun neuvoston direktiivin 93/13/ETY, Euroopan parlamentin ja neuvoston direktiivin 98/6/EY, Euroopan parlamentin ja neuvoston direkti</w:t>
      </w:r>
      <w:r>
        <w:t>ivin 2005/29/EY sekä Euroopan parlamentin ja neuvoston direktiivin 2011/83/EU muuttamisesta EU:n kuluttajansuojasääntöjen täytäntöönpanon paremman valvonnan ja kyseisten sääntöjen nykyaikaistamisen osalta.</w:t>
      </w:r>
      <w:proofErr w:type="gramEnd"/>
    </w:p>
  </w:footnote>
  <w:footnote w:id="4">
    <w:p w:rsidR="00D03C46" w:rsidRDefault="00BD37FC">
      <w:pPr>
        <w:pStyle w:val="FootnoteText"/>
      </w:pPr>
      <w:r>
        <w:rPr>
          <w:rStyle w:val="FootnoteReference"/>
        </w:rPr>
        <w:footnoteRef/>
      </w:r>
      <w:r>
        <w:tab/>
        <w:t>Ks. unionin tilaa koskeva komission puheenjohtaj</w:t>
      </w:r>
      <w:r>
        <w:t xml:space="preserve">an puhe sekä komission aiekirje neuvoston puheenjohtajalle ja Euroopan parlamentin puhemiehelle, saatavilla osoitteessa </w:t>
      </w:r>
      <w:hyperlink r:id="rId1">
        <w:r>
          <w:rPr>
            <w:rStyle w:val="Hyperlink"/>
          </w:rPr>
          <w:t>https://ec.europa.eu/commission/state-union-2017_fi</w:t>
        </w:r>
      </w:hyperlink>
      <w:r>
        <w:t>.</w:t>
      </w:r>
    </w:p>
  </w:footnote>
  <w:footnote w:id="5">
    <w:p w:rsidR="00D03C46" w:rsidRDefault="00BD37FC">
      <w:pPr>
        <w:pStyle w:val="FootnoteText"/>
      </w:pPr>
      <w:r>
        <w:rPr>
          <w:rStyle w:val="FootnoteReference"/>
        </w:rPr>
        <w:footnoteRef/>
      </w:r>
      <w:r>
        <w:tab/>
        <w:t xml:space="preserve">COM(2017) </w:t>
      </w:r>
      <w:r>
        <w:t xml:space="preserve">650 </w:t>
      </w:r>
      <w:proofErr w:type="spellStart"/>
      <w:r>
        <w:t>final</w:t>
      </w:r>
      <w:proofErr w:type="spellEnd"/>
      <w:r>
        <w:t>.</w:t>
      </w:r>
    </w:p>
  </w:footnote>
  <w:footnote w:id="6">
    <w:p w:rsidR="00D03C46" w:rsidRDefault="00BD37FC">
      <w:pPr>
        <w:pStyle w:val="FootnoteText"/>
      </w:pPr>
      <w:r>
        <w:rPr>
          <w:rStyle w:val="FootnoteReference"/>
        </w:rPr>
        <w:footnoteRef/>
      </w:r>
      <w:r>
        <w:tab/>
        <w:t>Toimivuustarkastus kattoi kuluttajasopimusten kohtuuttomista ehdoista annetun direktiivin 93/13/ETY, takuudirektiivin 1999/44/EY, hintojen ilmoittamisesta annetun direktiivin 98/6/EY, sopimattomia kaupallisia menettelyjä koskevan direktiivin 2</w:t>
      </w:r>
      <w:r>
        <w:t xml:space="preserve">005/29/EY ja kieltokannedirektiivin 2009/22/EY. Toimivuustarkastuksen tuloksia esitellään 23. toukokuuta 2017 annetuissa komission yksiköiden valmisteluasiakirjoissa SWD(2017) 208 </w:t>
      </w:r>
      <w:proofErr w:type="spellStart"/>
      <w:r>
        <w:t>final</w:t>
      </w:r>
      <w:proofErr w:type="spellEnd"/>
      <w:r>
        <w:t xml:space="preserve"> ja SWD(2017) 209 </w:t>
      </w:r>
      <w:proofErr w:type="spellStart"/>
      <w:r>
        <w:t>final</w:t>
      </w:r>
      <w:proofErr w:type="spellEnd"/>
      <w:r>
        <w:t xml:space="preserve">, saatavilla osoitteessa </w:t>
      </w:r>
      <w:hyperlink r:id="rId2">
        <w:r>
          <w:rPr>
            <w:rStyle w:val="Hyperlink"/>
          </w:rPr>
          <w:t>http://ec.europa.eu/newsroom/just/item-detail.cfm?item_id=59332</w:t>
        </w:r>
      </w:hyperlink>
      <w:r>
        <w:t>.</w:t>
      </w:r>
    </w:p>
  </w:footnote>
  <w:footnote w:id="7">
    <w:p w:rsidR="00D03C46" w:rsidRDefault="00BD37FC">
      <w:pPr>
        <w:pStyle w:val="FootnoteText"/>
        <w:rPr>
          <w:lang w:val="pt-PT"/>
        </w:rPr>
      </w:pPr>
      <w:r>
        <w:rPr>
          <w:rStyle w:val="FootnoteReference"/>
        </w:rPr>
        <w:footnoteRef/>
      </w:r>
      <w:r>
        <w:rPr>
          <w:lang w:val="pt-PT"/>
        </w:rPr>
        <w:tab/>
      </w:r>
      <w:proofErr w:type="gramStart"/>
      <w:r>
        <w:rPr>
          <w:lang w:val="pt-PT"/>
        </w:rPr>
        <w:t>COM(2018</w:t>
      </w:r>
      <w:proofErr w:type="gramEnd"/>
      <w:r>
        <w:rPr>
          <w:lang w:val="pt-PT"/>
        </w:rPr>
        <w:t>) 40 final.</w:t>
      </w:r>
    </w:p>
  </w:footnote>
  <w:footnote w:id="8">
    <w:p w:rsidR="00D03C46" w:rsidRDefault="00BD37FC">
      <w:pPr>
        <w:pStyle w:val="FootnoteText"/>
        <w:rPr>
          <w:lang w:val="pt-PT"/>
        </w:rPr>
      </w:pPr>
      <w:r>
        <w:rPr>
          <w:rStyle w:val="FootnoteReference"/>
        </w:rPr>
        <w:footnoteRef/>
      </w:r>
      <w:r>
        <w:rPr>
          <w:lang w:val="pt-PT"/>
        </w:rPr>
        <w:tab/>
        <w:t>EUVL L 201, 26.7.2013, s. 60.</w:t>
      </w:r>
    </w:p>
  </w:footnote>
  <w:footnote w:id="9">
    <w:p w:rsidR="00D03C46" w:rsidRDefault="00BD37FC">
      <w:pPr>
        <w:pStyle w:val="FootnoteText"/>
      </w:pPr>
      <w:r>
        <w:rPr>
          <w:rStyle w:val="FootnoteReference"/>
        </w:rPr>
        <w:footnoteRef/>
      </w:r>
      <w:r>
        <w:tab/>
        <w:t>EYVL L 166, 11.6.1998, s. 51.</w:t>
      </w:r>
    </w:p>
  </w:footnote>
  <w:footnote w:id="10">
    <w:p w:rsidR="00D03C46" w:rsidRDefault="00BD37FC">
      <w:pPr>
        <w:pStyle w:val="FootnoteText"/>
      </w:pPr>
      <w:r>
        <w:rPr>
          <w:rStyle w:val="FootnoteReference"/>
        </w:rPr>
        <w:footnoteRef/>
      </w:r>
      <w:r>
        <w:tab/>
      </w:r>
      <w:proofErr w:type="gramStart"/>
      <w:r>
        <w:t xml:space="preserve">Euroopan parlamentin ja neuvoston asetus </w:t>
      </w:r>
      <w:r>
        <w:t>(EU) 2018/302, annettu 28 päivänä helmikuuta 2018, perusteettomien maarajoitusten ja muiden asiakkaiden kansallisuuteen tai asuin- tai sijoittautumispaikkaan perustuvien syrjinnän muotojen torjumisesta sisämarkkinoilla ja asetusten (EY) N:o 2006/2004 ja (E</w:t>
      </w:r>
      <w:r>
        <w:t>U) 2017/2394 sekä direktiivin 2009/22/EY muuttamisesta (EUVL L 60, 2.3.2018, s. 1).</w:t>
      </w:r>
      <w:proofErr w:type="gramEnd"/>
    </w:p>
  </w:footnote>
  <w:footnote w:id="11">
    <w:p w:rsidR="00D03C46" w:rsidRDefault="00BD37FC">
      <w:pPr>
        <w:pStyle w:val="FootnoteText"/>
        <w:rPr>
          <w:lang w:val="it-IT"/>
        </w:rPr>
      </w:pPr>
      <w:r>
        <w:rPr>
          <w:rStyle w:val="FootnoteReference"/>
        </w:rPr>
        <w:footnoteRef/>
      </w:r>
      <w:r>
        <w:rPr>
          <w:lang w:val="it-IT"/>
        </w:rPr>
        <w:tab/>
        <w:t>2011/2089</w:t>
      </w:r>
      <w:proofErr w:type="gramStart"/>
      <w:r>
        <w:rPr>
          <w:lang w:val="it-IT"/>
        </w:rPr>
        <w:t>(</w:t>
      </w:r>
      <w:proofErr w:type="gramEnd"/>
      <w:r>
        <w:rPr>
          <w:lang w:val="it-IT"/>
        </w:rPr>
        <w:t>INI).</w:t>
      </w:r>
    </w:p>
  </w:footnote>
  <w:footnote w:id="12">
    <w:p w:rsidR="00D03C46" w:rsidRDefault="00BD37FC">
      <w:pPr>
        <w:pStyle w:val="FootnoteText"/>
        <w:rPr>
          <w:lang w:val="it-IT"/>
        </w:rPr>
      </w:pPr>
      <w:r>
        <w:rPr>
          <w:rStyle w:val="FootnoteReference"/>
        </w:rPr>
        <w:footnoteRef/>
      </w:r>
      <w:r>
        <w:rPr>
          <w:lang w:val="it-IT"/>
        </w:rPr>
        <w:tab/>
        <w:t>2016/2908</w:t>
      </w:r>
      <w:proofErr w:type="gramStart"/>
      <w:r>
        <w:rPr>
          <w:lang w:val="it-IT"/>
        </w:rPr>
        <w:t>(</w:t>
      </w:r>
      <w:proofErr w:type="gramEnd"/>
      <w:r>
        <w:rPr>
          <w:lang w:val="it-IT"/>
        </w:rPr>
        <w:t>RSP).</w:t>
      </w:r>
    </w:p>
  </w:footnote>
  <w:footnote w:id="13">
    <w:p w:rsidR="00D03C46" w:rsidRDefault="00BD37FC">
      <w:pPr>
        <w:pStyle w:val="FootnoteText"/>
        <w:rPr>
          <w:lang w:val="it-IT"/>
        </w:rPr>
      </w:pPr>
      <w:r>
        <w:rPr>
          <w:rStyle w:val="FootnoteReference"/>
        </w:rPr>
        <w:footnoteRef/>
      </w:r>
      <w:r>
        <w:rPr>
          <w:lang w:val="it-IT"/>
        </w:rPr>
        <w:tab/>
        <w:t xml:space="preserve">EUVL </w:t>
      </w:r>
      <w:proofErr w:type="gramStart"/>
      <w:r>
        <w:rPr>
          <w:lang w:val="it-IT"/>
        </w:rPr>
        <w:t>L</w:t>
      </w:r>
      <w:proofErr w:type="gramEnd"/>
      <w:r>
        <w:rPr>
          <w:lang w:val="it-IT"/>
        </w:rPr>
        <w:t xml:space="preserve"> 201, 26.7.2013, s. 60.</w:t>
      </w:r>
    </w:p>
  </w:footnote>
  <w:footnote w:id="14">
    <w:p w:rsidR="00D03C46" w:rsidRDefault="00BD37FC">
      <w:pPr>
        <w:pStyle w:val="FootnoteText"/>
      </w:pPr>
      <w:r>
        <w:rPr>
          <w:rStyle w:val="FootnoteReference"/>
        </w:rPr>
        <w:footnoteRef/>
      </w:r>
      <w:r>
        <w:tab/>
      </w:r>
      <w:proofErr w:type="gramStart"/>
      <w:r>
        <w:t>Euroopan parlamentin ja neuvoston asetus (EU) 2017/2394, annettu 12 päivänä joulukuuta 2017, kuluttaja</w:t>
      </w:r>
      <w:r>
        <w:t>nsuojalainsäädännön täytäntöönpanosta vastaavien kansallisten viranomaisten yhteistyöstä ja asetuksen (EY) N:o 2006/2004 kumoamisesta (EUVL L 345, 27.12.2017, s. 1).</w:t>
      </w:r>
      <w:proofErr w:type="gramEnd"/>
    </w:p>
  </w:footnote>
  <w:footnote w:id="15">
    <w:p w:rsidR="00D03C46" w:rsidRDefault="00BD37FC">
      <w:pPr>
        <w:pStyle w:val="FootnoteText"/>
      </w:pPr>
      <w:r>
        <w:rPr>
          <w:rStyle w:val="FootnoteReference"/>
        </w:rPr>
        <w:footnoteRef/>
      </w:r>
      <w:r>
        <w:tab/>
      </w:r>
      <w:proofErr w:type="gramStart"/>
      <w:r>
        <w:t>Euroopan parlamentin päätöslauselma, annettu 2 päivänä helmikuuta 2012, kollektiivisia o</w:t>
      </w:r>
      <w:r>
        <w:t>ikeussuojakeinoja koskevasta johdonmukaisesta eurooppalaisesta lähestymistavasta (2011/2089(INI)); Euroopan parlamentin suositus neuvostolle ja komissiolle, annettu 4 päivänä huhtikuuta 2017, autoalan päästömittauksia käsittelevän tutkimuksen johdosta (201</w:t>
      </w:r>
      <w:r>
        <w:t>6/2908(RSP).</w:t>
      </w:r>
      <w:proofErr w:type="gramEnd"/>
    </w:p>
  </w:footnote>
  <w:footnote w:id="16">
    <w:p w:rsidR="00D03C46" w:rsidRDefault="00BD37FC">
      <w:pPr>
        <w:pStyle w:val="FootnoteText"/>
      </w:pPr>
      <w:r>
        <w:rPr>
          <w:rStyle w:val="FootnoteReference"/>
        </w:rPr>
        <w:footnoteRef/>
      </w:r>
      <w:r>
        <w:tab/>
        <w:t>Asetuksen (EU) 2017/2394 johdanto-osan 46 kappale ja 9 artiklan 4 kohdan c alakohta.</w:t>
      </w:r>
    </w:p>
  </w:footnote>
  <w:footnote w:id="17">
    <w:p w:rsidR="00D03C46" w:rsidRDefault="00BD37FC">
      <w:pPr>
        <w:pStyle w:val="FootnoteText"/>
      </w:pPr>
      <w:r>
        <w:rPr>
          <w:rStyle w:val="FootnoteReference"/>
        </w:rPr>
        <w:footnoteRef/>
      </w:r>
      <w:r>
        <w:tab/>
      </w:r>
      <w:proofErr w:type="gramStart"/>
      <w:r>
        <w:t>Euroopan parlamentin ja neuvoston direktiivi 2013/11/EU, annettu 21 päivänä toukokuuta 2013, kuluttajariitojen vaihtoehtoisesta riidanratkaisusta.</w:t>
      </w:r>
      <w:proofErr w:type="gramEnd"/>
    </w:p>
  </w:footnote>
  <w:footnote w:id="18">
    <w:p w:rsidR="00D03C46" w:rsidRDefault="00BD37FC">
      <w:pPr>
        <w:pStyle w:val="FootnoteText"/>
      </w:pPr>
      <w:r>
        <w:rPr>
          <w:rStyle w:val="FootnoteReference"/>
        </w:rPr>
        <w:footnoteRef/>
      </w:r>
      <w:r>
        <w:tab/>
        <w:t>Verkk</w:t>
      </w:r>
      <w:r>
        <w:t>ovälitteinen riidanratkaisufoorumi on ollut käytettävissä 15. helmikuuta 2016 lähtien, ja se perustuu kuluttajariitojen verkkovälitteisestä riidanratkaisusta 21 päivänä toukokuuta 2013 annettuun Euroopan parlamentin ja neuvoston asetukseen (EU) N:o 524/201</w:t>
      </w:r>
      <w:r>
        <w:t>3.</w:t>
      </w:r>
    </w:p>
  </w:footnote>
  <w:footnote w:id="19">
    <w:p w:rsidR="00D03C46" w:rsidRDefault="00BD37FC">
      <w:pPr>
        <w:pStyle w:val="FootnoteText"/>
      </w:pPr>
      <w:r>
        <w:rPr>
          <w:rStyle w:val="FootnoteReference"/>
        </w:rPr>
        <w:footnoteRef/>
      </w:r>
      <w:r>
        <w:tab/>
        <w:t>EUVL L 341, 24.12.2015, s. 1–13.</w:t>
      </w:r>
    </w:p>
  </w:footnote>
  <w:footnote w:id="20">
    <w:p w:rsidR="00D03C46" w:rsidRDefault="00BD37FC">
      <w:pPr>
        <w:pStyle w:val="FootnoteText"/>
      </w:pPr>
      <w:r>
        <w:rPr>
          <w:rStyle w:val="FootnoteReference"/>
        </w:rPr>
        <w:footnoteRef/>
      </w:r>
      <w:r>
        <w:tab/>
        <w:t>EUVL L 136, 24.5.2008, s. 3–8.</w:t>
      </w:r>
    </w:p>
  </w:footnote>
  <w:footnote w:id="21">
    <w:p w:rsidR="00D03C46" w:rsidRDefault="00BD37FC">
      <w:pPr>
        <w:pStyle w:val="FootnoteText"/>
      </w:pPr>
      <w:r>
        <w:rPr>
          <w:rStyle w:val="FootnoteReference"/>
        </w:rPr>
        <w:footnoteRef/>
      </w:r>
      <w:r>
        <w:tab/>
      </w:r>
      <w:proofErr w:type="gramStart"/>
      <w:r>
        <w:t>Ratifioitu neuvoston päätöksellä 2005/370/EY (tehty 17 päivänä helmikuuta 2005, tiedon saantia, yleisön osallistumisoikeutta päätöksentekoon sekä muutoksenhaku- ja vireillepano-oikeut</w:t>
      </w:r>
      <w:r>
        <w:t>ta ympäristöasioissa koskevan yleissopimuksen tekemisestä Euroopan yhteisön puolesta.</w:t>
      </w:r>
      <w:proofErr w:type="gramEnd"/>
      <w:r>
        <w:t xml:space="preserve"> EUVL L 124, 17.5.2005, s. 1).</w:t>
      </w:r>
    </w:p>
  </w:footnote>
  <w:footnote w:id="22">
    <w:p w:rsidR="00D03C46" w:rsidRDefault="00BD37FC">
      <w:pPr>
        <w:pStyle w:val="FootnoteText"/>
      </w:pPr>
      <w:r>
        <w:rPr>
          <w:rStyle w:val="FootnoteReference"/>
        </w:rPr>
        <w:footnoteRef/>
      </w:r>
      <w:r>
        <w:tab/>
      </w:r>
      <w:proofErr w:type="gramStart"/>
      <w:r>
        <w:t>Komission kertomus kuluttajien etujen suojaamista tarkoittavista kieltokanteista annetun Euroopan parlamentin ja neuvoston direktiivin 98/</w:t>
      </w:r>
      <w:r>
        <w:t>27/EY soveltamisesta (KOM(2008) 756 lopullinen).</w:t>
      </w:r>
      <w:proofErr w:type="gramEnd"/>
    </w:p>
  </w:footnote>
  <w:footnote w:id="23">
    <w:p w:rsidR="00D03C46" w:rsidRDefault="00BD37FC">
      <w:pPr>
        <w:pStyle w:val="FootnoteText"/>
      </w:pPr>
      <w:r>
        <w:rPr>
          <w:rStyle w:val="FootnoteReference"/>
        </w:rPr>
        <w:footnoteRef/>
      </w:r>
      <w:r>
        <w:tab/>
      </w:r>
      <w:proofErr w:type="gramStart"/>
      <w:r>
        <w:t>Komission kertomus Euroopan parlamentille ja neuvostolle kuluttajien etujen suojaamista tarkoittavista kieltokanteista annetun Euroopan parlamentin ja neuvoston direktiivin 2009/22/EY soveltamisesta (COM(2</w:t>
      </w:r>
      <w:r>
        <w:t xml:space="preserve">012) 635 </w:t>
      </w:r>
      <w:proofErr w:type="spellStart"/>
      <w:r>
        <w:t>final</w:t>
      </w:r>
      <w:proofErr w:type="spellEnd"/>
      <w:r>
        <w:t>).</w:t>
      </w:r>
      <w:proofErr w:type="gramEnd"/>
    </w:p>
  </w:footnote>
  <w:footnote w:id="24">
    <w:p w:rsidR="00D03C46" w:rsidRDefault="00BD37FC">
      <w:pPr>
        <w:pStyle w:val="FootnoteText"/>
      </w:pPr>
      <w:r>
        <w:rPr>
          <w:rStyle w:val="FootnoteReference"/>
        </w:rPr>
        <w:footnoteRef/>
      </w:r>
      <w:r>
        <w:tab/>
        <w:t xml:space="preserve">SWD(2017) 209 </w:t>
      </w:r>
      <w:proofErr w:type="spellStart"/>
      <w:r>
        <w:t>final</w:t>
      </w:r>
      <w:proofErr w:type="spellEnd"/>
      <w:r>
        <w:t>.</w:t>
      </w:r>
    </w:p>
  </w:footnote>
  <w:footnote w:id="25">
    <w:p w:rsidR="00D03C46" w:rsidRDefault="00BD37FC">
      <w:pPr>
        <w:pStyle w:val="FootnoteText"/>
      </w:pPr>
      <w:r>
        <w:rPr>
          <w:rStyle w:val="FootnoteReference"/>
        </w:rPr>
        <w:footnoteRef/>
      </w:r>
      <w:r>
        <w:tab/>
        <w:t>Kollektiivisten hyvitysmekanismien saatavuudessa sekä niiden väärinkäyttöä torjuvien toimenpiteiden toteuttamisessa on edelleen suuria eroja EU:n jäsenvaltioiden välillä. Suosituksen vaikutukset näkyvät Belgiassa j</w:t>
      </w:r>
      <w:r>
        <w:t>a Liettuassa, joissa on annettu uutta lainsäädäntöä suosituksen hyväksymisen jälkeen, Sloveniassa, jossa uusi laki on vireillä, ja jossain määrin Ranskassa ja Yhdistyneessä kuningaskunnassa, joissa lainsäädäntöä on muutettu vuoden 2013 jälkeen.</w:t>
      </w:r>
    </w:p>
  </w:footnote>
  <w:footnote w:id="26">
    <w:p w:rsidR="00D03C46" w:rsidRDefault="00BD37FC">
      <w:pPr>
        <w:pStyle w:val="FootnoteText"/>
      </w:pPr>
      <w:r>
        <w:rPr>
          <w:rStyle w:val="FootnoteReference"/>
        </w:rPr>
        <w:footnoteRef/>
      </w:r>
      <w:r>
        <w:tab/>
        <w:t>SWD(2018)</w:t>
      </w:r>
      <w:r>
        <w:t xml:space="preserve"> 96.</w:t>
      </w:r>
    </w:p>
  </w:footnote>
  <w:footnote w:id="27">
    <w:p w:rsidR="00D03C46" w:rsidRDefault="00BD37FC">
      <w:pPr>
        <w:pStyle w:val="FootnoteText"/>
      </w:pPr>
      <w:r>
        <w:rPr>
          <w:rStyle w:val="FootnoteReference"/>
        </w:rPr>
        <w:footnoteRef/>
      </w:r>
      <w:r>
        <w:tab/>
        <w:t>SEC(2018) 185.</w:t>
      </w:r>
    </w:p>
  </w:footnote>
  <w:footnote w:id="28">
    <w:p w:rsidR="00D03C46" w:rsidRDefault="00BD37FC">
      <w:pPr>
        <w:pStyle w:val="FootnoteText"/>
      </w:pPr>
      <w:r>
        <w:rPr>
          <w:rStyle w:val="FootnoteReference"/>
        </w:rPr>
        <w:footnoteRef/>
      </w:r>
      <w:r>
        <w:tab/>
        <w:t>Vuoden 2017 tulostaulun mukaan tärkeimmät syyt siihen, että kuluttajat eivät nosta kannetta kohdatessaan ongelmia, ovat seuraavat: menettelyt kestävät liian pitkään (32,5 % niistä, jotka eivät nostaneet kannetta); hyvityksen saamine</w:t>
      </w:r>
      <w:r>
        <w:t>n koettiin epätodennäköiseksi (19,6 %); aiemmin oli esitetty hyvitysvaatimuksia mutta ilman tuloksia (16,3 %); kuluttajilla oli epävarmuutta oikeuksistaan (15,5 %); kuluttajat eivät tienneet, missä tai miten hyvitysvaatimus esitetään (15,1 %); kuluttajat t</w:t>
      </w:r>
      <w:r>
        <w:t>unsivat haluttomuutta nostaa kanne (13,3 %).</w:t>
      </w:r>
    </w:p>
  </w:footnote>
  <w:footnote w:id="29">
    <w:p w:rsidR="00D03C46" w:rsidRDefault="00BD37FC">
      <w:pPr>
        <w:pStyle w:val="FootnoteText"/>
        <w:rPr>
          <w:lang w:val="pt-PT"/>
        </w:rPr>
      </w:pPr>
      <w:r>
        <w:rPr>
          <w:rStyle w:val="FootnoteReference"/>
        </w:rPr>
        <w:footnoteRef/>
      </w:r>
      <w:r>
        <w:rPr>
          <w:lang w:val="pt-PT"/>
        </w:rPr>
        <w:tab/>
        <w:t>EUVL C […], […], s. […].</w:t>
      </w:r>
    </w:p>
  </w:footnote>
  <w:footnote w:id="30">
    <w:p w:rsidR="00D03C46" w:rsidRDefault="00BD37FC">
      <w:pPr>
        <w:pStyle w:val="FootnoteText"/>
        <w:rPr>
          <w:lang w:val="pt-PT"/>
        </w:rPr>
      </w:pPr>
      <w:r>
        <w:rPr>
          <w:rStyle w:val="FootnoteReference"/>
        </w:rPr>
        <w:footnoteRef/>
      </w:r>
      <w:r>
        <w:rPr>
          <w:lang w:val="pt-PT"/>
        </w:rPr>
        <w:tab/>
        <w:t>EUVL L 110, 1.5.2009, s. 30.</w:t>
      </w:r>
    </w:p>
  </w:footnote>
  <w:footnote w:id="31">
    <w:p w:rsidR="00D03C46" w:rsidRDefault="00BD37FC">
      <w:pPr>
        <w:pStyle w:val="FootnoteText"/>
        <w:rPr>
          <w:lang w:val="pt-PT"/>
        </w:rPr>
      </w:pPr>
      <w:r>
        <w:rPr>
          <w:rStyle w:val="FootnoteReference"/>
        </w:rPr>
        <w:footnoteRef/>
      </w:r>
      <w:r>
        <w:rPr>
          <w:lang w:val="pt-PT"/>
        </w:rPr>
        <w:tab/>
      </w:r>
      <w:proofErr w:type="gramStart"/>
      <w:r>
        <w:rPr>
          <w:lang w:val="pt-PT"/>
        </w:rPr>
        <w:t>COM(2013</w:t>
      </w:r>
      <w:proofErr w:type="gramEnd"/>
      <w:r>
        <w:rPr>
          <w:lang w:val="pt-PT"/>
        </w:rPr>
        <w:t>) 130 final.</w:t>
      </w:r>
    </w:p>
  </w:footnote>
  <w:footnote w:id="32">
    <w:p w:rsidR="00D03C46" w:rsidRDefault="00BD37FC">
      <w:pPr>
        <w:pStyle w:val="FootnoteText"/>
        <w:rPr>
          <w:lang w:val="pt-PT"/>
        </w:rPr>
      </w:pPr>
      <w:r>
        <w:rPr>
          <w:rStyle w:val="FootnoteReference"/>
        </w:rPr>
        <w:footnoteRef/>
      </w:r>
      <w:r>
        <w:rPr>
          <w:lang w:val="pt-PT"/>
        </w:rPr>
        <w:tab/>
      </w:r>
      <w:proofErr w:type="gramStart"/>
      <w:r>
        <w:rPr>
          <w:lang w:val="pt-PT"/>
        </w:rPr>
        <w:t>COM(2017</w:t>
      </w:r>
      <w:proofErr w:type="gramEnd"/>
      <w:r>
        <w:rPr>
          <w:lang w:val="pt-PT"/>
        </w:rPr>
        <w:t xml:space="preserve">) 548 final. </w:t>
      </w:r>
    </w:p>
  </w:footnote>
  <w:footnote w:id="33">
    <w:p w:rsidR="00D03C46" w:rsidRDefault="00BD37FC">
      <w:pPr>
        <w:pStyle w:val="FootnoteText"/>
        <w:rPr>
          <w:lang w:val="pt-PT"/>
        </w:rPr>
      </w:pPr>
      <w:r>
        <w:rPr>
          <w:rStyle w:val="FootnoteReference"/>
        </w:rPr>
        <w:footnoteRef/>
      </w:r>
      <w:r>
        <w:rPr>
          <w:lang w:val="pt-PT"/>
        </w:rPr>
        <w:tab/>
        <w:t>EUVL L 345, 27.12.2017.</w:t>
      </w:r>
    </w:p>
  </w:footnote>
  <w:footnote w:id="34">
    <w:p w:rsidR="00D03C46" w:rsidRDefault="00BD37FC">
      <w:pPr>
        <w:pStyle w:val="FootnoteText"/>
        <w:rPr>
          <w:lang w:val="pt-PT"/>
        </w:rPr>
      </w:pPr>
      <w:r>
        <w:rPr>
          <w:rStyle w:val="FootnoteReference"/>
        </w:rPr>
        <w:footnoteRef/>
      </w:r>
      <w:r>
        <w:rPr>
          <w:lang w:val="pt-PT"/>
        </w:rPr>
        <w:tab/>
        <w:t>EUVL C 369, 17.12.2011, s. 14.</w:t>
      </w:r>
    </w:p>
  </w:footnote>
  <w:footnote w:id="35">
    <w:p w:rsidR="00D03C46" w:rsidRDefault="00BD37FC">
      <w:pPr>
        <w:pStyle w:val="FootnoteText"/>
        <w:rPr>
          <w:szCs w:val="24"/>
        </w:rPr>
      </w:pPr>
      <w:r>
        <w:rPr>
          <w:rStyle w:val="FootnoteReference"/>
        </w:rPr>
        <w:footnoteRef/>
      </w:r>
      <w:r>
        <w:tab/>
        <w:t xml:space="preserve">ABM: toimintoperusteinen johtaminen; ABB: </w:t>
      </w:r>
      <w:r>
        <w:t>toimintoperusteinen budjetointi.</w:t>
      </w:r>
    </w:p>
  </w:footnote>
  <w:footnote w:id="36">
    <w:p w:rsidR="00D03C46" w:rsidRDefault="00BD37FC">
      <w:pPr>
        <w:pStyle w:val="FootnoteText"/>
        <w:rPr>
          <w:szCs w:val="24"/>
        </w:rPr>
      </w:pPr>
      <w:r>
        <w:rPr>
          <w:rStyle w:val="FootnoteReference"/>
        </w:rPr>
        <w:footnoteRef/>
      </w:r>
      <w:r>
        <w:tab/>
        <w:t>Sellaisina kuin nämä on määritelty varainhoitoasetuksen 54 artiklan 2 kohdan a ja b alakohdassa.</w:t>
      </w:r>
    </w:p>
  </w:footnote>
  <w:footnote w:id="37">
    <w:p w:rsidR="00D03C46" w:rsidRDefault="00BD37FC">
      <w:pPr>
        <w:pStyle w:val="FootnoteText"/>
        <w:rPr>
          <w:szCs w:val="24"/>
        </w:rPr>
      </w:pPr>
      <w:r>
        <w:rPr>
          <w:rStyle w:val="FootnoteReference"/>
        </w:rPr>
        <w:footnoteRef/>
      </w:r>
      <w:r>
        <w:tab/>
      </w:r>
      <w:r>
        <w:t xml:space="preserve">Kuvaukset eri hallinnointitavoista ja viittaukset varainhoitoasetukseen ovat saatavilla budjettipääosaston verkkosivuilla osoitteessa </w:t>
      </w:r>
      <w:hyperlink r:id="rId3">
        <w:r>
          <w:rPr>
            <w:rStyle w:val="Hyperlink"/>
            <w:sz w:val="18"/>
          </w:rPr>
          <w:t>http://www.cc.cec/budg/man/budgmanag/budgmanag_e</w:t>
        </w:r>
        <w:r>
          <w:rPr>
            <w:rStyle w:val="Hyperlink"/>
            <w:sz w:val="18"/>
          </w:rPr>
          <w:t>n.html</w:t>
        </w:r>
      </w:hyperlink>
    </w:p>
  </w:footnote>
  <w:footnote w:id="38">
    <w:p w:rsidR="00D03C46" w:rsidRDefault="00BD37FC">
      <w:pPr>
        <w:pStyle w:val="FootnoteText"/>
        <w:rPr>
          <w:szCs w:val="24"/>
        </w:rPr>
      </w:pPr>
      <w:r>
        <w:rPr>
          <w:rStyle w:val="FootnoteReference"/>
        </w:rPr>
        <w:footnoteRef/>
      </w:r>
      <w:r>
        <w:tab/>
      </w:r>
      <w:proofErr w:type="gramStart"/>
      <w:r>
        <w:t>JM = jaksotetut määrärahat / EI-JM = jaksottamattomat määrärahat.</w:t>
      </w:r>
      <w:proofErr w:type="gramEnd"/>
    </w:p>
  </w:footnote>
  <w:footnote w:id="39">
    <w:p w:rsidR="00D03C46" w:rsidRDefault="00BD37FC">
      <w:pPr>
        <w:pStyle w:val="FootnoteText"/>
        <w:rPr>
          <w:szCs w:val="24"/>
        </w:rPr>
      </w:pPr>
      <w:r>
        <w:rPr>
          <w:rStyle w:val="FootnoteReference"/>
        </w:rPr>
        <w:footnoteRef/>
      </w:r>
      <w:r>
        <w:tab/>
      </w:r>
      <w:proofErr w:type="gramStart"/>
      <w:r>
        <w:t>EFTA: Euroopan vapaakauppaliitto.</w:t>
      </w:r>
      <w:proofErr w:type="gramEnd"/>
      <w:r>
        <w:t xml:space="preserve"> </w:t>
      </w:r>
    </w:p>
  </w:footnote>
  <w:footnote w:id="40">
    <w:p w:rsidR="00D03C46" w:rsidRDefault="00BD37FC">
      <w:pPr>
        <w:pStyle w:val="FootnoteText"/>
        <w:rPr>
          <w:szCs w:val="24"/>
        </w:rPr>
      </w:pPr>
      <w:r>
        <w:rPr>
          <w:rStyle w:val="FootnoteReference"/>
        </w:rPr>
        <w:footnoteRef/>
      </w:r>
      <w:r>
        <w:tab/>
      </w:r>
      <w:proofErr w:type="gramStart"/>
      <w:r>
        <w:t>Ehdokasmaat ja soveltuvin osin Länsi-Balkanin mahdolliset ehdokasmaat.</w:t>
      </w:r>
      <w:proofErr w:type="gramEnd"/>
    </w:p>
  </w:footnote>
  <w:footnote w:id="41">
    <w:p w:rsidR="00D03C46" w:rsidRDefault="00BD37FC">
      <w:pPr>
        <w:pStyle w:val="FootnoteText"/>
        <w:rPr>
          <w:szCs w:val="24"/>
        </w:rPr>
      </w:pPr>
      <w:r>
        <w:rPr>
          <w:rStyle w:val="FootnoteReference"/>
        </w:rPr>
        <w:footnoteRef/>
      </w:r>
      <w:r>
        <w:tab/>
        <w:t>Tekninen ja/tai hallinnollinen apu sekä EU:n ohjelmien ja/tai toimien</w:t>
      </w:r>
      <w:r>
        <w:t xml:space="preserve"> toteuttamiseen liittyvät tukimenot (entiset </w:t>
      </w:r>
      <w:proofErr w:type="spellStart"/>
      <w:r>
        <w:t>BA-budjettikohdat</w:t>
      </w:r>
      <w:proofErr w:type="spellEnd"/>
      <w:r>
        <w:t>), epäsuora ja suora tutkimustoiminta.</w:t>
      </w:r>
    </w:p>
  </w:footnote>
  <w:footnote w:id="42">
    <w:p w:rsidR="00D03C46" w:rsidRDefault="00BD37FC">
      <w:pPr>
        <w:pStyle w:val="FootnoteText"/>
        <w:rPr>
          <w:szCs w:val="24"/>
        </w:rPr>
      </w:pPr>
      <w:r>
        <w:rPr>
          <w:rStyle w:val="FootnoteReference"/>
        </w:rPr>
        <w:footnoteRef/>
      </w:r>
      <w:r>
        <w:tab/>
        <w:t xml:space="preserve">Tekninen ja/tai hallinnollinen apu sekä EU:n ohjelmien ja/tai toimien toteuttamiseen liittyvät tukimenot (entiset </w:t>
      </w:r>
      <w:proofErr w:type="spellStart"/>
      <w:r>
        <w:t>BA-budjettikohdat</w:t>
      </w:r>
      <w:proofErr w:type="spellEnd"/>
      <w:r>
        <w:t>), epäsuora ja suora t</w:t>
      </w:r>
      <w:r>
        <w:t>utkimustoiminta.</w:t>
      </w:r>
    </w:p>
  </w:footnote>
  <w:footnote w:id="43">
    <w:p w:rsidR="00D03C46" w:rsidRDefault="00BD37FC">
      <w:pPr>
        <w:pStyle w:val="FootnoteText"/>
        <w:rPr>
          <w:szCs w:val="24"/>
        </w:rPr>
      </w:pPr>
      <w:r>
        <w:rPr>
          <w:rStyle w:val="FootnoteReference"/>
        </w:rPr>
        <w:footnoteRef/>
      </w:r>
      <w:r>
        <w:tab/>
        <w:t xml:space="preserve">AC = sopimussuhteiset toimihenkilöt, AL = paikalliset toimihenkilöt, END = kansalliset asiantuntijat, INT = vuokrahenkilöstö, JED = nuoremmat asiantuntijat EU:n ulkopuolisissa edustustoissa. </w:t>
      </w:r>
    </w:p>
  </w:footnote>
  <w:footnote w:id="44">
    <w:p w:rsidR="00D03C46" w:rsidRDefault="00BD37FC">
      <w:pPr>
        <w:pStyle w:val="FootnoteText"/>
        <w:rPr>
          <w:szCs w:val="24"/>
        </w:rPr>
      </w:pPr>
      <w:r>
        <w:rPr>
          <w:rStyle w:val="FootnoteReference"/>
        </w:rPr>
        <w:footnoteRef/>
      </w:r>
      <w:r>
        <w:tab/>
        <w:t>Toimintamäärärahoista katettavan ulkopuolis</w:t>
      </w:r>
      <w:r>
        <w:t xml:space="preserve">en henkilöstön enimmäismäärä (entiset </w:t>
      </w:r>
      <w:proofErr w:type="spellStart"/>
      <w:r>
        <w:t>BA-budjettikohdat</w:t>
      </w:r>
      <w:proofErr w:type="spellEnd"/>
      <w:r>
        <w:t>).</w:t>
      </w:r>
    </w:p>
  </w:footnote>
  <w:footnote w:id="45">
    <w:p w:rsidR="00D03C46" w:rsidRDefault="00BD37FC">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C" w:rsidRPr="00BD37FC" w:rsidRDefault="00BD37FC" w:rsidP="00BD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42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948C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E8EA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0F800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5690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94562BD4"/>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603"/>
        </w:tabs>
        <w:ind w:left="1603"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3"/>
  </w:num>
  <w:num w:numId="6">
    <w:abstractNumId w:val="20"/>
  </w:num>
  <w:num w:numId="7">
    <w:abstractNumId w:val="24"/>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num>
  <w:num w:numId="34">
    <w:abstractNumId w:val="22"/>
  </w:num>
  <w:num w:numId="35">
    <w:abstractNumId w:val="10"/>
  </w:num>
  <w:num w:numId="36">
    <w:abstractNumId w:val="12"/>
  </w:num>
  <w:num w:numId="37">
    <w:abstractNumId w:val="8"/>
  </w:num>
  <w:num w:numId="38">
    <w:abstractNumId w:val="21"/>
  </w:num>
  <w:num w:numId="39">
    <w:abstractNumId w:val="7"/>
  </w:num>
  <w:num w:numId="40">
    <w:abstractNumId w:val="13"/>
  </w:num>
  <w:num w:numId="41">
    <w:abstractNumId w:val="17"/>
  </w:num>
  <w:num w:numId="42">
    <w:abstractNumId w:val="18"/>
  </w:num>
  <w:num w:numId="43">
    <w:abstractNumId w:val="9"/>
  </w:num>
  <w:num w:numId="44">
    <w:abstractNumId w:val="16"/>
  </w:num>
  <w:num w:numId="45">
    <w:abstractNumId w:val="24"/>
  </w:num>
  <w:numIdMacAtCleanup w:val="4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2:09:01"/>
    <w:docVar w:name="DQCRepairStyles" w:val=";Point 1 (letter);"/>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5EB3B2BE-86B9-4EBF-9CE1-330A84A252F7"/>
    <w:docVar w:name="LW_COVERPAGE_TYPE" w:val="1"/>
    <w:docVar w:name="LW_CROSSREFERENCE" w:val="{SWD(2018) 96 final}_x000d__x000a_{SWD(2018) 98 final}"/>
    <w:docVar w:name="LW_DocType" w:val="COM"/>
    <w:docVar w:name="LW_EMISSION" w:val="11.4.2018"/>
    <w:docVar w:name="LW_EMISSION_ISODATE" w:val="2018-04-11"/>
    <w:docVar w:name="LW_EMISSION_LOCATION" w:val="BRX"/>
    <w:docVar w:name="LW_EMISSION_PREFIX" w:val="Bryssel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89"/>
    <w:docVar w:name="LW_REF.II.NEW.CP_YEAR" w:val="2018"/>
    <w:docVar w:name="LW_REF.INST.NEW" w:val="COM"/>
    <w:docVar w:name="LW_REF.INST.NEW_ADOPTED" w:val="final"/>
    <w:docVar w:name="LW_REF.INST.NEW_TEXT" w:val="(2018)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kuluttajien yhteisten etujen suojaamiseksi nostettavista edustajakanteista sekä direktiivin 2009/22/EY kumoamisesta "/>
    <w:docVar w:name="LW_TYPE.DOC.CP" w:val="EUROOPAN PARLAMENTIN JA NEUVOSTON DIREKTIIVI"/>
  </w:docVars>
  <w:rsids>
    <w:rsidRoot w:val="00D03C46"/>
    <w:rsid w:val="00BD37FC"/>
    <w:rsid w:val="00D0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fi-FI"/>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D37F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D37FC"/>
    <w:rPr>
      <w:rFonts w:ascii="Times New Roman" w:hAnsi="Times New Roman" w:cs="Times New Roman"/>
      <w:sz w:val="24"/>
      <w:lang w:eastAsia="en-US" w:bidi="ar-SA"/>
    </w:rPr>
  </w:style>
  <w:style w:type="paragraph" w:styleId="Footer">
    <w:name w:val="footer"/>
    <w:basedOn w:val="Normal"/>
    <w:link w:val="FooterChar"/>
    <w:uiPriority w:val="99"/>
    <w:unhideWhenUsed/>
    <w:rsid w:val="00BD37F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D37F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D37FC"/>
    <w:pPr>
      <w:tabs>
        <w:tab w:val="center" w:pos="7285"/>
        <w:tab w:val="right" w:pos="14003"/>
      </w:tabs>
      <w:spacing w:before="0"/>
    </w:pPr>
    <w:rPr>
      <w:lang w:eastAsia="en-US" w:bidi="ar-SA"/>
    </w:rPr>
  </w:style>
  <w:style w:type="paragraph" w:customStyle="1" w:styleId="FooterLandscape">
    <w:name w:val="FooterLandscape"/>
    <w:basedOn w:val="Normal"/>
    <w:rsid w:val="00BD37F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D37F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D37F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fi-FI"/>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D37F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D37FC"/>
    <w:rPr>
      <w:rFonts w:ascii="Times New Roman" w:hAnsi="Times New Roman" w:cs="Times New Roman"/>
      <w:sz w:val="24"/>
      <w:lang w:eastAsia="en-US" w:bidi="ar-SA"/>
    </w:rPr>
  </w:style>
  <w:style w:type="paragraph" w:styleId="Footer">
    <w:name w:val="footer"/>
    <w:basedOn w:val="Normal"/>
    <w:link w:val="FooterChar"/>
    <w:uiPriority w:val="99"/>
    <w:unhideWhenUsed/>
    <w:rsid w:val="00BD37F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D37F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D37FC"/>
    <w:pPr>
      <w:tabs>
        <w:tab w:val="center" w:pos="7285"/>
        <w:tab w:val="right" w:pos="14003"/>
      </w:tabs>
      <w:spacing w:before="0"/>
    </w:pPr>
    <w:rPr>
      <w:lang w:eastAsia="en-US" w:bidi="ar-SA"/>
    </w:rPr>
  </w:style>
  <w:style w:type="paragraph" w:customStyle="1" w:styleId="FooterLandscape">
    <w:name w:val="FooterLandscape"/>
    <w:basedOn w:val="Normal"/>
    <w:rsid w:val="00BD37F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D37F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D37F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61">
      <w:bodyDiv w:val="1"/>
      <w:marLeft w:val="0"/>
      <w:marRight w:val="0"/>
      <w:marTop w:val="0"/>
      <w:marBottom w:val="0"/>
      <w:divBdr>
        <w:top w:val="none" w:sz="0" w:space="0" w:color="auto"/>
        <w:left w:val="none" w:sz="0" w:space="0" w:color="auto"/>
        <w:bottom w:val="none" w:sz="0" w:space="0" w:color="auto"/>
        <w:right w:val="none" w:sz="0" w:space="0" w:color="auto"/>
      </w:divBdr>
    </w:div>
    <w:div w:id="360402353">
      <w:bodyDiv w:val="1"/>
      <w:marLeft w:val="0"/>
      <w:marRight w:val="0"/>
      <w:marTop w:val="0"/>
      <w:marBottom w:val="0"/>
      <w:divBdr>
        <w:top w:val="none" w:sz="0" w:space="0" w:color="auto"/>
        <w:left w:val="none" w:sz="0" w:space="0" w:color="auto"/>
        <w:bottom w:val="none" w:sz="0" w:space="0" w:color="auto"/>
        <w:right w:val="none" w:sz="0" w:space="0" w:color="auto"/>
      </w:divBdr>
      <w:divsChild>
        <w:div w:id="801001204">
          <w:marLeft w:val="0"/>
          <w:marRight w:val="0"/>
          <w:marTop w:val="0"/>
          <w:marBottom w:val="0"/>
          <w:divBdr>
            <w:top w:val="none" w:sz="0" w:space="0" w:color="auto"/>
            <w:left w:val="none" w:sz="0" w:space="0" w:color="auto"/>
            <w:bottom w:val="none" w:sz="0" w:space="0" w:color="auto"/>
            <w:right w:val="none" w:sz="0" w:space="0" w:color="auto"/>
          </w:divBdr>
          <w:divsChild>
            <w:div w:id="2058048966">
              <w:marLeft w:val="0"/>
              <w:marRight w:val="0"/>
              <w:marTop w:val="0"/>
              <w:marBottom w:val="0"/>
              <w:divBdr>
                <w:top w:val="none" w:sz="0" w:space="0" w:color="auto"/>
                <w:left w:val="none" w:sz="0" w:space="0" w:color="auto"/>
                <w:bottom w:val="none" w:sz="0" w:space="0" w:color="auto"/>
                <w:right w:val="none" w:sz="0" w:space="0" w:color="auto"/>
              </w:divBdr>
              <w:divsChild>
                <w:div w:id="586769485">
                  <w:marLeft w:val="0"/>
                  <w:marRight w:val="0"/>
                  <w:marTop w:val="0"/>
                  <w:marBottom w:val="0"/>
                  <w:divBdr>
                    <w:top w:val="none" w:sz="0" w:space="0" w:color="auto"/>
                    <w:left w:val="none" w:sz="0" w:space="0" w:color="auto"/>
                    <w:bottom w:val="none" w:sz="0" w:space="0" w:color="auto"/>
                    <w:right w:val="none" w:sz="0" w:space="0" w:color="auto"/>
                  </w:divBdr>
                  <w:divsChild>
                    <w:div w:id="1904290770">
                      <w:marLeft w:val="1"/>
                      <w:marRight w:val="1"/>
                      <w:marTop w:val="0"/>
                      <w:marBottom w:val="0"/>
                      <w:divBdr>
                        <w:top w:val="none" w:sz="0" w:space="0" w:color="auto"/>
                        <w:left w:val="none" w:sz="0" w:space="0" w:color="auto"/>
                        <w:bottom w:val="none" w:sz="0" w:space="0" w:color="auto"/>
                        <w:right w:val="none" w:sz="0" w:space="0" w:color="auto"/>
                      </w:divBdr>
                      <w:divsChild>
                        <w:div w:id="1451391394">
                          <w:marLeft w:val="0"/>
                          <w:marRight w:val="0"/>
                          <w:marTop w:val="0"/>
                          <w:marBottom w:val="0"/>
                          <w:divBdr>
                            <w:top w:val="none" w:sz="0" w:space="0" w:color="auto"/>
                            <w:left w:val="none" w:sz="0" w:space="0" w:color="auto"/>
                            <w:bottom w:val="none" w:sz="0" w:space="0" w:color="auto"/>
                            <w:right w:val="none" w:sz="0" w:space="0" w:color="auto"/>
                          </w:divBdr>
                          <w:divsChild>
                            <w:div w:id="888686829">
                              <w:marLeft w:val="0"/>
                              <w:marRight w:val="0"/>
                              <w:marTop w:val="0"/>
                              <w:marBottom w:val="360"/>
                              <w:divBdr>
                                <w:top w:val="none" w:sz="0" w:space="0" w:color="auto"/>
                                <w:left w:val="none" w:sz="0" w:space="0" w:color="auto"/>
                                <w:bottom w:val="none" w:sz="0" w:space="0" w:color="auto"/>
                                <w:right w:val="none" w:sz="0" w:space="0" w:color="auto"/>
                              </w:divBdr>
                              <w:divsChild>
                                <w:div w:id="243998670">
                                  <w:marLeft w:val="0"/>
                                  <w:marRight w:val="0"/>
                                  <w:marTop w:val="0"/>
                                  <w:marBottom w:val="0"/>
                                  <w:divBdr>
                                    <w:top w:val="none" w:sz="0" w:space="0" w:color="auto"/>
                                    <w:left w:val="none" w:sz="0" w:space="0" w:color="auto"/>
                                    <w:bottom w:val="none" w:sz="0" w:space="0" w:color="auto"/>
                                    <w:right w:val="none" w:sz="0" w:space="0" w:color="auto"/>
                                  </w:divBdr>
                                  <w:divsChild>
                                    <w:div w:id="743604120">
                                      <w:marLeft w:val="0"/>
                                      <w:marRight w:val="0"/>
                                      <w:marTop w:val="0"/>
                                      <w:marBottom w:val="0"/>
                                      <w:divBdr>
                                        <w:top w:val="none" w:sz="0" w:space="0" w:color="auto"/>
                                        <w:left w:val="none" w:sz="0" w:space="0" w:color="auto"/>
                                        <w:bottom w:val="none" w:sz="0" w:space="0" w:color="auto"/>
                                        <w:right w:val="none" w:sz="0" w:space="0" w:color="auto"/>
                                      </w:divBdr>
                                      <w:divsChild>
                                        <w:div w:id="1164392379">
                                          <w:marLeft w:val="0"/>
                                          <w:marRight w:val="0"/>
                                          <w:marTop w:val="0"/>
                                          <w:marBottom w:val="0"/>
                                          <w:divBdr>
                                            <w:top w:val="none" w:sz="0" w:space="0" w:color="auto"/>
                                            <w:left w:val="none" w:sz="0" w:space="0" w:color="auto"/>
                                            <w:bottom w:val="none" w:sz="0" w:space="0" w:color="auto"/>
                                            <w:right w:val="none" w:sz="0" w:space="0" w:color="auto"/>
                                          </w:divBdr>
                                          <w:divsChild>
                                            <w:div w:id="1236890123">
                                              <w:marLeft w:val="0"/>
                                              <w:marRight w:val="0"/>
                                              <w:marTop w:val="0"/>
                                              <w:marBottom w:val="0"/>
                                              <w:divBdr>
                                                <w:top w:val="none" w:sz="0" w:space="0" w:color="auto"/>
                                                <w:left w:val="none" w:sz="0" w:space="0" w:color="auto"/>
                                                <w:bottom w:val="none" w:sz="0" w:space="0" w:color="auto"/>
                                                <w:right w:val="none" w:sz="0" w:space="0" w:color="auto"/>
                                              </w:divBdr>
                                              <w:divsChild>
                                                <w:div w:id="10639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3770">
      <w:bodyDiv w:val="1"/>
      <w:marLeft w:val="0"/>
      <w:marRight w:val="0"/>
      <w:marTop w:val="0"/>
      <w:marBottom w:val="0"/>
      <w:divBdr>
        <w:top w:val="none" w:sz="0" w:space="0" w:color="auto"/>
        <w:left w:val="none" w:sz="0" w:space="0" w:color="auto"/>
        <w:bottom w:val="none" w:sz="0" w:space="0" w:color="auto"/>
        <w:right w:val="none" w:sz="0" w:space="0" w:color="auto"/>
      </w:divBdr>
    </w:div>
    <w:div w:id="507645651">
      <w:bodyDiv w:val="1"/>
      <w:marLeft w:val="0"/>
      <w:marRight w:val="0"/>
      <w:marTop w:val="0"/>
      <w:marBottom w:val="0"/>
      <w:divBdr>
        <w:top w:val="none" w:sz="0" w:space="0" w:color="auto"/>
        <w:left w:val="none" w:sz="0" w:space="0" w:color="auto"/>
        <w:bottom w:val="none" w:sz="0" w:space="0" w:color="auto"/>
        <w:right w:val="none" w:sz="0" w:space="0" w:color="auto"/>
      </w:divBdr>
      <w:divsChild>
        <w:div w:id="407702176">
          <w:marLeft w:val="0"/>
          <w:marRight w:val="0"/>
          <w:marTop w:val="0"/>
          <w:marBottom w:val="0"/>
          <w:divBdr>
            <w:top w:val="none" w:sz="0" w:space="0" w:color="auto"/>
            <w:left w:val="none" w:sz="0" w:space="0" w:color="auto"/>
            <w:bottom w:val="none" w:sz="0" w:space="0" w:color="auto"/>
            <w:right w:val="none" w:sz="0" w:space="0" w:color="auto"/>
          </w:divBdr>
          <w:divsChild>
            <w:div w:id="1963146715">
              <w:marLeft w:val="0"/>
              <w:marRight w:val="0"/>
              <w:marTop w:val="0"/>
              <w:marBottom w:val="0"/>
              <w:divBdr>
                <w:top w:val="none" w:sz="0" w:space="0" w:color="auto"/>
                <w:left w:val="none" w:sz="0" w:space="0" w:color="auto"/>
                <w:bottom w:val="none" w:sz="0" w:space="0" w:color="auto"/>
                <w:right w:val="none" w:sz="0" w:space="0" w:color="auto"/>
              </w:divBdr>
              <w:divsChild>
                <w:div w:id="29696125">
                  <w:marLeft w:val="0"/>
                  <w:marRight w:val="0"/>
                  <w:marTop w:val="0"/>
                  <w:marBottom w:val="0"/>
                  <w:divBdr>
                    <w:top w:val="none" w:sz="0" w:space="0" w:color="auto"/>
                    <w:left w:val="none" w:sz="0" w:space="0" w:color="auto"/>
                    <w:bottom w:val="none" w:sz="0" w:space="0" w:color="auto"/>
                    <w:right w:val="none" w:sz="0" w:space="0" w:color="auto"/>
                  </w:divBdr>
                  <w:divsChild>
                    <w:div w:id="1245064302">
                      <w:marLeft w:val="1"/>
                      <w:marRight w:val="1"/>
                      <w:marTop w:val="0"/>
                      <w:marBottom w:val="0"/>
                      <w:divBdr>
                        <w:top w:val="none" w:sz="0" w:space="0" w:color="auto"/>
                        <w:left w:val="none" w:sz="0" w:space="0" w:color="auto"/>
                        <w:bottom w:val="none" w:sz="0" w:space="0" w:color="auto"/>
                        <w:right w:val="none" w:sz="0" w:space="0" w:color="auto"/>
                      </w:divBdr>
                      <w:divsChild>
                        <w:div w:id="1230966430">
                          <w:marLeft w:val="0"/>
                          <w:marRight w:val="0"/>
                          <w:marTop w:val="0"/>
                          <w:marBottom w:val="0"/>
                          <w:divBdr>
                            <w:top w:val="none" w:sz="0" w:space="0" w:color="auto"/>
                            <w:left w:val="none" w:sz="0" w:space="0" w:color="auto"/>
                            <w:bottom w:val="none" w:sz="0" w:space="0" w:color="auto"/>
                            <w:right w:val="none" w:sz="0" w:space="0" w:color="auto"/>
                          </w:divBdr>
                          <w:divsChild>
                            <w:div w:id="808013041">
                              <w:marLeft w:val="0"/>
                              <w:marRight w:val="0"/>
                              <w:marTop w:val="0"/>
                              <w:marBottom w:val="360"/>
                              <w:divBdr>
                                <w:top w:val="none" w:sz="0" w:space="0" w:color="auto"/>
                                <w:left w:val="none" w:sz="0" w:space="0" w:color="auto"/>
                                <w:bottom w:val="none" w:sz="0" w:space="0" w:color="auto"/>
                                <w:right w:val="none" w:sz="0" w:space="0" w:color="auto"/>
                              </w:divBdr>
                              <w:divsChild>
                                <w:div w:id="80102559">
                                  <w:marLeft w:val="0"/>
                                  <w:marRight w:val="0"/>
                                  <w:marTop w:val="0"/>
                                  <w:marBottom w:val="0"/>
                                  <w:divBdr>
                                    <w:top w:val="none" w:sz="0" w:space="0" w:color="auto"/>
                                    <w:left w:val="none" w:sz="0" w:space="0" w:color="auto"/>
                                    <w:bottom w:val="none" w:sz="0" w:space="0" w:color="auto"/>
                                    <w:right w:val="none" w:sz="0" w:space="0" w:color="auto"/>
                                  </w:divBdr>
                                  <w:divsChild>
                                    <w:div w:id="930817173">
                                      <w:marLeft w:val="0"/>
                                      <w:marRight w:val="0"/>
                                      <w:marTop w:val="0"/>
                                      <w:marBottom w:val="0"/>
                                      <w:divBdr>
                                        <w:top w:val="none" w:sz="0" w:space="0" w:color="auto"/>
                                        <w:left w:val="none" w:sz="0" w:space="0" w:color="auto"/>
                                        <w:bottom w:val="none" w:sz="0" w:space="0" w:color="auto"/>
                                        <w:right w:val="none" w:sz="0" w:space="0" w:color="auto"/>
                                      </w:divBdr>
                                      <w:divsChild>
                                        <w:div w:id="544753931">
                                          <w:marLeft w:val="0"/>
                                          <w:marRight w:val="0"/>
                                          <w:marTop w:val="0"/>
                                          <w:marBottom w:val="0"/>
                                          <w:divBdr>
                                            <w:top w:val="none" w:sz="0" w:space="0" w:color="auto"/>
                                            <w:left w:val="none" w:sz="0" w:space="0" w:color="auto"/>
                                            <w:bottom w:val="none" w:sz="0" w:space="0" w:color="auto"/>
                                            <w:right w:val="none" w:sz="0" w:space="0" w:color="auto"/>
                                          </w:divBdr>
                                          <w:divsChild>
                                            <w:div w:id="920722775">
                                              <w:marLeft w:val="0"/>
                                              <w:marRight w:val="0"/>
                                              <w:marTop w:val="0"/>
                                              <w:marBottom w:val="0"/>
                                              <w:divBdr>
                                                <w:top w:val="none" w:sz="0" w:space="0" w:color="auto"/>
                                                <w:left w:val="none" w:sz="0" w:space="0" w:color="auto"/>
                                                <w:bottom w:val="none" w:sz="0" w:space="0" w:color="auto"/>
                                                <w:right w:val="none" w:sz="0" w:space="0" w:color="auto"/>
                                              </w:divBdr>
                                              <w:divsChild>
                                                <w:div w:id="1534268602">
                                                  <w:marLeft w:val="0"/>
                                                  <w:marRight w:val="0"/>
                                                  <w:marTop w:val="0"/>
                                                  <w:marBottom w:val="0"/>
                                                  <w:divBdr>
                                                    <w:top w:val="none" w:sz="0" w:space="0" w:color="auto"/>
                                                    <w:left w:val="none" w:sz="0" w:space="0" w:color="auto"/>
                                                    <w:bottom w:val="none" w:sz="0" w:space="0" w:color="auto"/>
                                                    <w:right w:val="none" w:sz="0" w:space="0" w:color="auto"/>
                                                  </w:divBdr>
                                                  <w:divsChild>
                                                    <w:div w:id="951941634">
                                                      <w:marLeft w:val="0"/>
                                                      <w:marRight w:val="0"/>
                                                      <w:marTop w:val="0"/>
                                                      <w:marBottom w:val="0"/>
                                                      <w:divBdr>
                                                        <w:top w:val="none" w:sz="0" w:space="0" w:color="auto"/>
                                                        <w:left w:val="none" w:sz="0" w:space="0" w:color="auto"/>
                                                        <w:bottom w:val="none" w:sz="0" w:space="0" w:color="auto"/>
                                                        <w:right w:val="none" w:sz="0" w:space="0" w:color="auto"/>
                                                      </w:divBdr>
                                                      <w:divsChild>
                                                        <w:div w:id="1159539029">
                                                          <w:marLeft w:val="0"/>
                                                          <w:marRight w:val="0"/>
                                                          <w:marTop w:val="0"/>
                                                          <w:marBottom w:val="0"/>
                                                          <w:divBdr>
                                                            <w:top w:val="none" w:sz="0" w:space="0" w:color="auto"/>
                                                            <w:left w:val="none" w:sz="0" w:space="0" w:color="auto"/>
                                                            <w:bottom w:val="none" w:sz="0" w:space="0" w:color="auto"/>
                                                            <w:right w:val="none" w:sz="0" w:space="0" w:color="auto"/>
                                                          </w:divBdr>
                                                          <w:divsChild>
                                                            <w:div w:id="842628070">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706222221">
      <w:bodyDiv w:val="1"/>
      <w:marLeft w:val="0"/>
      <w:marRight w:val="0"/>
      <w:marTop w:val="0"/>
      <w:marBottom w:val="0"/>
      <w:divBdr>
        <w:top w:val="none" w:sz="0" w:space="0" w:color="auto"/>
        <w:left w:val="none" w:sz="0" w:space="0" w:color="auto"/>
        <w:bottom w:val="none" w:sz="0" w:space="0" w:color="auto"/>
        <w:right w:val="none" w:sz="0" w:space="0" w:color="auto"/>
      </w:divBdr>
    </w:div>
    <w:div w:id="751857945">
      <w:bodyDiv w:val="1"/>
      <w:marLeft w:val="0"/>
      <w:marRight w:val="0"/>
      <w:marTop w:val="0"/>
      <w:marBottom w:val="0"/>
      <w:divBdr>
        <w:top w:val="none" w:sz="0" w:space="0" w:color="auto"/>
        <w:left w:val="none" w:sz="0" w:space="0" w:color="auto"/>
        <w:bottom w:val="none" w:sz="0" w:space="0" w:color="auto"/>
        <w:right w:val="none" w:sz="0" w:space="0" w:color="auto"/>
      </w:divBdr>
    </w:div>
    <w:div w:id="979773156">
      <w:bodyDiv w:val="1"/>
      <w:marLeft w:val="0"/>
      <w:marRight w:val="0"/>
      <w:marTop w:val="0"/>
      <w:marBottom w:val="0"/>
      <w:divBdr>
        <w:top w:val="none" w:sz="0" w:space="0" w:color="auto"/>
        <w:left w:val="none" w:sz="0" w:space="0" w:color="auto"/>
        <w:bottom w:val="none" w:sz="0" w:space="0" w:color="auto"/>
        <w:right w:val="none" w:sz="0" w:space="0" w:color="auto"/>
      </w:divBdr>
    </w:div>
    <w:div w:id="1086347683">
      <w:bodyDiv w:val="1"/>
      <w:marLeft w:val="0"/>
      <w:marRight w:val="0"/>
      <w:marTop w:val="0"/>
      <w:marBottom w:val="0"/>
      <w:divBdr>
        <w:top w:val="none" w:sz="0" w:space="0" w:color="auto"/>
        <w:left w:val="none" w:sz="0" w:space="0" w:color="auto"/>
        <w:bottom w:val="none" w:sz="0" w:space="0" w:color="auto"/>
        <w:right w:val="none" w:sz="0" w:space="0" w:color="auto"/>
      </w:divBdr>
    </w:div>
    <w:div w:id="1099368707">
      <w:bodyDiv w:val="1"/>
      <w:marLeft w:val="0"/>
      <w:marRight w:val="0"/>
      <w:marTop w:val="0"/>
      <w:marBottom w:val="0"/>
      <w:divBdr>
        <w:top w:val="none" w:sz="0" w:space="0" w:color="auto"/>
        <w:left w:val="none" w:sz="0" w:space="0" w:color="auto"/>
        <w:bottom w:val="none" w:sz="0" w:space="0" w:color="auto"/>
        <w:right w:val="none" w:sz="0" w:space="0" w:color="auto"/>
      </w:divBdr>
    </w:div>
    <w:div w:id="14716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ec.europa.eu/info/law/law-making-process/evaluating-and-improving-existing-laws/refit-making-eu-law-simpler-and-less-costly_f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s://ec.europa.eu/commission/state-union-2017_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4f503d93-73c1-4597-96f4-f7a992e3c63a">Not Started</EC_Collab_Status>
    <EC_Collab_Reference xmlns="4f503d93-73c1-4597-96f4-f7a992e3c63a" xsi:nil="true"/>
    <EC_Collab_DocumentLanguage xmlns="4f503d93-73c1-4597-96f4-f7a992e3c63a">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79090A4EED54B9565DA1B083712D8" ma:contentTypeVersion="0" ma:contentTypeDescription="Create a new document in this library." ma:contentTypeScope="" ma:versionID="acc170ae29c4033156b46acd2cb31a7b">
  <xsd:schema xmlns:xsd="http://www.w3.org/2001/XMLSchema" xmlns:xs="http://www.w3.org/2001/XMLSchema" xmlns:p="http://schemas.microsoft.com/office/2006/metadata/properties" xmlns:ns2="http://schemas.microsoft.com/sharepoint/v3/fields" xmlns:ns3="4f503d93-73c1-4597-96f4-f7a992e3c63a" targetNamespace="http://schemas.microsoft.com/office/2006/metadata/properties" ma:root="true" ma:fieldsID="0897e21abd97d55d745b11144d28b977" ns2:_="" ns3:_="">
    <xsd:import namespace="http://schemas.microsoft.com/sharepoint/v3/fields"/>
    <xsd:import namespace="4f503d93-73c1-4597-96f4-f7a992e3c63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f503d93-73c1-4597-96f4-f7a992e3c63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14E9-D75A-4565-928C-88B5786DC2F8}">
  <ds:schemaRefs>
    <ds:schemaRef ds:uri="http://schemas.microsoft.com/sharepoint/v3/contenttype/forms"/>
  </ds:schemaRefs>
</ds:datastoreItem>
</file>

<file path=customXml/itemProps2.xml><?xml version="1.0" encoding="utf-8"?>
<ds:datastoreItem xmlns:ds="http://schemas.openxmlformats.org/officeDocument/2006/customXml" ds:itemID="{6EB816BD-4FA1-45C9-A532-9A13BA4E8479}">
  <ds:schemaRefs>
    <ds:schemaRef ds:uri="http://purl.org/dc/dcmitype/"/>
    <ds:schemaRef ds:uri="http://schemas.microsoft.com/office/2006/documentManagement/types"/>
    <ds:schemaRef ds:uri="http://purl.org/dc/elements/1.1/"/>
    <ds:schemaRef ds:uri="http://www.w3.org/XML/1998/namespace"/>
    <ds:schemaRef ds:uri="http://schemas.microsoft.com/sharepoint/v3/fields"/>
    <ds:schemaRef ds:uri="http://purl.org/dc/terms/"/>
    <ds:schemaRef ds:uri="http://schemas.microsoft.com/office/infopath/2007/PartnerControls"/>
    <ds:schemaRef ds:uri="http://schemas.openxmlformats.org/package/2006/metadata/core-properties"/>
    <ds:schemaRef ds:uri="4f503d93-73c1-4597-96f4-f7a992e3c63a"/>
    <ds:schemaRef ds:uri="http://schemas.microsoft.com/office/2006/metadata/properties"/>
  </ds:schemaRefs>
</ds:datastoreItem>
</file>

<file path=customXml/itemProps3.xml><?xml version="1.0" encoding="utf-8"?>
<ds:datastoreItem xmlns:ds="http://schemas.openxmlformats.org/officeDocument/2006/customXml" ds:itemID="{1F4DEDCC-BE99-4162-9C29-D2EA8886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503d93-73c1-4597-96f4-f7a992e3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2C7CD-7D45-42BC-A783-4240EC27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54</Pages>
  <Words>19369</Words>
  <Characters>121641</Characters>
  <Application>Microsoft Office Word</Application>
  <DocSecurity>0</DocSecurity>
  <Lines>2966</Lines>
  <Paragraphs>881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2018-04-10T08:23:00Z</cp:lastPrinted>
  <dcterms:created xsi:type="dcterms:W3CDTF">2018-04-23T12:03:00Z</dcterms:created>
  <dcterms:modified xsi:type="dcterms:W3CDTF">2018-04-26T12:05:00Z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0x010100258AA79CEB83498886A3A0868112325000C7F79090A4EED54B9565DA1B083712D8</vt:lpwstr>
  </property>
  <property fmtid="{D5CDD505-2E9C-101B-9397-08002B2CF9AE}" pid="11" name="DQCStatus">
    <vt:lpwstr>Yellow (DQC version 03)</vt:lpwstr>
  </property>
</Properties>
</file>