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F3F9F87-F426-497D-A82E-C759656C5C88" style="width:450.75pt;height:552.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jc w:val="center"/>
        <w:rPr>
          <w:rFonts w:ascii="Times New Roman" w:hAnsi="Times New Roman" w:cs="Times New Roman"/>
          <w:noProof/>
          <w:sz w:val="24"/>
          <w:szCs w:val="24"/>
          <w:u w:val="single"/>
        </w:rPr>
      </w:pPr>
      <w:bookmarkStart w:id="1" w:name="_GoBack"/>
      <w:bookmarkEnd w:id="1"/>
      <w:r>
        <w:rPr>
          <w:rFonts w:ascii="Times New Roman" w:hAnsi="Times New Roman"/>
          <w:noProof/>
          <w:sz w:val="24"/>
          <w:u w:val="single"/>
        </w:rPr>
        <w:lastRenderedPageBreak/>
        <w:t>Sprawozdanie podsumowujące</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Wprowadzenie</w:t>
      </w:r>
    </w:p>
    <w:p>
      <w:pPr>
        <w:jc w:val="both"/>
        <w:rPr>
          <w:rFonts w:ascii="Times New Roman" w:hAnsi="Times New Roman" w:cs="Times New Roman"/>
          <w:noProof/>
          <w:sz w:val="24"/>
          <w:szCs w:val="24"/>
        </w:rPr>
      </w:pPr>
      <w:r>
        <w:rPr>
          <w:rFonts w:ascii="Times New Roman" w:hAnsi="Times New Roman"/>
          <w:noProof/>
          <w:sz w:val="24"/>
        </w:rPr>
        <w:t>W niniejszym sprawozdaniu przedstawiono informacje zwrotne uzyskane od obywateli oraz od organów, grup i organizacji krajowych („zainteresowane strony”) w związku z inicjatywą odnoszącą się do wniosku Komisji dotyczącego rozporządzenia w sprawie przejrzystości i zrównoważonego charakteru unijnej oceny ryzyka w łańcuchu żywnościowym („wniosek Komisji”). Wniosek Komisji ma na celu wprowadzenie zmian w rozporządzeniu (WE) nr 178/2002 ustanawiającym ogólne zasady i wymagania prawa żywnościowego, powołującym Europejski Urząd ds. Bezpieczeństwa Żywności (EFSA) oraz określającym procedury w zakresie bezpieczeństwa żywności. Ze względu na potrzebę spójności celem wniosku Komisji jest również wprowadzenie zmian w innych sektorowych aktach prawa żywnościowego. Wniosek Komisji opiera się na ustaleniach poczynionych w ramach oceny adekwatności ogólnego prawa żywnościowego</w:t>
      </w:r>
      <w:r>
        <w:rPr>
          <w:rStyle w:val="FootnoteReference"/>
          <w:rFonts w:ascii="Times New Roman" w:hAnsi="Times New Roman"/>
          <w:noProof/>
          <w:sz w:val="24"/>
        </w:rPr>
        <w:footnoteReference w:id="1"/>
      </w:r>
      <w:r>
        <w:rPr>
          <w:rFonts w:ascii="Times New Roman" w:hAnsi="Times New Roman"/>
          <w:noProof/>
          <w:sz w:val="24"/>
        </w:rPr>
        <w:t xml:space="preserve"> i wnioskach wynikających z komunikatu Komisji dotyczącego europejskiej inicjatywy obywatelskiej „Zakaz stosowania glifosatu i ochrona ludzi i środowiska przed toksycznymi pestycydami”</w:t>
      </w:r>
      <w:r>
        <w:rPr>
          <w:rFonts w:ascii="Times New Roman" w:hAnsi="Times New Roman"/>
          <w:noProof/>
          <w:sz w:val="20"/>
          <w:vertAlign w:val="superscript"/>
        </w:rPr>
        <w:footnoteReference w:id="2"/>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Między 20 grudnia 2017 r. a 17 stycznia 2018 r. obywatele i zainteresowane strony mieli możliwość przedstawienia uwag do </w:t>
      </w:r>
      <w:r>
        <w:rPr>
          <w:rFonts w:ascii="Times New Roman" w:hAnsi="Times New Roman"/>
          <w:b/>
          <w:noProof/>
          <w:sz w:val="24"/>
        </w:rPr>
        <w:t>planu działania Komisji</w:t>
      </w:r>
      <w:r>
        <w:rPr>
          <w:rStyle w:val="FootnoteReference"/>
          <w:rFonts w:ascii="Times New Roman" w:hAnsi="Times New Roman"/>
          <w:b/>
          <w:noProof/>
          <w:sz w:val="24"/>
        </w:rPr>
        <w:footnoteReference w:id="3"/>
      </w:r>
      <w:r>
        <w:rPr>
          <w:rFonts w:ascii="Times New Roman" w:hAnsi="Times New Roman"/>
          <w:noProof/>
          <w:sz w:val="24"/>
        </w:rPr>
        <w:t xml:space="preserve">. Uwagi otrzymano od 20 zainteresowanych stron (15 stowarzyszeń branżowych i stowarzyszeń przedsiębiorców, czterech organizacji pozarządowych i jednego organu państwa członkowskiego) oraz od jednego obywatela. </w:t>
      </w:r>
    </w:p>
    <w:p>
      <w:pPr>
        <w:jc w:val="both"/>
        <w:rPr>
          <w:rFonts w:ascii="Times New Roman" w:hAnsi="Times New Roman" w:cs="Times New Roman"/>
          <w:noProof/>
          <w:sz w:val="24"/>
          <w:szCs w:val="24"/>
        </w:rPr>
      </w:pPr>
      <w:r>
        <w:rPr>
          <w:rFonts w:ascii="Times New Roman" w:hAnsi="Times New Roman"/>
          <w:noProof/>
          <w:sz w:val="24"/>
        </w:rPr>
        <w:t xml:space="preserve">Następnie przeprowadzono </w:t>
      </w:r>
      <w:r>
        <w:rPr>
          <w:rFonts w:ascii="Times New Roman" w:hAnsi="Times New Roman"/>
          <w:b/>
          <w:noProof/>
          <w:sz w:val="24"/>
        </w:rPr>
        <w:t>otwarte konsultacje publiczne</w:t>
      </w:r>
      <w:r>
        <w:rPr>
          <w:rStyle w:val="FootnoteReference"/>
          <w:rFonts w:ascii="Times New Roman" w:hAnsi="Times New Roman"/>
          <w:noProof/>
          <w:sz w:val="24"/>
        </w:rPr>
        <w:footnoteReference w:id="4"/>
      </w:r>
      <w:r>
        <w:rPr>
          <w:rFonts w:ascii="Times New Roman" w:hAnsi="Times New Roman"/>
          <w:noProof/>
          <w:sz w:val="24"/>
        </w:rPr>
        <w:t xml:space="preserve"> skierowane do obywateli i zainteresowanych stron, które trwały od 23 stycznia 2018 r. do 20 marca 2018 r. W ramach tych konsultacji otrzymano odpowiedzi od 471 uczestników: 318 obywateli i 153 zainteresowanych stron. 18 zainteresowanych stron przedstawiło również uwagi dotyczące planu działania.</w:t>
      </w:r>
    </w:p>
    <w:p>
      <w:pPr>
        <w:jc w:val="both"/>
        <w:rPr>
          <w:rFonts w:ascii="Times New Roman" w:hAnsi="Times New Roman" w:cs="Times New Roman"/>
          <w:noProof/>
          <w:sz w:val="24"/>
          <w:szCs w:val="24"/>
        </w:rPr>
      </w:pPr>
      <w:r>
        <w:rPr>
          <w:rFonts w:ascii="Times New Roman" w:hAnsi="Times New Roman"/>
          <w:noProof/>
          <w:sz w:val="24"/>
        </w:rPr>
        <w:t xml:space="preserve">Zainteresowane strony, które wzięły udział w konsultacjach, reprezentowały różne sektory: stowarzyszenia branżowe i stowarzyszenia przedsiębiorców (39,22 %), przedsiębiorstwa i grupy (14,38 %), organizacje pozarządowe (13,07 %), stowarzyszenia zawodowe (8,5 %), władze krajowe/regionalne (8,5 %), agencje rządowe (5,23 %), instytuty badawcze (3,92 %), organy publiczne (1,96 %), firmy konsultingowe (1,96 %), ośrodki analityczne (1,31 %), kancelarie prawne (0,65 %), instytucje UE (0,65 %) i inne (0,65 %). Jeżeli chodzi o uczestniczących obywateli, otrzymano 318 odpowiedzi z 26 państw członkowskich, 10 z kraju należącego do Europejskiego Stowarzyszenia Wolnego Handlu i pięć z innych państw nienależących do UE. </w:t>
      </w:r>
    </w:p>
    <w:p>
      <w:pPr>
        <w:jc w:val="both"/>
        <w:rPr>
          <w:rFonts w:ascii="Times New Roman" w:hAnsi="Times New Roman" w:cs="Times New Roman"/>
          <w:noProof/>
          <w:sz w:val="24"/>
          <w:szCs w:val="24"/>
        </w:rPr>
      </w:pPr>
      <w:r>
        <w:rPr>
          <w:rFonts w:ascii="Times New Roman" w:hAnsi="Times New Roman"/>
          <w:noProof/>
          <w:sz w:val="24"/>
        </w:rPr>
        <w:lastRenderedPageBreak/>
        <w:t xml:space="preserve">Obywatele ocenili swój poziom wiedzy na temat unijnego systemu oceny bezpieczeństwa żywności i jego ram regulacyjnych jako bardzo dobry (22,64 %), dobry (33,65 %), dostateczny (26,42 %) i niski (14,78 %) lub uznali, że brak im tej wiedzy (2,52 %). Organizacje oceniły swój poziom wiedzy jako bardzo dobry (37,25 %), dobry (47,06 %), dostateczny (14,38 %) i niski (0,65 %) lub uznały, że brak im tej wiedzy (0,65 %). </w:t>
      </w:r>
    </w:p>
    <w:p>
      <w:pPr>
        <w:jc w:val="both"/>
        <w:rPr>
          <w:rFonts w:ascii="Times New Roman" w:hAnsi="Times New Roman" w:cs="Times New Roman"/>
          <w:noProof/>
          <w:sz w:val="24"/>
          <w:szCs w:val="24"/>
        </w:rPr>
      </w:pPr>
      <w:r>
        <w:rPr>
          <w:rFonts w:ascii="Times New Roman" w:hAnsi="Times New Roman"/>
          <w:noProof/>
          <w:sz w:val="24"/>
        </w:rPr>
        <w:t xml:space="preserve">Odbyły się również ukierunkowane konsultacje z określonymi grupami zainteresowanych stron. Podczas posiedzenia grupy roboczej funkcjonującej w ramach </w:t>
      </w:r>
      <w:r>
        <w:rPr>
          <w:rFonts w:ascii="Times New Roman" w:hAnsi="Times New Roman"/>
          <w:b/>
          <w:noProof/>
          <w:sz w:val="24"/>
        </w:rPr>
        <w:t>Grupy Doradczej ds. Łańcucha Pokarmowego i Zdrowia Zwierząt i Roślin</w:t>
      </w:r>
      <w:r>
        <w:rPr>
          <w:rStyle w:val="FootnoteReference"/>
          <w:rFonts w:ascii="Times New Roman" w:hAnsi="Times New Roman"/>
          <w:b/>
          <w:noProof/>
          <w:sz w:val="24"/>
        </w:rPr>
        <w:footnoteReference w:id="5"/>
      </w:r>
      <w:r>
        <w:rPr>
          <w:rFonts w:ascii="Times New Roman" w:hAnsi="Times New Roman"/>
          <w:noProof/>
          <w:sz w:val="24"/>
        </w:rPr>
        <w:t xml:space="preserve"> przeprowadzono konsultacje z działającymi na poziomie UE organizacjami zainteresowanych stron reprezentującymi rolników, spółdzielnie, przemysł spożywczy, sprzedawców detalicznych, konsumentów, specjalistów i społeczeństwo obywatelskie. Konsultacje odbyły się również na </w:t>
      </w:r>
      <w:r>
        <w:rPr>
          <w:rFonts w:ascii="Times New Roman" w:hAnsi="Times New Roman"/>
          <w:b/>
          <w:noProof/>
          <w:sz w:val="24"/>
        </w:rPr>
        <w:t>forum doradczym EFSA</w:t>
      </w:r>
      <w:r>
        <w:rPr>
          <w:rStyle w:val="FootnoteReference"/>
          <w:rFonts w:ascii="Times New Roman" w:hAnsi="Times New Roman"/>
          <w:b/>
          <w:noProof/>
          <w:sz w:val="24"/>
        </w:rPr>
        <w:footnoteReference w:id="6"/>
      </w:r>
      <w:r>
        <w:rPr>
          <w:rFonts w:ascii="Times New Roman" w:hAnsi="Times New Roman"/>
          <w:noProof/>
          <w:sz w:val="24"/>
        </w:rPr>
        <w:t xml:space="preserve"> (z krajowymi organami ds. bezpieczeństwa żywności) oraz w ramach </w:t>
      </w:r>
      <w:r>
        <w:rPr>
          <w:rFonts w:ascii="Times New Roman" w:hAnsi="Times New Roman"/>
          <w:b/>
          <w:noProof/>
          <w:sz w:val="24"/>
        </w:rPr>
        <w:t>grupy ekspertów Komisji ds. ogólnego prawa żywnościowego</w:t>
      </w:r>
      <w:r>
        <w:rPr>
          <w:rStyle w:val="FootnoteReference"/>
          <w:rFonts w:ascii="Times New Roman" w:hAnsi="Times New Roman"/>
          <w:b/>
          <w:noProof/>
          <w:sz w:val="24"/>
        </w:rPr>
        <w:footnoteReference w:id="7"/>
      </w:r>
      <w:r>
        <w:rPr>
          <w:rFonts w:ascii="Times New Roman" w:hAnsi="Times New Roman"/>
          <w:noProof/>
          <w:sz w:val="24"/>
        </w:rPr>
        <w:t>; skonsultowano się również z </w:t>
      </w:r>
      <w:r>
        <w:rPr>
          <w:rFonts w:ascii="Times New Roman" w:hAnsi="Times New Roman"/>
          <w:b/>
          <w:noProof/>
          <w:sz w:val="24"/>
        </w:rPr>
        <w:t>Komitetem Naukowym EFSA</w:t>
      </w:r>
      <w:r>
        <w:rPr>
          <w:rStyle w:val="FootnoteReference"/>
          <w:rFonts w:ascii="Times New Roman" w:hAnsi="Times New Roman"/>
          <w:b/>
          <w:noProof/>
          <w:sz w:val="24"/>
        </w:rPr>
        <w:footnoteReference w:id="8"/>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Wzięto także pod uwagę pismo od Europejskiego Rzecznika Praw Obywatelskich do przewodniczącego Komisji Europejskiej w sprawie zapewnienia, aby unijny model oceny ryzyka w łańcuchu żywnościowym był niezależny i przejrzysty oraz by umożliwiał istotne zaangażowanie zainteresowanych stron. </w:t>
      </w:r>
    </w:p>
    <w:p>
      <w:pPr>
        <w:jc w:val="both"/>
        <w:rPr>
          <w:rFonts w:ascii="Times New Roman" w:hAnsi="Times New Roman" w:cs="Times New Roman"/>
          <w:noProof/>
          <w:sz w:val="24"/>
          <w:szCs w:val="24"/>
        </w:rPr>
      </w:pPr>
      <w:r>
        <w:rPr>
          <w:rFonts w:ascii="Times New Roman" w:hAnsi="Times New Roman"/>
          <w:noProof/>
          <w:sz w:val="24"/>
        </w:rPr>
        <w:t>Nie uwzględniono tych informacji zwrotnych otrzymanych podczas konsultacji, które wykraczały poza zakres wniosku Komisji.</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Przejrzystość badań prowadzonych przez branżę</w:t>
      </w:r>
    </w:p>
    <w:p>
      <w:pPr>
        <w:jc w:val="both"/>
        <w:rPr>
          <w:rFonts w:ascii="Times New Roman" w:hAnsi="Times New Roman" w:cs="Times New Roman"/>
          <w:noProof/>
          <w:sz w:val="24"/>
          <w:szCs w:val="24"/>
        </w:rPr>
      </w:pPr>
      <w:r>
        <w:rPr>
          <w:rFonts w:ascii="Times New Roman" w:hAnsi="Times New Roman"/>
          <w:noProof/>
          <w:sz w:val="24"/>
        </w:rPr>
        <w:t xml:space="preserve">Obywatele i zainteresowane strony uznali znaczenie </w:t>
      </w:r>
      <w:r>
        <w:rPr>
          <w:rFonts w:ascii="Times New Roman" w:hAnsi="Times New Roman"/>
          <w:b/>
          <w:noProof/>
          <w:sz w:val="24"/>
        </w:rPr>
        <w:t>publicznego dostępu do prowadzonych przez branżę badań</w:t>
      </w:r>
      <w:r>
        <w:rPr>
          <w:rFonts w:ascii="Times New Roman" w:hAnsi="Times New Roman"/>
          <w:noProof/>
          <w:sz w:val="24"/>
        </w:rPr>
        <w:t xml:space="preserve"> wykorzystywanych przez EFSA do oceny ryzyka – dostępu nieobejmującego tajemnic handlowych i innych poufnych informacji, lecz stanowiącego istotny element budowania zaufania do unijnego systemu oceny ryzyka dla bezpieczeństwa żywności. Otwarte konsultacje publiczne wykazały, że taki dostęp jest ważny lub bardzo ważny dla obywateli (86,8 % odpowiedzi) i dla zainteresowanych stron (88,2 % odpowiedzi). Podawane przez EFSA do publicznej wiadomości informacje o własnych działaniach i pracach również oceniono jako bardzo ważne.</w:t>
      </w:r>
    </w:p>
    <w:p>
      <w:pPr>
        <w:jc w:val="both"/>
        <w:rPr>
          <w:rFonts w:ascii="Times New Roman" w:hAnsi="Times New Roman" w:cs="Times New Roman"/>
          <w:noProof/>
          <w:sz w:val="24"/>
          <w:szCs w:val="24"/>
        </w:rPr>
      </w:pPr>
      <w:r>
        <w:rPr>
          <w:rFonts w:ascii="Times New Roman" w:hAnsi="Times New Roman"/>
          <w:noProof/>
          <w:sz w:val="24"/>
        </w:rPr>
        <w:t xml:space="preserve">Obywatele i zainteresowane strony stwierdzili, że </w:t>
      </w:r>
      <w:r>
        <w:rPr>
          <w:rFonts w:ascii="Times New Roman" w:hAnsi="Times New Roman"/>
          <w:b/>
          <w:noProof/>
          <w:sz w:val="24"/>
        </w:rPr>
        <w:t>publikacja badań branżowych</w:t>
      </w:r>
      <w:r>
        <w:rPr>
          <w:rFonts w:ascii="Times New Roman" w:hAnsi="Times New Roman"/>
          <w:noProof/>
          <w:sz w:val="24"/>
        </w:rPr>
        <w:t xml:space="preserve"> – włącznie z surowymi/zagregowanymi danymi, lecz z pominięciem tajemnic handlowych lub innych poufnych informacji – ma pozytywny lub bardzo pozytywny wpływ na: </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zwiększenie przejrzystości unijnego systemu oceny ryzyka: 87,4 % odpowiedzi od obywateli, 91,5 % – od zainteresowanych stron,</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lastRenderedPageBreak/>
        <w:t>zwiększenie zaufania konsumentów do unijnego systemu oceny ryzyka: 84,9 % odpowiedzi od obywateli, 73,9 % – od zainteresowanych stron,</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 xml:space="preserve">dopuszczenie kontroli ze strony innych podmiotów naukowych i stron trzecich: 81,8 % odpowiedzi od obywateli, 80,4 % – od zainteresowanych stron, </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intensyfikację wymiany informacji na temat ryzyka pomiędzy zainteresowanymi stronami: 81,5 % odpowiedzi od obywateli, 76,5 % – od zainteresowanych stron.</w:t>
      </w:r>
    </w:p>
    <w:p>
      <w:pPr>
        <w:jc w:val="both"/>
        <w:rPr>
          <w:rFonts w:ascii="Times New Roman" w:hAnsi="Times New Roman" w:cs="Times New Roman"/>
          <w:noProof/>
          <w:sz w:val="24"/>
          <w:szCs w:val="24"/>
        </w:rPr>
      </w:pPr>
      <w:r>
        <w:rPr>
          <w:rFonts w:ascii="Times New Roman" w:hAnsi="Times New Roman"/>
          <w:noProof/>
          <w:sz w:val="24"/>
        </w:rPr>
        <w:t xml:space="preserve">Ponieważ konsumentom może generalnie brakować wiedzy naukowej, by móc wykorzystać wspomniane badania, organizacje konsumenckie zasugerowały, że zaufanie zależeć będzie od innych czynników, np. kontroli badań przez strony trzecie. </w:t>
      </w:r>
    </w:p>
    <w:p>
      <w:pPr>
        <w:jc w:val="both"/>
        <w:rPr>
          <w:rFonts w:ascii="Times New Roman" w:hAnsi="Times New Roman" w:cs="Times New Roman"/>
          <w:noProof/>
          <w:sz w:val="24"/>
          <w:szCs w:val="24"/>
        </w:rPr>
      </w:pPr>
      <w:r>
        <w:rPr>
          <w:rFonts w:ascii="Times New Roman" w:hAnsi="Times New Roman"/>
          <w:noProof/>
          <w:sz w:val="24"/>
        </w:rPr>
        <w:t>Jeżeli chodzi o </w:t>
      </w:r>
      <w:r>
        <w:rPr>
          <w:rFonts w:ascii="Times New Roman" w:hAnsi="Times New Roman"/>
          <w:b/>
          <w:noProof/>
          <w:sz w:val="24"/>
        </w:rPr>
        <w:t>wpływ publikacji badań branżowych</w:t>
      </w:r>
      <w:r>
        <w:rPr>
          <w:rFonts w:ascii="Times New Roman" w:hAnsi="Times New Roman"/>
          <w:noProof/>
          <w:sz w:val="24"/>
        </w:rPr>
        <w:t xml:space="preserve">, 42,1 % odpowiedzi od obywateli i 21,6 % odpowiedzi od zainteresowanych stron zawiera pogląd, że wpływ ten jest ważny lub bardzo ważny </w:t>
      </w:r>
      <w:r>
        <w:rPr>
          <w:rFonts w:ascii="Times New Roman" w:hAnsi="Times New Roman"/>
          <w:b/>
          <w:noProof/>
          <w:sz w:val="24"/>
        </w:rPr>
        <w:t>dla konkurencyjności</w:t>
      </w:r>
      <w:r>
        <w:rPr>
          <w:rFonts w:ascii="Times New Roman" w:hAnsi="Times New Roman"/>
          <w:noProof/>
          <w:sz w:val="24"/>
        </w:rPr>
        <w:t xml:space="preserve">, zaś w 56,3 % odpowiedzi od obywateli i w 31,4 % odpowiedzi od zainteresowanych stron stwierdzono, że publikacja ta wpływa pozytywnie lub bardzo pozytywnie </w:t>
      </w:r>
      <w:r>
        <w:rPr>
          <w:rFonts w:ascii="Times New Roman" w:hAnsi="Times New Roman"/>
          <w:b/>
          <w:noProof/>
          <w:sz w:val="24"/>
        </w:rPr>
        <w:t>na innowacyjność</w:t>
      </w:r>
      <w:r>
        <w:rPr>
          <w:rFonts w:ascii="Times New Roman" w:hAnsi="Times New Roman"/>
          <w:noProof/>
          <w:sz w:val="24"/>
        </w:rPr>
        <w:t xml:space="preserve">. Ponadto około 35 % odpowiedzi od zainteresowanych stron, w tym przypadku głównie organizacji branżowych, zawiera opinię, że publikacja badań branżowych będzie niekorzystna lub bardzo niekorzystna zarówno dla konkurencyjności, jak i dla wspierania innowacji. Organizacje branżowe stwierdziły, że istnieje ryzyko niewłaściwego wykorzystania opublikowanych danych. </w:t>
      </w:r>
    </w:p>
    <w:p>
      <w:pPr>
        <w:jc w:val="both"/>
        <w:rPr>
          <w:rFonts w:ascii="Times New Roman" w:hAnsi="Times New Roman" w:cs="Times New Roman"/>
          <w:noProof/>
          <w:sz w:val="24"/>
          <w:szCs w:val="24"/>
        </w:rPr>
      </w:pPr>
      <w:r>
        <w:rPr>
          <w:rFonts w:ascii="Times New Roman" w:hAnsi="Times New Roman"/>
          <w:noProof/>
          <w:sz w:val="24"/>
        </w:rPr>
        <w:t xml:space="preserve">Wyrażono różne opinie na temat </w:t>
      </w:r>
      <w:r>
        <w:rPr>
          <w:rFonts w:ascii="Times New Roman" w:hAnsi="Times New Roman"/>
          <w:b/>
          <w:noProof/>
          <w:sz w:val="24"/>
        </w:rPr>
        <w:t>wyboru terminu publikacji niepoufnych części</w:t>
      </w:r>
      <w:r>
        <w:rPr>
          <w:rFonts w:ascii="Times New Roman" w:hAnsi="Times New Roman"/>
          <w:noProof/>
          <w:sz w:val="24"/>
        </w:rPr>
        <w:t xml:space="preserve"> badań branżowych w trakcie procesu oceny ryzyka oraz jego </w:t>
      </w:r>
      <w:r>
        <w:rPr>
          <w:rFonts w:ascii="Times New Roman" w:hAnsi="Times New Roman"/>
          <w:b/>
          <w:noProof/>
          <w:sz w:val="24"/>
        </w:rPr>
        <w:t>wpływu na przejrzystość</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Wśród obywateli 58,8 % uważa, że natychmiastowa publikacja bez kontroli pod kątem poufności miałaby pozytywny lub bardzo pozytywny wpływ, 6,9 % – że nie miałaby żadnego wpływu, a 28,9 % – że wpływ ten byłby negatywny lub bardzo negatywny. Odpowiedzi dotyczące innych scenariuszy związanych z wyborem terminu publikacji nie wykazały dużego zróżnicowania opinii, z wyjątkiem propozycji, by w ogóle nie publikować badań branżowych – 77,1 % obywateli jest zdania, że takie rozwiązanie miałoby negatywne lub bardzo negatywne skutki, a tylko 4,1 % uważa, że miałoby to pozytywne lub bardzo pozytywne skutki. W przypadku zainteresowanych stron 71,9 % sądzi, że niepublikowanie badań branżowych miałoby negatywne lub bardzo negatywne skutki, a jedynie 1,3 % uważa, że miałoby to pozytywne skutki. </w:t>
      </w:r>
    </w:p>
    <w:p>
      <w:pPr>
        <w:jc w:val="both"/>
        <w:rPr>
          <w:rFonts w:ascii="Times New Roman" w:hAnsi="Times New Roman" w:cs="Times New Roman"/>
          <w:noProof/>
          <w:sz w:val="24"/>
          <w:szCs w:val="24"/>
        </w:rPr>
      </w:pPr>
      <w:r>
        <w:rPr>
          <w:rFonts w:ascii="Times New Roman" w:hAnsi="Times New Roman"/>
          <w:noProof/>
          <w:sz w:val="24"/>
        </w:rPr>
        <w:t xml:space="preserve">Ogólnie rzecz biorąc, zainteresowane strony z branży stwierdzają, że wybór terminu publikacji może mieć negatywny lub bardzo negatywny </w:t>
      </w:r>
      <w:r>
        <w:rPr>
          <w:rFonts w:ascii="Times New Roman" w:hAnsi="Times New Roman"/>
          <w:b/>
          <w:noProof/>
          <w:sz w:val="24"/>
        </w:rPr>
        <w:t>wpływ na konkurencyjność</w:t>
      </w:r>
      <w:r>
        <w:rPr>
          <w:rFonts w:ascii="Times New Roman" w:hAnsi="Times New Roman"/>
          <w:noProof/>
          <w:sz w:val="24"/>
        </w:rPr>
        <w:t>, zwłaszcza gdyby publikacja przypadała we wczesnej fazie procesu oceny. Zainteresowane strony z branży podkreśliły również konieczność zapobieżenia nieuczciwemu wykorzystaniu danych handlowych. Niektóre uwagi od władz państw członkowskich zawierają rozważania nad potrzebą określenia w przepisach, co należy traktować jako poufne. Organizacje pozarządowe sygnalizowały potrzebę kontroli zasadności wniosków o zachowanie poufności składanych w związku z badaniami branżowymi.</w:t>
      </w:r>
    </w:p>
    <w:p>
      <w:pPr>
        <w:jc w:val="both"/>
        <w:rPr>
          <w:rFonts w:ascii="Times New Roman" w:hAnsi="Times New Roman" w:cs="Times New Roman"/>
          <w:noProof/>
          <w:sz w:val="24"/>
          <w:szCs w:val="24"/>
        </w:rPr>
      </w:pPr>
      <w:r>
        <w:rPr>
          <w:rFonts w:ascii="Times New Roman" w:hAnsi="Times New Roman"/>
          <w:noProof/>
          <w:sz w:val="24"/>
        </w:rPr>
        <w:t>Odpowiedzi udzielone podczas otwartych konsultacji publicznych zarówno przez obywateli, jak i przez zainteresowane strony wskazują, że otwarty rejestr badań, stosowanie formatów nadających się do przetwarzania automatycznego i wprowadzenie różnych poziomów dostępu do badań stanowiłyby użyteczne lub bardzo użyteczne narzędzia. Jeżeli chodzi o utworzenie rejestru badań branżowych, głównie władze państw członkowskich podkreślały trudności, z jakimi wprowadzenie takiego rozwiązania mogłoby się spotkać poza UE. Władze niektórych państw członkowskich oraz niektóre zainteresowane strony z branży uznały, że mogłoby to mieć szkodliwy wpływ na innowacyjność UE.</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Dowody pochodzące z badań prowadzonych przez branżę</w:t>
      </w:r>
    </w:p>
    <w:p>
      <w:pPr>
        <w:jc w:val="both"/>
        <w:rPr>
          <w:rFonts w:ascii="Times New Roman" w:hAnsi="Times New Roman" w:cs="Times New Roman"/>
          <w:noProof/>
          <w:sz w:val="24"/>
          <w:szCs w:val="24"/>
        </w:rPr>
      </w:pPr>
      <w:r>
        <w:rPr>
          <w:rFonts w:ascii="Times New Roman" w:hAnsi="Times New Roman"/>
          <w:noProof/>
          <w:sz w:val="24"/>
        </w:rPr>
        <w:t xml:space="preserve">Większość obywateli i zainteresowanych stron uznała, że </w:t>
      </w:r>
      <w:r>
        <w:rPr>
          <w:rFonts w:ascii="Times New Roman" w:hAnsi="Times New Roman"/>
          <w:b/>
          <w:noProof/>
          <w:sz w:val="24"/>
        </w:rPr>
        <w:t>aktualnie funkcjonujące elementy</w:t>
      </w:r>
      <w:r>
        <w:rPr>
          <w:rFonts w:ascii="Times New Roman" w:hAnsi="Times New Roman"/>
          <w:noProof/>
          <w:sz w:val="24"/>
        </w:rPr>
        <w:t xml:space="preserve"> są ważne lub bardzo ważne dla zapewnienia, aby badania przedstawiane przez branżę były na tyle miarodajne, aby nadawały się na potrzeby ocen ryzyka przeprowadzanych przez EFSA. </w:t>
      </w:r>
    </w:p>
    <w:p>
      <w:pPr>
        <w:jc w:val="both"/>
        <w:rPr>
          <w:rFonts w:ascii="Times New Roman" w:hAnsi="Times New Roman" w:cs="Times New Roman"/>
          <w:noProof/>
          <w:sz w:val="24"/>
          <w:szCs w:val="24"/>
        </w:rPr>
      </w:pPr>
      <w:r>
        <w:rPr>
          <w:rFonts w:ascii="Times New Roman" w:hAnsi="Times New Roman"/>
          <w:noProof/>
          <w:sz w:val="24"/>
        </w:rPr>
        <w:t xml:space="preserve">Obywatele ogólnie uznali, że wszystkie </w:t>
      </w:r>
      <w:r>
        <w:rPr>
          <w:rFonts w:ascii="Times New Roman" w:hAnsi="Times New Roman"/>
          <w:b/>
          <w:noProof/>
          <w:sz w:val="24"/>
        </w:rPr>
        <w:t>dodatkowe środki odnoszące się do badań branżowych</w:t>
      </w:r>
      <w:r>
        <w:rPr>
          <w:rFonts w:ascii="Times New Roman" w:hAnsi="Times New Roman"/>
          <w:noProof/>
          <w:sz w:val="24"/>
        </w:rPr>
        <w:t xml:space="preserve"> zaproponowane w ramach otwartych konsultacji publicznych przyczyniają się w pewnym lub dużym stopniu do udoskonalenia ocen ryzyka przeprowadzanych przez EFSA; potwierdza to ponad 75 % odpowiedzi dotyczących poszczególnych środków. Pomimo że zainteresowane strony generalnie wyrażały podobne opinie, niektóre z nich były zdania, że pewne środki mają różną wagę. W szczególności zainteresowane strony z branży uznały, że możliwość uzyskania doradztwa przez indywidualnych wnioskodawców przed złożeniem wniosku jest w pewnym lub w dużym stopniu cenna, natomiast organizacje konsumenckie i niektóre inne organizacje pozarządowe były zdania, że nie ma to wielkiego znaczenia. Organizacje te podkreślały również konieczność zapewnienia niezależności procedur naukowych EFSA. Niektóre państwa członkowskie zwróciły uwagę na potencjalnie niewielką wartość doradztwa świadczonego przed złożeniem wniosku w świetle oceny związanych z nim kosztów i korzyści. </w:t>
      </w:r>
    </w:p>
    <w:p>
      <w:pPr>
        <w:jc w:val="both"/>
        <w:rPr>
          <w:rFonts w:ascii="Times New Roman" w:hAnsi="Times New Roman" w:cs="Times New Roman"/>
          <w:noProof/>
          <w:sz w:val="24"/>
          <w:szCs w:val="24"/>
        </w:rPr>
      </w:pPr>
      <w:r>
        <w:rPr>
          <w:rFonts w:ascii="Times New Roman" w:hAnsi="Times New Roman"/>
          <w:noProof/>
          <w:sz w:val="24"/>
        </w:rPr>
        <w:t xml:space="preserve">83,7 % odpowiedzi od obywateli i 63,4 % odpowiedzi od zainteresowanych stron zawierało opinię, że </w:t>
      </w:r>
      <w:r>
        <w:rPr>
          <w:rFonts w:ascii="Times New Roman" w:hAnsi="Times New Roman"/>
          <w:b/>
          <w:noProof/>
          <w:sz w:val="24"/>
        </w:rPr>
        <w:t>uzupełnianie badań branżowych badaniami weryfikacyjnymi</w:t>
      </w:r>
      <w:r>
        <w:rPr>
          <w:rFonts w:ascii="Times New Roman" w:hAnsi="Times New Roman"/>
          <w:noProof/>
          <w:sz w:val="24"/>
        </w:rPr>
        <w:t xml:space="preserve"> przyczyniłoby się w pewnym lub w dużym stopniu do udoskonalenia ocen ryzyka przeprowadzanych przez EFSA. Jeżeli chodzi o finansowanie tych badań weryfikacyjnych, niewielki odsetek zarówno obywateli, jak i zainteresowanych stron był zdania, że koszty te powinien pokrywać indywidualny wnioskodawca, którego to dotyczy. Inne zaproponowane warianty finansowania, tj. budżet UE, wspólny fundusz zasilany przez wszystkich wnioskodawców z branży lub połączenie finansowania publicznego i finansowania przez branżę, uzyskały poparcie, odpowiednio, 32,1 %, 27 % i 25,2 % obywateli. W przypadku respondentów reprezentujących grupę zainteresowanych stron odsetki te wynosiły, odpowiednio, 47,7 %, 21,6 % i 9,2 %. </w:t>
      </w:r>
    </w:p>
    <w:p>
      <w:pPr>
        <w:jc w:val="both"/>
        <w:rPr>
          <w:rFonts w:ascii="Times New Roman" w:hAnsi="Times New Roman" w:cs="Times New Roman"/>
          <w:noProof/>
          <w:sz w:val="24"/>
          <w:szCs w:val="24"/>
        </w:rPr>
      </w:pPr>
      <w:r>
        <w:rPr>
          <w:rFonts w:ascii="Times New Roman" w:hAnsi="Times New Roman"/>
          <w:noProof/>
          <w:sz w:val="24"/>
        </w:rPr>
        <w:t xml:space="preserve">Jeżeli chodzi o możliwość </w:t>
      </w:r>
      <w:r>
        <w:rPr>
          <w:rFonts w:ascii="Times New Roman" w:hAnsi="Times New Roman"/>
          <w:b/>
          <w:noProof/>
          <w:sz w:val="24"/>
        </w:rPr>
        <w:t>wzmocnienia systemu audytu obejmującego laboratoria</w:t>
      </w:r>
      <w:r>
        <w:rPr>
          <w:rFonts w:ascii="Times New Roman" w:hAnsi="Times New Roman"/>
          <w:noProof/>
          <w:sz w:val="24"/>
        </w:rPr>
        <w:t xml:space="preserve"> przeprowadzające badania branżowe, zarówno większość obywateli (78,3 % respondentów), jak i zainteresowanych stron (72,6 % respondentów) uznała, że przyczyniłoby się w pewnym lub w dużym stopniu do udoskonalenia ocen ryzyka przeprowadzanych przez EFSA. Niektóre państwa członkowskie wyraziły zastrzeżenia co do potencjalnej wartości dodanej tego środka.</w:t>
      </w:r>
    </w:p>
    <w:p>
      <w:pPr>
        <w:jc w:val="both"/>
        <w:rPr>
          <w:rFonts w:ascii="Times New Roman" w:hAnsi="Times New Roman" w:cs="Times New Roman"/>
          <w:noProof/>
          <w:sz w:val="24"/>
          <w:szCs w:val="24"/>
        </w:rPr>
      </w:pPr>
      <w:r>
        <w:rPr>
          <w:rFonts w:ascii="Times New Roman" w:hAnsi="Times New Roman"/>
          <w:noProof/>
          <w:sz w:val="24"/>
        </w:rPr>
        <w:t xml:space="preserve">Zarówno obywatele, jak i zainteresowane strony uważają, że </w:t>
      </w:r>
      <w:r>
        <w:rPr>
          <w:rFonts w:ascii="Times New Roman" w:hAnsi="Times New Roman"/>
          <w:b/>
          <w:noProof/>
          <w:sz w:val="24"/>
        </w:rPr>
        <w:t>przyznanie większych środków publicznych na finansowanie badań nad bezpieczeństwem żywności</w:t>
      </w:r>
      <w:r>
        <w:rPr>
          <w:rFonts w:ascii="Times New Roman" w:hAnsi="Times New Roman"/>
          <w:noProof/>
          <w:sz w:val="24"/>
        </w:rPr>
        <w:t xml:space="preserve"> ma znaczenie dla udoskonalenia ocen ryzyka przeprowadzanych przez EFSA – około 80 % odpowiedzi otrzymanych od obywateli zawiera opinię, że finansowanie unijne lub krajowe mogłoby się do tego przyczynić w pewnym lub w dużym stopniu. Odsetek ten jest nieco niższy w przypadku zainteresowanych stron. Niektóre organizacje pozarządowe wraz z Komitetem Naukowym EFSA wyrażały pogląd, że przeznaczenie większych środków publicznych na badania nad bezpieczeństwem żywności spowoduje powstanie wartości dodanej.</w:t>
      </w:r>
    </w:p>
    <w:p>
      <w:pPr>
        <w:jc w:val="both"/>
        <w:rPr>
          <w:rFonts w:ascii="Times New Roman" w:hAnsi="Times New Roman" w:cs="Times New Roman"/>
          <w:noProof/>
          <w:sz w:val="24"/>
          <w:szCs w:val="24"/>
        </w:rPr>
      </w:pPr>
      <w:r>
        <w:rPr>
          <w:rFonts w:ascii="Times New Roman" w:hAnsi="Times New Roman"/>
          <w:noProof/>
          <w:sz w:val="24"/>
        </w:rPr>
        <w:t xml:space="preserve">W dyskusjach prowadzonych z zainteresowanymi stronami podkreślono możliwość ustanowienia procedur otwartych konsultacji dotyczących danych związanych z badaniami przedkładanymi przez branżę i stanowiącymi część dokumentacji dołączanej do wniosku o pozwolenie na dopuszczenie do obrotu. Mimo że ogólnie ustosunkowano się do tego przychylnie, władze niektórych państw członkowskich i niektóre zainteresowane strony z branży zwróciły uwagę na ewentualny niekorzystny wpływ na długość procedur oceny ryzyka przeprowadzanej przez EFSA. Wspomniane zainteresowane strony podkreśliły również możliwy niekorzystny wpływ na konkurencyjność i innowacyjność, w szczególności w odniesieniu do nowych substancji, ze względu na ryzyko związane z ewentualnym nieuczciwym wykorzystaniem ujawnionych danych i obawy dotyczące praw własności intelektualnej. </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 xml:space="preserve">Informowanie o ryzyku </w:t>
      </w:r>
    </w:p>
    <w:p>
      <w:pPr>
        <w:jc w:val="both"/>
        <w:rPr>
          <w:rFonts w:ascii="Times New Roman" w:hAnsi="Times New Roman" w:cs="Times New Roman"/>
          <w:noProof/>
          <w:sz w:val="24"/>
          <w:szCs w:val="24"/>
        </w:rPr>
      </w:pPr>
      <w:r>
        <w:rPr>
          <w:rFonts w:ascii="Times New Roman" w:hAnsi="Times New Roman"/>
          <w:noProof/>
          <w:sz w:val="24"/>
        </w:rPr>
        <w:t xml:space="preserve">Ogólnie rzecz biorąc, wszystkie strony uczestniczące w konsultacjach uznały wartość działań zmierzających do poprawy informowania o ryzyku. </w:t>
      </w:r>
    </w:p>
    <w:p>
      <w:pPr>
        <w:jc w:val="both"/>
        <w:rPr>
          <w:rFonts w:ascii="Times New Roman" w:hAnsi="Times New Roman" w:cs="Times New Roman"/>
          <w:noProof/>
          <w:sz w:val="24"/>
          <w:szCs w:val="24"/>
        </w:rPr>
      </w:pPr>
      <w:r>
        <w:rPr>
          <w:rFonts w:ascii="Times New Roman" w:hAnsi="Times New Roman"/>
          <w:noProof/>
          <w:sz w:val="24"/>
        </w:rPr>
        <w:t xml:space="preserve">Ponad jedna trzecia obywateli biorących udział w otwartych konsultacjach publicznych była zdania, że </w:t>
      </w:r>
      <w:r>
        <w:rPr>
          <w:rFonts w:ascii="Times New Roman" w:hAnsi="Times New Roman"/>
          <w:b/>
          <w:noProof/>
          <w:sz w:val="24"/>
        </w:rPr>
        <w:t>istniejące informowanie o ryzyku</w:t>
      </w:r>
      <w:r>
        <w:rPr>
          <w:rFonts w:ascii="Times New Roman" w:hAnsi="Times New Roman"/>
          <w:noProof/>
          <w:sz w:val="24"/>
        </w:rPr>
        <w:t xml:space="preserve"> nie przyczynia się w dużym stopniu albo wcale się nie przyczynia do budowania zaufania do unijnego procesu decyzyjnego w łańcuchu żywnościowym. Większość respondentów z obu grup uznała, że wszystkie </w:t>
      </w:r>
      <w:r>
        <w:rPr>
          <w:rFonts w:ascii="Times New Roman" w:hAnsi="Times New Roman"/>
          <w:b/>
          <w:noProof/>
          <w:sz w:val="24"/>
        </w:rPr>
        <w:t>nowe proponowane środki</w:t>
      </w:r>
      <w:r>
        <w:rPr>
          <w:rFonts w:ascii="Times New Roman" w:hAnsi="Times New Roman"/>
          <w:noProof/>
          <w:sz w:val="24"/>
        </w:rPr>
        <w:t>, z uwagi na to, że potencjalnie wzmacniałyby spójność informowania o ryzyku, byłyby skuteczne lub bardzo skuteczne (od 61,4 % do 92,2 % odpowiedzi). Jest jeden wyjątek w tym zakresie w grupie respondentów obejmującej zainteresowane strony – niektóre organizacje pozarządowe (23,5 % odpowiedzi od zainteresowanych stron) nie uważają, by zawarcie w przepisach ogólnych zasad informowania o ryzyku było bardzo skuteczne.</w:t>
      </w:r>
    </w:p>
    <w:p>
      <w:pPr>
        <w:jc w:val="both"/>
        <w:rPr>
          <w:rFonts w:ascii="Times New Roman" w:hAnsi="Times New Roman" w:cs="Times New Roman"/>
          <w:noProof/>
          <w:sz w:val="24"/>
          <w:szCs w:val="24"/>
        </w:rPr>
      </w:pPr>
      <w:r>
        <w:rPr>
          <w:rFonts w:ascii="Times New Roman" w:hAnsi="Times New Roman"/>
          <w:noProof/>
          <w:sz w:val="24"/>
        </w:rPr>
        <w:t xml:space="preserve">Niektórzy obywatele podkreślali, że trzeba unikać zawiłego lub mylącego informowania o ryzyku, i zalecali większą jasność i prostotę informowania. Organizacje konsumenckie zwracały uwagę na konieczność jasnego tłumaczenia dokonanych wyborów politycznych i większego zaangażowania państw członkowskich w informowanie o ryzyku. Państwa członkowskie przyznały, że potrzebne jest lepsze współdziałanie wszystkich zaangażowanych podmiotów. </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 xml:space="preserve">Zrównoważony charakter systemu oceny ryzyka i udział państw członkowskich </w:t>
      </w:r>
    </w:p>
    <w:p>
      <w:pPr>
        <w:jc w:val="both"/>
        <w:rPr>
          <w:rFonts w:ascii="Times New Roman" w:hAnsi="Times New Roman" w:cs="Times New Roman"/>
          <w:noProof/>
          <w:sz w:val="24"/>
          <w:szCs w:val="24"/>
        </w:rPr>
      </w:pPr>
      <w:r>
        <w:rPr>
          <w:rFonts w:ascii="Times New Roman" w:hAnsi="Times New Roman"/>
          <w:noProof/>
          <w:sz w:val="24"/>
        </w:rPr>
        <w:t xml:space="preserve">Stwierdzono, że </w:t>
      </w:r>
      <w:r>
        <w:rPr>
          <w:rFonts w:ascii="Times New Roman" w:hAnsi="Times New Roman"/>
          <w:b/>
          <w:noProof/>
          <w:sz w:val="24"/>
        </w:rPr>
        <w:t>dostępne obecnie narzędzia</w:t>
      </w:r>
      <w:r>
        <w:rPr>
          <w:rFonts w:ascii="Times New Roman" w:hAnsi="Times New Roman"/>
          <w:noProof/>
          <w:sz w:val="24"/>
        </w:rPr>
        <w:t xml:space="preserve"> wspierające współpracę naukową między EFSA a państwami członkowskimi w znacznym stopniu sprawiają, że państwa członkowskie są już zaangażowane w unijny system oceny ryzyka – ponad 70 % respondentów (zarówno z grupy obywateli, jak i z grupy zainteresowanych stron) uznało, że wszystkie opisane narzędzia przyczyniają się do tego w pewnym lub w dużym stopniu. </w:t>
      </w:r>
    </w:p>
    <w:p>
      <w:pPr>
        <w:jc w:val="both"/>
        <w:rPr>
          <w:rFonts w:ascii="Times New Roman" w:hAnsi="Times New Roman" w:cs="Times New Roman"/>
          <w:noProof/>
          <w:sz w:val="24"/>
          <w:szCs w:val="24"/>
        </w:rPr>
      </w:pPr>
      <w:r>
        <w:rPr>
          <w:rFonts w:ascii="Times New Roman" w:hAnsi="Times New Roman"/>
          <w:noProof/>
          <w:sz w:val="24"/>
        </w:rPr>
        <w:t xml:space="preserve">W swoich odpowiedziach ponad 40 % obywateli nie zgadzało się lub zdecydowanie się nie zgadzało ze stwierdzeniem sugerującym, że </w:t>
      </w:r>
      <w:r>
        <w:rPr>
          <w:rFonts w:ascii="Times New Roman" w:hAnsi="Times New Roman"/>
          <w:b/>
          <w:noProof/>
          <w:sz w:val="24"/>
        </w:rPr>
        <w:t>państwa członkowskie uczestniczą w wystarczającym zakresie w pracach EFSA</w:t>
      </w:r>
      <w:r>
        <w:rPr>
          <w:rFonts w:ascii="Times New Roman" w:hAnsi="Times New Roman"/>
          <w:noProof/>
          <w:sz w:val="24"/>
        </w:rPr>
        <w:t xml:space="preserve">. Podobną reakcję uzyskano w grupie zainteresowanych stron. Ponadto zarówno obywatele (75,2 %), jak i zainteresowane strony (79,7 %) zgadzają się lub zdecydowanie się zgadzają, że koszty ponoszone przez organy krajowe w związku z ich wkładem naukowym w zadania EFSA powinny być odpowiednio refundowane. Większość respondentów (ponad 75 % w obu grupach – obywateli i zainteresowanych stron) zgodziła się lub zdecydowanie się zgodziła, że większy udział państw członkowskich jest ważny dla zapewnienia, aby EFSA dysponowała dużą pulą ekspertów z państw członkowskich. Władze państw członkowskich podkreśliły znaczenie zachęt przy propagowaniu współpracy. Niektóre państwa członkowskie, zainteresowane strony z branży i organizacje pozarządowe, w tym stowarzyszenia konsumentów, wraz z Komitetem Naukowym EFSA podkreśliły, że współpraca z państwami członkowskimi wymaga poszanowania niezależności ekspertów uczestniczących w pracach EFSA oraz rozdziału oceny ryzyka od zarządzania ryzykiem. </w:t>
      </w:r>
    </w:p>
    <w:p>
      <w:pPr>
        <w:jc w:val="both"/>
        <w:rPr>
          <w:rFonts w:ascii="Times New Roman" w:hAnsi="Times New Roman" w:cs="Times New Roman"/>
          <w:noProof/>
          <w:sz w:val="24"/>
          <w:szCs w:val="24"/>
        </w:rPr>
      </w:pPr>
      <w:r>
        <w:rPr>
          <w:rFonts w:ascii="Times New Roman" w:hAnsi="Times New Roman"/>
          <w:noProof/>
          <w:sz w:val="24"/>
        </w:rPr>
        <w:t>Jeżeli chodzi o </w:t>
      </w:r>
      <w:r>
        <w:rPr>
          <w:rFonts w:ascii="Times New Roman" w:hAnsi="Times New Roman"/>
          <w:b/>
          <w:noProof/>
          <w:sz w:val="24"/>
        </w:rPr>
        <w:t>reprezentację państw członkowskich w zarządzie EFSA</w:t>
      </w:r>
      <w:r>
        <w:rPr>
          <w:rFonts w:ascii="Times New Roman" w:hAnsi="Times New Roman"/>
          <w:noProof/>
          <w:sz w:val="24"/>
        </w:rPr>
        <w:t xml:space="preserve">, 57,5 % obywateli i 53,6 % zainteresowanych stron zgadza się lub zdecydowanie się zgadza, że państwa te powinny być w nim reprezentowane. Jednakże część obywateli (27,7 % odpowiedzi) i zainteresowanych stron (26,1 % odpowiedzi) nie zgadza się lub zdecydowanie się nie zgadza z takim stwierdzeniem. Niektóre zainteresowane strony (w tym władze państw członkowskich) i niektórzy obywatele podkreślili konieczność jasnego rozdziału oceny ryzyka od zarządzania ryzykiem i zasugerowali, aby również inne grupy zainteresowanych stron były reprezentowane w zarządzie. Władze państw członkowskich zwróciły także uwagę na znaczenie określenia jasnych zadań zarządu, aby uniknąć powielania działań forum doradczego EFSA. </w:t>
      </w:r>
    </w:p>
    <w:p>
      <w:pPr>
        <w:jc w:val="both"/>
        <w:rPr>
          <w:rFonts w:ascii="Times New Roman" w:hAnsi="Times New Roman" w:cs="Times New Roman"/>
          <w:noProof/>
          <w:sz w:val="24"/>
          <w:szCs w:val="24"/>
        </w:rPr>
      </w:pPr>
      <w:r>
        <w:rPr>
          <w:rFonts w:ascii="Times New Roman" w:hAnsi="Times New Roman"/>
          <w:noProof/>
          <w:sz w:val="24"/>
        </w:rPr>
        <w:t xml:space="preserve">Ponad 80 % respondentów w obu grupach – obywateli i zainteresowanych stron – uznało za przydatne lub bardzo przydatne takie elementy, jak możliwość wyboru przez EFSA wybitnych i niezależnych ekspertów z dużej puli kandydatów oraz niezależność EFSA od podmiotów zarządzających ryzykiem (Komisji i państw członkowskich) i od branży. Możliwość wyboru wybitnych i niezależnych ekspertów z dużej puli kandydatów uzyskała wyższe poparcie – 96,2 % obywateli i 98,7 % zainteresowanych stron w swoich odpowiedziach uznało ją za przydatną lub bardzo przydatną. 72,3 % respondentów w grupie obywateli uznało za przydatne lub bardzo przydatne unikanie rozbieżności naukowych na poziomie unijnym i krajowym; analogiczny wynik w grupie zainteresowanych stron wyniósł 79,1 %. Ponad 75 % respondentów w obu grupach uznało za przydatne lub bardzo przydatne unikanie powielania oceny ryzyka na poziomie unijnym i krajowym oraz zapewnienie odpowiedniego poziomu zasobów EFSA. </w:t>
      </w:r>
    </w:p>
    <w:p>
      <w:pPr>
        <w:jc w:val="both"/>
        <w:rPr>
          <w:rFonts w:ascii="Times New Roman" w:hAnsi="Times New Roman" w:cs="Times New Roman"/>
          <w:noProof/>
          <w:sz w:val="24"/>
          <w:szCs w:val="24"/>
        </w:rPr>
      </w:pPr>
      <w:r>
        <w:rPr>
          <w:rFonts w:ascii="Times New Roman" w:hAnsi="Times New Roman"/>
          <w:noProof/>
          <w:sz w:val="24"/>
        </w:rPr>
        <w:t xml:space="preserve">Władze niektórych państw członkowskich podkreśliły konieczność zapewnienia właściwej równowagi między polityką niezależności EFSA a jej powiązaniami z doskonałością naukową oraz potrzebę uwzględnienia zachęt skłaniających ekspertów z państw członkowskich do wkładu w prace EFSA, w tym elementów finansowych i niefinansowych. </w:t>
      </w:r>
    </w:p>
    <w:p>
      <w:pPr>
        <w:pStyle w:val="ListParagraph"/>
        <w:numPr>
          <w:ilvl w:val="0"/>
          <w:numId w:val="9"/>
        </w:numPr>
        <w:jc w:val="both"/>
        <w:rPr>
          <w:rFonts w:ascii="Times New Roman" w:eastAsiaTheme="majorEastAsia" w:hAnsi="Times New Roman" w:cs="Times New Roman"/>
          <w:b/>
          <w:bCs/>
          <w:smallCaps/>
          <w:noProof/>
          <w:sz w:val="24"/>
          <w:szCs w:val="24"/>
        </w:rPr>
      </w:pPr>
      <w:r>
        <w:rPr>
          <w:rFonts w:ascii="Times New Roman" w:eastAsiaTheme="majorEastAsia" w:hAnsi="Times New Roman"/>
          <w:b/>
          <w:smallCaps/>
          <w:noProof/>
          <w:sz w:val="24"/>
        </w:rPr>
        <w:t>Wnioski</w:t>
      </w:r>
    </w:p>
    <w:p>
      <w:pPr>
        <w:jc w:val="both"/>
        <w:rPr>
          <w:rFonts w:ascii="Times New Roman" w:hAnsi="Times New Roman" w:cs="Times New Roman"/>
          <w:noProof/>
          <w:sz w:val="24"/>
          <w:szCs w:val="24"/>
        </w:rPr>
      </w:pPr>
      <w:r>
        <w:rPr>
          <w:rFonts w:ascii="Times New Roman" w:hAnsi="Times New Roman"/>
          <w:noProof/>
          <w:sz w:val="24"/>
        </w:rPr>
        <w:t>Zasadniczo obywatele i zainteresowane strony w swoich odpowiedziach potwierdzali znaczenie elementów, których dotyczy inicjatywa Komisji, dla usprawnienia unijnej oceny ryzyka w łańcuchu żywnościowym. Podkreślali również, że trzeba sprawić, aby wniosek Komisji prowadził do wzmocnienia tych elementów, a jednocześnie przestrzegać zasad, na których opiera się unijny system bezpieczeństwa żywności.</w:t>
      </w:r>
    </w:p>
    <w:p>
      <w:pPr>
        <w:jc w:val="both"/>
        <w:rPr>
          <w:rFonts w:ascii="Times New Roman" w:hAnsi="Times New Roman" w:cs="Times New Roman"/>
          <w:noProof/>
          <w:sz w:val="24"/>
          <w:szCs w:val="24"/>
        </w:rPr>
      </w:pPr>
      <w:r>
        <w:rPr>
          <w:rFonts w:ascii="Times New Roman" w:hAnsi="Times New Roman"/>
          <w:noProof/>
          <w:sz w:val="24"/>
        </w:rPr>
        <w:t xml:space="preserve">Odpowiedzi uzyskane podczas poszczególnych konsultacji wykazały </w:t>
      </w:r>
      <w:r>
        <w:rPr>
          <w:rFonts w:ascii="Times New Roman" w:hAnsi="Times New Roman"/>
          <w:b/>
          <w:noProof/>
          <w:sz w:val="24"/>
        </w:rPr>
        <w:t>potrzebę uwzględnienia następujących kwestii</w:t>
      </w:r>
      <w:r>
        <w:rPr>
          <w:rFonts w:ascii="Times New Roman" w:hAnsi="Times New Roman"/>
          <w:noProof/>
          <w:sz w:val="24"/>
        </w:rPr>
        <w:t xml:space="preserve"> przy sporządzaniu wniosku Komisji:</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Im wcześniej w procedurze oceny ryzyka możliwy jest dostęp do badań prowadzonych przez branżę, tym większy ma to wpływ na przejrzystość.</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Ochrona poufności i praw własności intelektualnej ma fundamentalne znaczenie dla zapobieżenia utrudnianiu innowacji i konkurencji.</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Potrzebne jest jasne i szczegółowe wskazanie, w odniesieniu do których informacji pochodzących z badań branżowych można wnioskować o zachowanie poufności, a odpowiednie wnioski muszą być wnikliwie oceniane.</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Potrzeba proporcjonalnych procedur weryfikacji jakości badań branżowych pod kątem ich zgodności z odpowiednimi normami.</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Potencjalna wartość doradztwa ze strony EFSA dla wnioskodawców z branży przed złożeniem wniosku przy jednoczesnym pełnym przestrzeganiu niezależności procedur naukowych.</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Możliwość przyznania większych środków publicznych na finansowanie badań nad bezpieczeństwem żywności.</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 xml:space="preserve">Konieczność zneutralizowania ewentualnego niekorzystnego wpływu konsultowania przedkładanych badań na długość procedur oceny. Konieczność zapewnienia ochrony poufnych danych i danych osobowych. </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Można dodatkowo usprawnić informowanie o ryzyku dla bezpieczeństwa żywności dzięki lepszej koordynacji i włączeniu odpowiednich zainteresowanych stron.</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Należy nadal w coraz większym stopniu włączać władze państw członkowskich w działania EFSA, aby zapewnić rozdział oceny ryzyka od zarządzania ryzykiem.</w:t>
      </w:r>
    </w:p>
    <w:p>
      <w:pPr>
        <w:pStyle w:val="ListParagraph"/>
        <w:numPr>
          <w:ilvl w:val="0"/>
          <w:numId w:val="12"/>
        </w:numPr>
        <w:jc w:val="both"/>
        <w:rPr>
          <w:noProof/>
        </w:rPr>
      </w:pPr>
      <w:r>
        <w:rPr>
          <w:rFonts w:ascii="Times New Roman" w:hAnsi="Times New Roman"/>
          <w:noProof/>
          <w:sz w:val="24"/>
        </w:rPr>
        <w:t>Niezależność naukowa i doskonałość ekspertów stanowią fundamenty unijnego systemu oceny ryzyka.</w:t>
      </w:r>
    </w:p>
    <w:p>
      <w:pPr>
        <w:pStyle w:val="ListParagraph"/>
        <w:numPr>
          <w:ilvl w:val="0"/>
          <w:numId w:val="12"/>
        </w:numPr>
        <w:jc w:val="both"/>
        <w:rPr>
          <w:noProof/>
        </w:rPr>
      </w:pPr>
      <w:r>
        <w:rPr>
          <w:rFonts w:ascii="Times New Roman" w:hAnsi="Times New Roman"/>
          <w:noProof/>
          <w:sz w:val="24"/>
        </w:rPr>
        <w:t xml:space="preserve">Potrzebne są odpowiednie zachęty, aby zapewnić EFSA dostęp do potrzebnej jej wiedzy fachowej, którą dysponują państwa członkowskie.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35B7A" w16cid:durableId="1E523E69"/>
  <w16cid:commentId w16cid:paraId="66390300" w16cid:durableId="1E523E24"/>
  <w16cid:commentId w16cid:paraId="643A400D" w16cid:durableId="1E523F35"/>
  <w16cid:commentId w16cid:paraId="0C430C46" w16cid:durableId="1E524037"/>
  <w16cid:commentId w16cid:paraId="04DD3C80" w16cid:durableId="1E523E29"/>
  <w16cid:commentId w16cid:paraId="0A137042" w16cid:durableId="1E5241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1686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hyperlink r:id="rId1">
        <w:r>
          <w:rPr>
            <w:rStyle w:val="Hyperlink"/>
            <w:rFonts w:ascii="Times New Roman" w:hAnsi="Times New Roman"/>
            <w:sz w:val="18"/>
          </w:rPr>
          <w:t>https://ec.europa.eu/food/safety/general_food_law/fitness_check_en</w:t>
        </w:r>
      </w:hyperlink>
      <w:r>
        <w:t xml:space="preserve"> </w:t>
      </w:r>
    </w:p>
  </w:footnote>
  <w:footnote w:id="2">
    <w:p>
      <w:pPr>
        <w:pStyle w:val="FootnoteText"/>
      </w:pPr>
      <w:r>
        <w:rPr>
          <w:rStyle w:val="FootnoteReference"/>
        </w:rPr>
        <w:footnoteRef/>
      </w:r>
      <w:r>
        <w:t xml:space="preserve"> </w:t>
      </w:r>
      <w:hyperlink r:id="rId2">
        <w:r>
          <w:rPr>
            <w:rStyle w:val="Hyperlink"/>
            <w:rFonts w:ascii="Times New Roman" w:hAnsi="Times New Roman"/>
            <w:sz w:val="18"/>
          </w:rPr>
          <w:t>https://ec.europa.eu/food/sites/food/files/plant/docs/pesticides_glyphosate_eci_final.pdf</w:t>
        </w:r>
      </w:hyperlink>
      <w:r>
        <w:t xml:space="preserve"> </w:t>
      </w:r>
    </w:p>
  </w:footnote>
  <w:footnote w:id="3">
    <w:p>
      <w:pPr>
        <w:pStyle w:val="FootnoteText"/>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hyperlink r:id="rId3">
        <w:r>
          <w:rPr>
            <w:rStyle w:val="Hyperlink"/>
            <w:rFonts w:ascii="Times New Roman" w:hAnsi="Times New Roman"/>
            <w:sz w:val="18"/>
          </w:rPr>
          <w:t>http://ec.europa.eu/info/law/better-regulation/initiatives/ares-2017-6265773</w:t>
        </w:r>
      </w:hyperlink>
      <w:r>
        <w:rPr>
          <w:rFonts w:ascii="Times New Roman" w:hAnsi="Times New Roman"/>
          <w:sz w:val="18"/>
        </w:rPr>
        <w:t xml:space="preserve"> </w:t>
      </w:r>
    </w:p>
  </w:footnote>
  <w:footnote w:id="4">
    <w:p>
      <w:pPr>
        <w:pStyle w:val="FootnoteText"/>
      </w:pPr>
      <w:r>
        <w:rPr>
          <w:rStyle w:val="FootnoteReference"/>
          <w:rFonts w:ascii="Times New Roman" w:hAnsi="Times New Roman"/>
          <w:sz w:val="18"/>
        </w:rPr>
        <w:footnoteRef/>
      </w:r>
      <w:r>
        <w:rPr>
          <w:rFonts w:ascii="Times New Roman" w:hAnsi="Times New Roman"/>
          <w:sz w:val="18"/>
        </w:rPr>
        <w:t xml:space="preserve"> </w:t>
      </w:r>
      <w:hyperlink r:id="rId4">
        <w:r>
          <w:rPr>
            <w:rStyle w:val="Hyperlink"/>
            <w:rFonts w:ascii="Times New Roman" w:hAnsi="Times New Roman"/>
            <w:sz w:val="18"/>
          </w:rPr>
          <w:t>https://ec.europa.eu/info/consultations/public-consultation-transparency-and-sustainability-eu-risk-assessment-food-chain_en</w:t>
        </w:r>
      </w:hyperlink>
      <w:r>
        <w:rPr>
          <w:sz w:val="18"/>
        </w:rPr>
        <w:t xml:space="preserve"> </w:t>
      </w:r>
    </w:p>
  </w:footnote>
  <w:footnote w:id="5">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5">
        <w:r>
          <w:rPr>
            <w:rStyle w:val="Hyperlink"/>
            <w:rFonts w:ascii="Times New Roman" w:hAnsi="Times New Roman"/>
            <w:sz w:val="18"/>
          </w:rPr>
          <w:t>https://ec.europa.eu/food/expert-groups/ag-ap/adv-grp_fchaph/wg_2018_en</w:t>
        </w:r>
      </w:hyperlink>
      <w:r>
        <w:rPr>
          <w:rFonts w:ascii="Times New Roman" w:hAnsi="Times New Roman"/>
          <w:sz w:val="18"/>
        </w:rPr>
        <w:t xml:space="preserve"> </w:t>
      </w:r>
    </w:p>
  </w:footnote>
  <w:footnote w:id="6">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6">
        <w:r>
          <w:rPr>
            <w:rStyle w:val="Hyperlink"/>
            <w:rFonts w:ascii="Times New Roman" w:hAnsi="Times New Roman"/>
            <w:sz w:val="18"/>
          </w:rPr>
          <w:t>https://www.efsa.europa.eu/en/events/event/180206</w:t>
        </w:r>
      </w:hyperlink>
      <w:r>
        <w:rPr>
          <w:rFonts w:ascii="Times New Roman" w:hAnsi="Times New Roman"/>
          <w:sz w:val="18"/>
        </w:rPr>
        <w:t xml:space="preserve"> </w:t>
      </w:r>
    </w:p>
  </w:footnote>
  <w:footnote w:id="7">
    <w:p>
      <w:pPr>
        <w:pStyle w:val="FootnoteText"/>
      </w:pPr>
      <w:r>
        <w:rPr>
          <w:rStyle w:val="FootnoteReference"/>
        </w:rPr>
        <w:footnoteRef/>
      </w:r>
      <w:r>
        <w:t xml:space="preserve"> </w:t>
      </w:r>
      <w:hyperlink r:id="rId7">
        <w:r>
          <w:rPr>
            <w:rStyle w:val="Hyperlink"/>
            <w:rFonts w:ascii="Times New Roman" w:hAnsi="Times New Roman"/>
            <w:sz w:val="18"/>
          </w:rPr>
          <w:t>https://ec.europa.eu/food/safety/general_food_law/expert_group_en</w:t>
        </w:r>
      </w:hyperlink>
      <w:r>
        <w:rPr>
          <w:rFonts w:ascii="Times New Roman" w:hAnsi="Times New Roman"/>
          <w:sz w:val="18"/>
        </w:rPr>
        <w:t xml:space="preserve"> </w:t>
      </w:r>
    </w:p>
  </w:footnote>
  <w:footnote w:id="8">
    <w:p>
      <w:pPr>
        <w:pStyle w:val="FootnoteText"/>
      </w:pPr>
      <w:r>
        <w:rPr>
          <w:rStyle w:val="FootnoteReference"/>
        </w:rPr>
        <w:footnoteRef/>
      </w:r>
      <w:r>
        <w:t xml:space="preserve"> </w:t>
      </w:r>
      <w:hyperlink r:id="rId8">
        <w:r>
          <w:rPr>
            <w:rStyle w:val="Hyperlink"/>
            <w:rFonts w:ascii="Times New Roman" w:hAnsi="Times New Roman"/>
            <w:sz w:val="18"/>
          </w:rPr>
          <w:t>https://www.efsa.europa.eu/sites/default/files/event/180214-m.pdf</w:t>
        </w:r>
      </w:hyperlink>
      <w:r>
        <w:rPr>
          <w:rFonts w:ascii="Times New Roman" w:hAnsi="Times New Roman"/>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CB6"/>
    <w:multiLevelType w:val="hybridMultilevel"/>
    <w:tmpl w:val="6B98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2111A"/>
    <w:multiLevelType w:val="hybridMultilevel"/>
    <w:tmpl w:val="9F0ADC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A31B2"/>
    <w:multiLevelType w:val="hybridMultilevel"/>
    <w:tmpl w:val="57E69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567C69"/>
    <w:multiLevelType w:val="hybridMultilevel"/>
    <w:tmpl w:val="2912FC16"/>
    <w:lvl w:ilvl="0" w:tplc="32FC73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834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C82B4F"/>
    <w:multiLevelType w:val="hybridMultilevel"/>
    <w:tmpl w:val="5B08A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532E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DD3D7A"/>
    <w:multiLevelType w:val="hybridMultilevel"/>
    <w:tmpl w:val="6ADE3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2E6324"/>
    <w:multiLevelType w:val="hybridMultilevel"/>
    <w:tmpl w:val="6D12D0E0"/>
    <w:styleLink w:val="ImportedStyle3"/>
    <w:lvl w:ilvl="0" w:tplc="D22C6944">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ECC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DCA1B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20A4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0D5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26F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2C50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4A8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63FC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22E3CD8"/>
    <w:multiLevelType w:val="hybridMultilevel"/>
    <w:tmpl w:val="6F7C8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3C6FB9"/>
    <w:multiLevelType w:val="hybridMultilevel"/>
    <w:tmpl w:val="B408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627EA"/>
    <w:multiLevelType w:val="hybridMultilevel"/>
    <w:tmpl w:val="DBA279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DF7A1F"/>
    <w:multiLevelType w:val="hybridMultilevel"/>
    <w:tmpl w:val="A630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9D2E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0434CB"/>
    <w:multiLevelType w:val="hybridMultilevel"/>
    <w:tmpl w:val="1AF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46735"/>
    <w:multiLevelType w:val="hybridMultilevel"/>
    <w:tmpl w:val="B9825D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204E82"/>
    <w:multiLevelType w:val="hybridMultilevel"/>
    <w:tmpl w:val="385A2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4F620B"/>
    <w:multiLevelType w:val="hybridMultilevel"/>
    <w:tmpl w:val="2764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F01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BF1148"/>
    <w:multiLevelType w:val="hybridMultilevel"/>
    <w:tmpl w:val="6D12D0E0"/>
    <w:numStyleLink w:val="ImportedStyle3"/>
  </w:abstractNum>
  <w:num w:numId="1">
    <w:abstractNumId w:val="5"/>
  </w:num>
  <w:num w:numId="2">
    <w:abstractNumId w:val="9"/>
  </w:num>
  <w:num w:numId="3">
    <w:abstractNumId w:val="3"/>
  </w:num>
  <w:num w:numId="4">
    <w:abstractNumId w:val="15"/>
  </w:num>
  <w:num w:numId="5">
    <w:abstractNumId w:val="2"/>
  </w:num>
  <w:num w:numId="6">
    <w:abstractNumId w:val="6"/>
  </w:num>
  <w:num w:numId="7">
    <w:abstractNumId w:val="4"/>
  </w:num>
  <w:num w:numId="8">
    <w:abstractNumId w:val="18"/>
  </w:num>
  <w:num w:numId="9">
    <w:abstractNumId w:val="13"/>
  </w:num>
  <w:num w:numId="10">
    <w:abstractNumId w:val="16"/>
  </w:num>
  <w:num w:numId="11">
    <w:abstractNumId w:val="1"/>
  </w:num>
  <w:num w:numId="12">
    <w:abstractNumId w:val="10"/>
  </w:num>
  <w:num w:numId="13">
    <w:abstractNumId w:val="14"/>
  </w:num>
  <w:num w:numId="14">
    <w:abstractNumId w:val="0"/>
  </w:num>
  <w:num w:numId="15">
    <w:abstractNumId w:val="7"/>
  </w:num>
  <w:num w:numId="16">
    <w:abstractNumId w:val="8"/>
  </w:num>
  <w:num w:numId="17">
    <w:abstractNumId w:val="19"/>
  </w:num>
  <w:num w:numId="18">
    <w:abstractNumId w:val="17"/>
  </w:num>
  <w:num w:numId="19">
    <w:abstractNumId w:val="11"/>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OSINOVA Viera (SANTE)">
    <w15:presenceInfo w15:providerId="None" w15:userId="VOLOSINOVA Viera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warzysz\u261?cy dokumentowi:"/>
    <w:docVar w:name="LW_CORRIGENDUM" w:val="&lt;UNUSED&gt;"/>
    <w:docVar w:name="LW_COVERPAGE_EXISTS" w:val="True"/>
    <w:docVar w:name="LW_COVERPAGE_GUID" w:val="1F3F9F87-F426-497D-A82E-C759656C5C88"/>
    <w:docVar w:name="LW_COVERPAGE_TYPE" w:val="1"/>
    <w:docVar w:name="LW_CROSSREFERENCE" w:val="{COM(2018) 179 final}"/>
    <w:docVar w:name="LW_DocType" w:val="NORMAL"/>
    <w:docVar w:name="LW_EMISSION" w:val="11.4.2018"/>
    <w:docVar w:name="LW_EMISSION_ISODATE" w:val="2018-04-11"/>
    <w:docVar w:name="LW_EMISSION_LOCATION" w:val="BRX"/>
    <w:docVar w:name="LW_EMISSION_PREFIX" w:val="Bruksela, dnia "/>
    <w:docVar w:name="LW_EMISSION_SUFFIX" w:val="r."/>
    <w:docVar w:name="LW_ID_DOCTYPE_NONLW" w:val="CP-025"/>
    <w:docVar w:name="LW_LANGUE" w:val="PL"/>
    <w:docVar w:name="LW_LEVEL_OF_SENSITIVITY" w:val="Standard treatment"/>
    <w:docVar w:name="LW_NOM.INST" w:val="KOMISJA EUROPEJSKA"/>
    <w:docVar w:name="LW_NOM.INST_JOINTDOC" w:val="&lt;EMPTY&gt;"/>
    <w:docVar w:name="LW_OBJETACTEPRINCIPAL.CP" w:val="w sprawie przejrzysto\u347?ci i zrównowa\u380?onego charakteru unijnej oceny ryzyka w \u322?a\u324?cuchu \u380?ywno\u347?ciowym, zmieniaj\u261?ce rozporz\u261?dzenie (WE) nr 178/2002 [w sprawie ogólnego prawa \u380?ywno\u347?ciowego], dyrektyw\u281? 2001/18/WE [w sprawie zamierzonego uwalniania do \u347?rodowiska organizmów zmodyfikowanych genetycznie], rozporz\u261?dzenie (WE) nr 1829/2003 [w sprawie genetycznie zmodyfikowanej \u380?ywno\u347?ci i paszy], rozporz\u261?dzenie (WE) nr 1831/2003 [w sprawie dodatków stosowanych w \u380?ywieniu zwierz\u261?t], rozporz\u261?dzenie (WE) nr 2065/2003 [w sprawie \u347?rodków aromatyzuj\u261?cych dymu w\u281?dzarniczego], rozporz\u261?dzenie (WE) nr 1935/2004 [w sprawie materia\u322?ów przeznaczonych do kontaktu z \u380?ywno\u347?ci\u261?], rozporz\u261?dzenie (WE) nr 1331/2008 [w sprawie jednolitej procedury wydawania zezwole\u324? na stosowanie dodatków do \u380?ywno\u347?ci, enzymów spo\u380?ywczych i \u347?rodków aromatyzuj\u261?cych], rozporz\u261?dzenie (WE) nr 1107/2009 [w sprawie \u347?rodków ochrony ro\u347?lin] oraz rozporz\u261?dzenie (UE) 2015/2283 [w sprawie nowej \u380?ywno\u347?ci]"/>
    <w:docVar w:name="LW_PART_NBR" w:val="1"/>
    <w:docVar w:name="LW_PART_NBR_TOTAL" w:val="1"/>
    <w:docVar w:name="LW_REF.INST.NEW" w:val="SWD"/>
    <w:docVar w:name="LW_REF.INST.NEW_ADOPTED" w:val="final"/>
    <w:docVar w:name="LW_REF.INST.NEW_TEXT" w:val="(2018)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prawozdanie podsumowuj\u261?ce"/>
    <w:docVar w:name="LW_TYPE.DOC.CP" w:val="DOKUMENT ROBOCZY S\u321?U\u379?B KOMISJI"/>
    <w:docVar w:name="LW_TYPEACTEPRINCIPAL.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4">
    <w:name w:val="CM4"/>
    <w:next w:val="Normal"/>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16"/>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z w:val="24"/>
      <w:szCs w:val="2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bCs w:val="0"/>
      <w:sz w:val="32"/>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z w:val="24"/>
      <w:szCs w:val="2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bCs w:val="0"/>
      <w:sz w:val="32"/>
      <w:szCs w:val="28"/>
    </w:rPr>
  </w:style>
  <w:style w:type="paragraph" w:customStyle="1" w:styleId="Tex">
    <w:name w:val="Tex"/>
    <w:basedOn w:val="Normal"/>
    <w:pPr>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4">
    <w:name w:val="CM4"/>
    <w:next w:val="Normal"/>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16"/>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z w:val="24"/>
      <w:szCs w:val="2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bCs w:val="0"/>
      <w:sz w:val="32"/>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z w:val="24"/>
      <w:szCs w:val="2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bCs w:val="0"/>
      <w:sz w:val="32"/>
      <w:szCs w:val="28"/>
    </w:rPr>
  </w:style>
  <w:style w:type="paragraph" w:customStyle="1" w:styleId="Tex">
    <w:name w:val="Tex"/>
    <w:basedOn w:val="Normal"/>
    <w:pPr>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efsa.europa.eu/sites/default/files/event/180214-m.pdf" TargetMode="External"/><Relationship Id="rId3" Type="http://schemas.openxmlformats.org/officeDocument/2006/relationships/hyperlink" Target="http://ec.europa.eu/info/law/better-regulation/initiatives/ares-2017-6265773" TargetMode="External"/><Relationship Id="rId7" Type="http://schemas.openxmlformats.org/officeDocument/2006/relationships/hyperlink" Target="https://ec.europa.eu/food/safety/general_food_law/expert_group_en" TargetMode="External"/><Relationship Id="rId2" Type="http://schemas.openxmlformats.org/officeDocument/2006/relationships/hyperlink" Target="https://ec.europa.eu/food/sites/food/files/plant/docs/pesticides_glyphosate_eci_final.pdf" TargetMode="External"/><Relationship Id="rId1" Type="http://schemas.openxmlformats.org/officeDocument/2006/relationships/hyperlink" Target="https://ec.europa.eu/food/safety/general_food_law/fitness_check_en" TargetMode="External"/><Relationship Id="rId6" Type="http://schemas.openxmlformats.org/officeDocument/2006/relationships/hyperlink" Target="https://www.efsa.europa.eu/en/events/event/180206" TargetMode="External"/><Relationship Id="rId5" Type="http://schemas.openxmlformats.org/officeDocument/2006/relationships/hyperlink" Target="https://ec.europa.eu/food/expert-groups/ag-ap/adv-grp_fchaph/wg_2018_en" TargetMode="External"/><Relationship Id="rId4" Type="http://schemas.openxmlformats.org/officeDocument/2006/relationships/hyperlink" Target="https://ec.europa.eu/info/consultations/public-consultation-transparency-and-sustainability-eu-risk-assessment-food-chai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8199-EF9C-442D-9468-C0C499E8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2608</Words>
  <Characters>17530</Characters>
  <Application>Microsoft Office Word</Application>
  <DocSecurity>0</DocSecurity>
  <Lines>269</Lines>
  <Paragraphs>60</Paragraphs>
  <ScaleCrop>false</ScaleCrop>
  <HeadingPairs>
    <vt:vector size="2" baseType="variant">
      <vt:variant>
        <vt:lpstr>Title</vt:lpstr>
      </vt:variant>
      <vt:variant>
        <vt:i4>1</vt:i4>
      </vt:variant>
    </vt:vector>
  </HeadingPairs>
  <TitlesOfParts>
    <vt:vector size="1" baseType="lpstr">
      <vt:lpstr>SANTE/2216/2017-EN SWD</vt:lpstr>
    </vt:vector>
  </TitlesOfParts>
  <Manager/>
  <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SANTE/2216/2017-EN SWD</dc:title>
  <dc:subject>synopsis report</dc:subject>
  <dc:creator/>
  <cp:keywords>2216</cp:keywords>
  <dc:description>Outlook 27,3,2018</dc:description>
  <cp:lastModifiedBy>DIGIT/A3</cp:lastModifiedBy>
  <cp:revision>22</cp:revision>
  <cp:lastPrinted>2018-04-04T13:20:00Z</cp:lastPrinted>
  <dcterms:created xsi:type="dcterms:W3CDTF">2018-04-10T15:56:00Z</dcterms:created>
  <dcterms:modified xsi:type="dcterms:W3CDTF">2018-04-28T09:23:00Z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