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6CEC414-C779-4193-B3AD-0C0DA310355B" style="width:450.45pt;height:525.9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  <w:u w:val="single"/>
        </w:rPr>
        <w:lastRenderedPageBreak/>
        <w:t>Relatório de síntese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Introdução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 presente relatório resume os comentários enviados por cidadãos, autoridades nacionais, grupos e organizações («partes interessadas») sobre a iniciativa da Comissão relativa a uma proposta de regulamento sobre a transparência e a sustentabilidade do sistema da UE para a avaliação dos riscos na cadeia alimentar («proposta da Comissão»). A proposta da Comissão vem alterar o Regulamento (CE) n.º 178/2002, que estabelece os princípios e normas gerais da </w:t>
      </w:r>
      <w:r>
        <w:rPr>
          <w:rFonts w:ascii="Times New Roman" w:hAnsi="Times New Roman" w:cs="Times New Roman"/>
          <w:noProof/>
          <w:sz w:val="24"/>
          <w:szCs w:val="24"/>
        </w:rPr>
        <w:t>legislação alimentar, cria a Autoridade Europeia para a Segurança dos Alimentos (EFSA) e estabelece procedimentos em matéria de segurança dos géneros alimentícios. Por razões de coerência, a proposta altera igualmente outra legislação alimentar setorial. A proposta da Comissão tem em conta as conclusões do balanço de qualidade da legislação alimentar geral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"/>
      </w:r>
      <w:r>
        <w:rPr>
          <w:rFonts w:ascii="Times New Roman" w:hAnsi="Times New Roman" w:cs="Times New Roman"/>
          <w:noProof/>
          <w:sz w:val="24"/>
          <w:szCs w:val="24"/>
        </w:rPr>
        <w:t xml:space="preserve"> e dá seguimento à comunicação da Comissão sobre a Iniciativa de Cidadania Europeia «Proibição do glifosato e proteção das pessoas e do ambiente contra pesticidas tóxicos»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 cidadãos</w:t>
      </w:r>
      <w:r>
        <w:rPr>
          <w:rFonts w:ascii="Times New Roman" w:hAnsi="Times New Roman"/>
          <w:noProof/>
          <w:sz w:val="24"/>
        </w:rPr>
        <w:t xml:space="preserve"> e as partes interessadas tiveram a oportunidade de apresentar comentários sobre um </w:t>
      </w:r>
      <w:r>
        <w:rPr>
          <w:rFonts w:ascii="Times New Roman" w:hAnsi="Times New Roman"/>
          <w:b/>
          <w:noProof/>
          <w:sz w:val="24"/>
        </w:rPr>
        <w:t>roteiro da Comissão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entre 20 de dezembro de 2017 e 17 de janeiro de 2018. Foram recebidos comentários de 20 partes interessadas [15 associações comerciais e empresariais, quatro organizações não governamentais (ONG) e uma autoridade de um Estado-Membro] e de um cidadão.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Posteriormente realizou-se uma </w:t>
      </w:r>
      <w:r>
        <w:rPr>
          <w:rFonts w:ascii="Times New Roman" w:hAnsi="Times New Roman"/>
          <w:b/>
          <w:noProof/>
          <w:sz w:val="24"/>
        </w:rPr>
        <w:t>consulta pública aberta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(CPA), dirigida aos cidadãos e às partes interessadas, que decorreu de 23 de janeiro de 2018 a 20 de março de 2018. Na CPA8 receberam-se respostas de 471 participantes: 318 cidadãos e 153 partes interessadas, 18 das quais tinham igualmente enviado comentários sobre o roteiro.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As partes interessadas participantes representam uma grande variedade de setores: associações comerciais e empresariais (39,22 %), empresas e grupos de empresas (14,38 %), ONG (13,07 %), associações profissionais (8,5 %), autoridades nacionais/regionais (8,5 %), agências governamentais (5,23 %), institutos de investigação (3,92 %), organismos públicos (1,96 %), consultores profissionais (1,96 %), grupos de reflexão (1,31 %), sociedades de advogados (0,65 %), instituições da UE (0,65 %) e outros (0,65 %). No que se refere aos cidadãos que participaram, 318 respostas provêm de 26 Estados-Membros, 10 de um país da Associação Europeia de Comércio Livre e cinco de outros países terceiros.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 cidadãos avaliaram o seu nível de conhecimentos do sistema europeu de avaliação da segurança alimentar e do correspondente quadro regulamentar como muito bom (22,64 %), bom (33,65 %), suficiente (26,42 %), reduzido (14,78 %) ou nenhum (2,52 %). As organizações avaliaram o seu nível de conhecimentos como muito bom (37,25 %), bom (47,06 %), suficiente (14,38 %), reduzido (0,65 %) ou nenhum (0,65 %).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Tiveram igualmente lugar consultas específicas a determinados grupos de interessados. As organizações a nível da UE representativas dos agricultores, das cooperativas, da indústria alimentar, dos retalhistas, dos consumidores, dos profissionais e da sociedade civil foram consultadas numa reunião de um grupo de trabalho do </w:t>
      </w:r>
      <w:r>
        <w:rPr>
          <w:rFonts w:ascii="Times New Roman" w:hAnsi="Times New Roman"/>
          <w:b/>
          <w:noProof/>
          <w:sz w:val="24"/>
        </w:rPr>
        <w:t>Grupo Consultivo da Cadeia Alimentar, da Saúde Animal e da Fitossanidade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. Foram ainda realizadas consultas através do </w:t>
      </w:r>
      <w:r>
        <w:rPr>
          <w:rFonts w:ascii="Times New Roman" w:hAnsi="Times New Roman"/>
          <w:b/>
          <w:noProof/>
          <w:sz w:val="24"/>
        </w:rPr>
        <w:t>Fórum Consultivo da EFSA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(autoridades nacionais competentes no domínio da segurança dos alimentos) e do </w:t>
      </w:r>
      <w:r>
        <w:rPr>
          <w:rFonts w:ascii="Times New Roman" w:hAnsi="Times New Roman"/>
          <w:b/>
          <w:noProof/>
          <w:sz w:val="24"/>
        </w:rPr>
        <w:t>Grupo de Peritos da Comissão sobre a Legislação Alimentar Geral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, bem como junto do </w:t>
      </w:r>
      <w:r>
        <w:rPr>
          <w:rFonts w:ascii="Times New Roman" w:hAnsi="Times New Roman"/>
          <w:b/>
          <w:noProof/>
          <w:sz w:val="24"/>
        </w:rPr>
        <w:t>Comité Científico da EFSA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Foi igualmente tomada em conta uma carta do Provedor de Justiça Europeu ao Presidente da Comissão Europeia sobre a necessidade de garantir que o modelo da UE para a avaliação dos riscos na cadeia alimentar seja independente, transparente e permita a participação das partes interessadas pertinentes.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 comentários recebidos durante as consultas não foram tidos em conta quando excediam o âmbito da proposta da Comissão.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Transparência dos estudos da indústria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 cidadãos e as partes interessadas reconheceram a importância do </w:t>
      </w:r>
      <w:r>
        <w:rPr>
          <w:rFonts w:ascii="Times New Roman" w:hAnsi="Times New Roman"/>
          <w:b/>
          <w:noProof/>
          <w:sz w:val="24"/>
        </w:rPr>
        <w:t>acesso do público aos estudos da indústria</w:t>
      </w:r>
      <w:r>
        <w:rPr>
          <w:rFonts w:ascii="Times New Roman" w:hAnsi="Times New Roman"/>
          <w:noProof/>
          <w:sz w:val="24"/>
        </w:rPr>
        <w:t xml:space="preserve"> utilizados pela EFSA nas suas avaliações dos riscos, excetuando os respetivos segredos comerciais e outras informações confidenciais, enquanto elemento importante para garantir a confiança na avaliação dos riscos em matéria de segurança dos alimentos realizada pela UE. A  CPA mostrou que esse acesso era considerado importante ou muito importante em 86,8 % das respostas dos cidadãos e 88,2 % das respostas das partes interessadas. As informações que a EFSA publica sobre as suas atividades e contribuições também foram consideradas muito importantes.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 cidadãos e as partes interessadas indicaram que a </w:t>
      </w:r>
      <w:r>
        <w:rPr>
          <w:rFonts w:ascii="Times New Roman" w:hAnsi="Times New Roman"/>
          <w:b/>
          <w:noProof/>
          <w:sz w:val="24"/>
        </w:rPr>
        <w:t>publicação dos estudos da indústria</w:t>
      </w:r>
      <w:r>
        <w:rPr>
          <w:rFonts w:ascii="Times New Roman" w:hAnsi="Times New Roman"/>
          <w:noProof/>
          <w:sz w:val="24"/>
        </w:rPr>
        <w:t xml:space="preserve">, incluindo dados brutos/agregados mas excluindo os segredos comerciais ou outras informações confidenciais, tem um impacto positivo ou muito positivo em termos de: 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Reforço da transparência do sistema de avaliação dos riscos da UE: 87,4 % de respostas dos cidadãos, 91,5 % das partes interessadas,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Reforço da confiança dos consumidores no sistema de avaliação dos riscos da UE: 84,9 % de respostas dos cidadãos, 73,9 % das partes interessadas,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Permitir o escrutínio por outros peritos científicos e por terceiros: 81,8 % de respostas dos cidadãos, 80,4 % das partes interessadas, 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Melhoria do intercâmbio de informações sobre os riscos entre as partes interessadas: 81,5 % de respostas dos cidadãos, 76,5 % das partes interessadas.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Uma vez que os consumidores não têm, de um modo geral, os conhecimentos científicos necessários para utilizar estes estudos, as organizações de consumidores sugeriram que a confiança dependerá de outros fatores, tais como, por exemplo, o escrutínio dos estudos por terceiros.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 que diz respeito ao </w:t>
      </w:r>
      <w:r>
        <w:rPr>
          <w:rFonts w:ascii="Times New Roman" w:hAnsi="Times New Roman"/>
          <w:b/>
          <w:noProof/>
          <w:sz w:val="24"/>
        </w:rPr>
        <w:t>impacto da publicação dos estudos da indústria</w:t>
      </w:r>
      <w:r>
        <w:rPr>
          <w:rFonts w:ascii="Times New Roman" w:hAnsi="Times New Roman"/>
          <w:noProof/>
          <w:sz w:val="24"/>
        </w:rPr>
        <w:t xml:space="preserve">, 42,1 % dos cidadãos e 21,6 % das partes interessadas indicaram nas suas respostas que este é um elemento importante ou muito importante </w:t>
      </w:r>
      <w:r>
        <w:rPr>
          <w:rFonts w:ascii="Times New Roman" w:hAnsi="Times New Roman"/>
          <w:b/>
          <w:noProof/>
          <w:sz w:val="24"/>
        </w:rPr>
        <w:t>para a competitividade</w:t>
      </w:r>
      <w:r>
        <w:rPr>
          <w:rFonts w:ascii="Times New Roman" w:hAnsi="Times New Roman"/>
          <w:noProof/>
          <w:sz w:val="24"/>
        </w:rPr>
        <w:t xml:space="preserve">; 56,3 % dos cidadãos e 31,4 % das partes interessadas responderam que é positivo ou muito positivo </w:t>
      </w:r>
      <w:r>
        <w:rPr>
          <w:rFonts w:ascii="Times New Roman" w:hAnsi="Times New Roman"/>
          <w:b/>
          <w:noProof/>
          <w:sz w:val="24"/>
        </w:rPr>
        <w:t>para a inovação</w:t>
      </w:r>
      <w:r>
        <w:rPr>
          <w:rFonts w:ascii="Times New Roman" w:hAnsi="Times New Roman"/>
          <w:noProof/>
          <w:sz w:val="24"/>
        </w:rPr>
        <w:t xml:space="preserve">. Por outro lado, cerca de 35 % das respostas das partes interessadas, neste caso principalmente as organizações do setor, indicaram que a publicação dos estudos da indústria será negativa ou muito negativa para a competitividade e a promoção da inovação. As organizações do setor comentaram que há um risco de utilização abusiva dos dados publicados.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Existiam pontos de vista diferentes sobre o </w:t>
      </w:r>
      <w:r>
        <w:rPr>
          <w:rFonts w:ascii="Times New Roman" w:hAnsi="Times New Roman"/>
          <w:b/>
          <w:noProof/>
          <w:sz w:val="24"/>
        </w:rPr>
        <w:t>calendário de publicação das partes não confidenciais</w:t>
      </w:r>
      <w:r>
        <w:rPr>
          <w:rFonts w:ascii="Times New Roman" w:hAnsi="Times New Roman"/>
          <w:noProof/>
          <w:sz w:val="24"/>
        </w:rPr>
        <w:t xml:space="preserve"> dos estudos da indústria ao longo do procedimento de avaliação dos riscos e o respetivo </w:t>
      </w:r>
      <w:r>
        <w:rPr>
          <w:rFonts w:ascii="Times New Roman" w:hAnsi="Times New Roman"/>
          <w:b/>
          <w:noProof/>
          <w:sz w:val="24"/>
        </w:rPr>
        <w:t>impacto em termos de transparência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Entre os cidadãos, 58,8 % consideraram que a publicação imediata sem verificação da confidencialidade teria um impacto positivo ou muito positivo, 6,9 % consideram que não teria qualquer impacto e 28,9 % consideraram que o impacto seria negativo ou muito negativo. As respostas sobre os outros cenários relacionados com o calendário de publicação não mostraram uma forte polarização das opiniões, com exceção da opção de não publicar os estudos: 77,1 % dos cidadãos afirmam que isso teria um impacto negativo ou muito negativo e apenas 4,1 % consideram que teria um impacto positivo ou muito positivo. No que se refere às partes interessadas, 71,9 % consideram que a não publicação dos estudos da indústria teria um impacto negativo ou muito negativo e apenas 1,3 % consideram que teria um impacto positivo.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Em geral, as partes interessadas da indústria afirmam que o calendário de publicação poderia ter um </w:t>
      </w:r>
      <w:r>
        <w:rPr>
          <w:rFonts w:ascii="Times New Roman" w:hAnsi="Times New Roman"/>
          <w:b/>
          <w:noProof/>
          <w:sz w:val="24"/>
        </w:rPr>
        <w:t>impacto</w:t>
      </w:r>
      <w:r>
        <w:rPr>
          <w:rFonts w:ascii="Times New Roman" w:hAnsi="Times New Roman"/>
          <w:noProof/>
          <w:sz w:val="24"/>
        </w:rPr>
        <w:t xml:space="preserve"> negativo ou muito negativo </w:t>
      </w:r>
      <w:r>
        <w:rPr>
          <w:rFonts w:ascii="Times New Roman" w:hAnsi="Times New Roman"/>
          <w:b/>
          <w:noProof/>
          <w:sz w:val="24"/>
        </w:rPr>
        <w:t>sobre a competitividade</w:t>
      </w:r>
      <w:r>
        <w:rPr>
          <w:rFonts w:ascii="Times New Roman" w:hAnsi="Times New Roman"/>
          <w:noProof/>
          <w:sz w:val="24"/>
        </w:rPr>
        <w:t>, em especial se a publicação for feita numa fase inicial do processo de avaliação. As partes interessadas da indústria também destacaram a necessidade de evitar a utilização abusiva dos dados comerciais. Alguns comentários das autoridades dos Estados-Membros incluíam uma reflexão sobre a necessidade de especificar na legislação o que deve ser considerado confidencial. As ONG apresentaram observações sobre a necessidade de reexaminar a validade dos pedidos de confidencialidade apresentados em relação aos estudos da indústria.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As respostas dos cidadãos e das partes interessadas à CPA mostraram que um registo aberto dos estudos, a utilização de formatos de leitura ótica e a existência de diferentes níveis de acesso aos estudos seriam instrumentos úteis ou muito úteis. No que diz respeito à criação de um registo dos estudos da indústria, foram destacadas, sobretudo pelas autoridades dos Estados-Membros, as dificuldades em termos de aplicabilidade fora da UE. Algumas autoridades dos Estados-Membros e partes interessadas da indústria consideraram que pode ter um impacto negativo sobre a inovação na UE.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Dados apresentados nos estudos da indústria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maior parte dos cidadãos e das partes interessadas considera importantes ou muito importantes os </w:t>
      </w:r>
      <w:r>
        <w:rPr>
          <w:rFonts w:ascii="Times New Roman" w:hAnsi="Times New Roman"/>
          <w:b/>
          <w:noProof/>
          <w:sz w:val="24"/>
        </w:rPr>
        <w:t>elementos atualmente em vigor</w:t>
      </w:r>
      <w:r>
        <w:rPr>
          <w:rFonts w:ascii="Times New Roman" w:hAnsi="Times New Roman"/>
          <w:noProof/>
          <w:sz w:val="24"/>
        </w:rPr>
        <w:t xml:space="preserve"> para garantir que os estudos fornecidos pela indústria são suficientemente robustos como base das avaliações dos riscos efetuadas pela EFSA.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Em geral, os cidadãos consideraram que as </w:t>
      </w:r>
      <w:r>
        <w:rPr>
          <w:rFonts w:ascii="Times New Roman" w:hAnsi="Times New Roman"/>
          <w:b/>
          <w:noProof/>
          <w:sz w:val="24"/>
        </w:rPr>
        <w:t>medidas adicionais respeitantes aos estudos da indústria</w:t>
      </w:r>
      <w:r>
        <w:rPr>
          <w:rFonts w:ascii="Times New Roman" w:hAnsi="Times New Roman"/>
          <w:noProof/>
          <w:sz w:val="24"/>
        </w:rPr>
        <w:t xml:space="preserve"> propostas na CPA contribuem de certo modo ou significativamente para reforçar as avaliações dos riscos realizadas pela EFSA: mais de 75 % das respostas respeitantes a cada medida vão nesse sentido. Embora, de um modo geral, as partes interessadas tenham apresentado pontos de vista semelhantes, algumas atribuíram níveis de importância diferentes a certas medidas. Em particular, as partes interessadas da indústria consideraram de certo modo útil ou bastante útil a possibilidade de prestar aconselhamento aos requerentes antes da apresentação dos pedidos, ao passo que as organizações de consumidores e algumas outras ONG consideraram que esta solução não teria grande valor. Estas últimas também salientaram a necessidade de garantir a independência dos processos científicos da EFSA. Alguns Estados-Membros consideraram que este pré-aconselhamento teria potencialmente um valor reduzido tendo em conta a relação custos-benefícios.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83,7 % das respostas dos cidadãos e 63,4 % das respostas das partes interessadas indicaram que </w:t>
      </w:r>
      <w:r>
        <w:rPr>
          <w:rFonts w:ascii="Times New Roman" w:hAnsi="Times New Roman"/>
          <w:b/>
          <w:noProof/>
          <w:sz w:val="24"/>
        </w:rPr>
        <w:t>complementar os estudos da indústria com estudos de verificação</w:t>
      </w:r>
      <w:r>
        <w:rPr>
          <w:rFonts w:ascii="Times New Roman" w:hAnsi="Times New Roman"/>
          <w:noProof/>
          <w:sz w:val="24"/>
        </w:rPr>
        <w:t xml:space="preserve"> reforçaria em certa ou em grande medida a avaliação dos riscos efetuada pela EFSA. No que diz respeito ao financiamento desses estudos de verificação, uma pequena percentagem dos cidadãos e das partes interessadas considerou que os custos deveriam ser cobertos pelo requerente em causa. As outras opções de financiamento propostas, nomeadamente, o orçamento da UE, financiamento comum por todos os requerentes da indústria ou uma combinação de fundos públicos e da indústria, foram consideradas relevantes por 32,1 %, 27 % e 25,2 % dos cidadãos, respetivamente. Para os respondentes do grupo das partes interessadas, as correspondentes percentagens foram de 47,7 %, 21,6 % e 9,2 %, respetivamente.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 que diz respeito à possibilidade de </w:t>
      </w:r>
      <w:r>
        <w:rPr>
          <w:rFonts w:ascii="Times New Roman" w:hAnsi="Times New Roman"/>
          <w:b/>
          <w:noProof/>
          <w:sz w:val="24"/>
        </w:rPr>
        <w:t>reforçar o sistema de auditoria utilizado para os laboratórios</w:t>
      </w:r>
      <w:r>
        <w:rPr>
          <w:rFonts w:ascii="Times New Roman" w:hAnsi="Times New Roman"/>
          <w:noProof/>
          <w:sz w:val="24"/>
        </w:rPr>
        <w:t xml:space="preserve"> que realizam os estudos da indústria, a maioria dos cidadãos (78,3 % dos respondentes) e das partes interessadas (72,6 % dos respondentes) considerou que tal contribuiria em certa ou em grande medida para reforçar as avaliações dos riscos efetuadas pela EFSA. Alguns Estados-Membros manifestaram reservas sobre o potencial valor acrescentado de tal medida. 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Tanto os cidadãos como as partes interessadas consideraram que a </w:t>
      </w:r>
      <w:r>
        <w:rPr>
          <w:rFonts w:ascii="Times New Roman" w:hAnsi="Times New Roman"/>
          <w:b/>
          <w:noProof/>
          <w:sz w:val="24"/>
        </w:rPr>
        <w:t>afetação de mais recursos públicos ao financiamento de estudos sobre a segurança dos alimentos</w:t>
      </w:r>
      <w:r>
        <w:rPr>
          <w:rFonts w:ascii="Times New Roman" w:hAnsi="Times New Roman"/>
          <w:noProof/>
          <w:sz w:val="24"/>
        </w:rPr>
        <w:t xml:space="preserve"> é importante para reforçar a avaliação dos riscos pela EFSA: cerca de 80 % das respostas dos cidadãos indicam que o financiamento da UE ou nacional poderia contribuir em certa ou em grande medida; para as partes interessadas, a percentagem correspondente é ligeiramente inferior. Algumas ONG e o Comité Científico da EFSA consideraram haver valor acrescentado em dedicar mais recursos públicos aos estudos sobre a segurança dos alimentos.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Nos debates realizados, as partes interessadas salientaram a utilidade de estabelecer procedimentos de consulta pública aberta sobre os dados relativos a estudos apresentados pela indústria nos processos de autorização. Embora esta possibilidade tenha sido, em geral, bem acolhida, algumas autoridades dos Estados-Membros e partes interessadas da indústria mencionaram o potencial impacto negativo sobre a duração dos procedimentos de avaliação dos riscos pela EFSA. As partes interessadas da indústria também realçaram o potencial impacto negativo na competitividade e inovação, em especial no que diz respeito às novas substâncias, devido aos riscos associados a uma possível utilização abusiva dos dados divulgados e a questões relativas a direitos de propriedade intelectual.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 xml:space="preserve">Comunicação dos riscos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De um modo geral, todas as partes consultadas reconheceram o valor das ações destinadas a melhorar a comunicação dos riscos.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CPA, mais de um terço dos cidadãos consideram que a </w:t>
      </w:r>
      <w:r>
        <w:rPr>
          <w:rFonts w:ascii="Times New Roman" w:hAnsi="Times New Roman"/>
          <w:b/>
          <w:noProof/>
          <w:sz w:val="24"/>
        </w:rPr>
        <w:t>comunicação dos riscos existente</w:t>
      </w:r>
      <w:r>
        <w:rPr>
          <w:rFonts w:ascii="Times New Roman" w:hAnsi="Times New Roman"/>
          <w:noProof/>
          <w:sz w:val="24"/>
        </w:rPr>
        <w:t xml:space="preserve"> contribui pouco ou não contribui para promover a confiança no processo de decisão da UE na cadeia alimentar. Todas as</w:t>
      </w:r>
      <w:r>
        <w:rPr>
          <w:rFonts w:ascii="Times New Roman" w:hAnsi="Times New Roman"/>
          <w:b/>
          <w:noProof/>
          <w:sz w:val="24"/>
        </w:rPr>
        <w:t xml:space="preserve"> novas medidas propostas</w:t>
      </w:r>
      <w:r>
        <w:rPr>
          <w:rFonts w:ascii="Times New Roman" w:hAnsi="Times New Roman"/>
          <w:noProof/>
          <w:sz w:val="24"/>
        </w:rPr>
        <w:t xml:space="preserve"> como suscetíveis de reforçar a coerência da comunicação dos riscos foram consideradas eficazes ou muito eficazes pela maioria dos respondentes de ambos os grupos (entre 61,4 % e 92,2 % das respostas), embora com uma exceção no grupo das partes interessadas: algumas ONG (23,5 % de respostas das partes interessadas) não consideram que a inclusão de princípios gerais de comunicação dos riscos na legislação possa ser muito eficaz.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Alguns cidadãos salientaram a necessidade de evitar complexidade e/ou confusão na comunicação dos riscos e recomendaram que esta fosse simplificada e clarificada. As organizações de consumidores comentaram sobre a necessidade de explicar claramente as opções políticas tomadas e de melhorar a participação dos Estados-Membros na comunicação dos riscos. Os Estados-Membros reconheceram a necessidade de uma maior coordenação entre todos os intervenientes.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 xml:space="preserve">Sustentabilidade do sistema de avaliação dos riscos e participação dos Estados-Membros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 </w:t>
      </w:r>
      <w:r>
        <w:rPr>
          <w:rFonts w:ascii="Times New Roman" w:hAnsi="Times New Roman"/>
          <w:b/>
          <w:noProof/>
          <w:sz w:val="24"/>
        </w:rPr>
        <w:t>instrumentos atualmente disponíveis</w:t>
      </w:r>
      <w:r>
        <w:rPr>
          <w:rFonts w:ascii="Times New Roman" w:hAnsi="Times New Roman"/>
          <w:noProof/>
          <w:sz w:val="24"/>
        </w:rPr>
        <w:t xml:space="preserve"> para apoiar a cooperação científica entre a EFSA e os Estados-Membros foram considerados como já permitindo uma participação significativa dos Estados-Membros no sistema de avaliação dos riscos da UE: mais de 70 % dos respondentes (cidadãos e grupos de partes interessadas) consideraram que todos os instrumentos descritos contribuem em certa ou em grande medida.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Mais de 40 % dos cidadãos discordavam, ou discordavam inteiramente, da afirmação de que os Estados-Membros estão </w:t>
      </w:r>
      <w:r>
        <w:rPr>
          <w:rFonts w:ascii="Times New Roman" w:hAnsi="Times New Roman"/>
          <w:b/>
          <w:noProof/>
          <w:sz w:val="24"/>
        </w:rPr>
        <w:t>suficientemente envolvidos no trabalho da EFSA</w:t>
      </w:r>
      <w:r>
        <w:rPr>
          <w:rFonts w:ascii="Times New Roman" w:hAnsi="Times New Roman"/>
          <w:noProof/>
          <w:sz w:val="24"/>
        </w:rPr>
        <w:t xml:space="preserve">. No grupo das partes interessadas a resposta foi semelhante. Além disso, tanto os cidadãos (75,2 %) como as partes interessadas (79,7 %) concordam ou concordam plenamente que os custos da contribuição científica dos organismos nacionais para as tarefas da EFSA devem ser adequadamente compensados. A maior parte dos respondentes (mais de 75 % tanto no grupo dos cidadãos como das partes interessadas) concordou ou concordou inteiramente que uma maior participação dos Estados-Membros é importante para assegurar que a EFSA pode recorrer a um grande número de peritos dos Estados-Membros. As autoridades dos Estados-Membros salientaram a importância dos incentivos para a promoção da cooperação. Alguns Estados-Membros, as partes interessadas da indústria, as ONG, incluindo associações de consumidores, e o Comité Científico da EFSA sublinharam que a cooperação com os Estados-Membros deve respeitar a independência dos peritos no quadro da sua contribuição para a EFSA e a separação entre a avaliação dos riscos e a gestão dos riscos.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 que respeita à </w:t>
      </w:r>
      <w:r>
        <w:rPr>
          <w:rFonts w:ascii="Times New Roman" w:hAnsi="Times New Roman"/>
          <w:b/>
          <w:noProof/>
          <w:sz w:val="24"/>
        </w:rPr>
        <w:t>representação dos Estados-Membros no Conselho de Administração da EFSA</w:t>
      </w:r>
      <w:r>
        <w:rPr>
          <w:rFonts w:ascii="Times New Roman" w:hAnsi="Times New Roman"/>
          <w:noProof/>
          <w:sz w:val="24"/>
        </w:rPr>
        <w:t xml:space="preserve">, 57,5 % dos cidadãos e 53,6 % das partes interessadas concordaram ou concordaram inteiramente. No entanto, 27,7 % dos cidadãos e 26,1 % das partes interessadas discordaram ou discordaram inteiramente. Alguns cidadãos e partes interessadas (incluindo autoridades dos Estados-Membros) sublinharam a necessidade de separar claramente a avaliação dos riscos e a gestão dos riscos e sugeriram que também fossem representados outros grupos de partes interessadas. As autoridades dos Estados-Membros consideraram também importante definir claramente as funções do Conselho de Administração a fim de evitar sobreposições com o Fórum Consultivo da EFSA.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Elementos como a possibilidade de a EFSA escolher peritos independentes e de alto nível entre um grande número de candidatos, bem como a independência da EFSA em relação aos gestores dos riscos (Comissão e Estados-Membros) e à indústria, foram considerados úteis ou muito úteis por mais de 80 % dos respondentes do grupo dos cidadãos e do grupo das partes interessadas. A possibilidade de escolher peritos independentes e de alto nível entre um grande número de candidatos obteve maior adesão, sendo considera útil ou muito útil por 96,2 % dos cidadãos e 98,7 % das partes interessadas. Evitar divergências científicas entre a UE e os Estados-Membros foi considerado útil ou muito útil por 72,3 % dos respondentes do grupo dos cidadãos e por 79,1 % no grupo das partes interessadas. Mais de 75 % dos respondentes de ambos os grupos consideraram útil ou muito útil evitar a duplicação das avaliações dos riscos a nível da UE e a nível dos Estados-Membros e garantir um nível adequado de recursos para a EFSA.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Algumas autoridades dos Estados-Membros sublinharam a necessidade de garantir um equilíbrio adequado entre as políticas de independência da EFSA e a sua relação com os peritos científicos, bem como a necessidade de considerar a concessão de incentivos, incluindo elementos financeiros e não financeiros, para estimular a contribuição de peritos dos Estados-Membros para o trabalho da EFSA.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eastAsiaTheme="majorEastAsia" w:hAnsi="Times New Roman" w:cs="Times New Roman"/>
          <w:b/>
          <w:bCs/>
          <w:smallCaps/>
          <w:noProof/>
          <w:sz w:val="24"/>
          <w:szCs w:val="24"/>
        </w:rPr>
      </w:pPr>
      <w:r>
        <w:rPr>
          <w:rFonts w:ascii="Times New Roman" w:eastAsiaTheme="majorEastAsia" w:hAnsi="Times New Roman"/>
          <w:b/>
          <w:smallCaps/>
          <w:noProof/>
          <w:sz w:val="24"/>
        </w:rPr>
        <w:t>Conclusões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De um modo geral, os cidadãos e as partes interessadas consideraram importantes os elementos abordados na iniciativa da Comissão para melhorar o sistema da UE de avaliação dos riscos na cadeia alimentar. Chamaram também a atenção para a necessidade de garantir que a proposta da Comissão reforça esses elementos, salvaguardando ao mesmo tempo os princípios em que se baseia o sistema de segurança alimentar da UE.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 contributos recebidos nas diferentes consultas mostraram que </w:t>
      </w:r>
      <w:r>
        <w:rPr>
          <w:rFonts w:ascii="Times New Roman" w:hAnsi="Times New Roman"/>
          <w:b/>
          <w:noProof/>
          <w:sz w:val="24"/>
        </w:rPr>
        <w:t>é necessário ter em conta o seguinte</w:t>
      </w:r>
      <w:r>
        <w:rPr>
          <w:rFonts w:ascii="Times New Roman" w:hAnsi="Times New Roman"/>
          <w:noProof/>
          <w:sz w:val="24"/>
        </w:rPr>
        <w:t xml:space="preserve"> aquando da preparação da proposta da Comissão: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Quanto mais cedo se puder aceder aos estudos da indústria no procedimento de avaliação dos riscos maior será o seu impacto na transparência.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Salvaguardar a confidencialidade e os direitos de propriedade intelectual é fundamental para evitar entraves à inovação e à competitividade.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Deve ficar claro que tipo de informação dos estudos da indústria pode ser invocada como confidencial e os pedidos de confidencialidade devem ser cuidadosamente avaliados.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Necessidade de procedimentos proporcionados de verificação da qualidade dos estudos da indústria no que respeita à conformidade com as normas pertinentes.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Potencial valor do pré-aconselhamento prestado pela EFSA aos requerentes da indústria, sem deixar de respeitar plenamente a independência dos processos científicos.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Aumento da capacidade de financiamento público dos estudos sobre a segurança dos alimentos.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Necessidade de atender aos potenciais impactos negativos que as consultas sobre os estudos apresentados poderão ter no que se refere à duração dos procedimentos de avaliação. Necessidade de assegurar a proteção dos dados confidenciais e dos dados pessoais.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comunicação dos riscos em matéria de segurança dos alimentos pode ser reforçada melhorando a coordenação e assegurando a participação das partes interessadas pertinentes.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Um maior envolvimento das autoridades dos Estados-Membros nas atividades da EFSA deve continuar a garantir a separação entre a avaliação dos riscos e a gestão dos riscos.</w:t>
      </w:r>
    </w:p>
    <w:p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A independência e a excelência científica dos peritos constituem pedras angulares do sistema de avaliação dos riscos da UE.</w:t>
      </w:r>
    </w:p>
    <w:p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 xml:space="preserve">São necessários incentivos adequados para assegurar que a EFSA obtém junto dos Estados-Membros os conhecimentos especializados de que necessita.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35B7A" w16cid:durableId="1E523E69"/>
  <w16cid:commentId w16cid:paraId="66390300" w16cid:durableId="1E523E24"/>
  <w16cid:commentId w16cid:paraId="643A400D" w16cid:durableId="1E523F35"/>
  <w16cid:commentId w16cid:paraId="0C430C46" w16cid:durableId="1E524037"/>
  <w16cid:commentId w16cid:paraId="04DD3C80" w16cid:durableId="1E523E29"/>
  <w16cid:commentId w16cid:paraId="0A137042" w16cid:durableId="1E5241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71686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ascii="Times New Roman" w:hAnsi="Times New Roman"/>
            <w:sz w:val="18"/>
          </w:rPr>
          <w:t>https://ec.europa.eu/food/safety/general_food_law/fitness_check_en</w:t>
        </w:r>
      </w:hyperlink>
      <w:r>
        <w:t xml:space="preserve">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Style w:val="Hyperlink"/>
            <w:rFonts w:ascii="Times New Roman" w:hAnsi="Times New Roman"/>
            <w:sz w:val="18"/>
          </w:rPr>
          <w:t>https://ec.europa.eu/food/sites/food/files/plant/docs/pesticides_glyphosate_eci_final.pdf</w:t>
        </w:r>
      </w:hyperlink>
      <w:r>
        <w:t xml:space="preserve"> </w:t>
      </w:r>
    </w:p>
  </w:footnote>
  <w:footnote w:id="3">
    <w:p>
      <w:pPr>
        <w:pStyle w:val="FootnoteText"/>
        <w:rPr>
          <w:rFonts w:ascii="Times New Roman" w:hAnsi="Times New Roman" w:cs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3">
        <w:r>
          <w:rPr>
            <w:rStyle w:val="Hyperlink"/>
            <w:rFonts w:ascii="Times New Roman" w:hAnsi="Times New Roman"/>
            <w:sz w:val="18"/>
          </w:rPr>
          <w:t>http://ec.europa.eu/info/law/better-regulation/initiatives/ares-2017-6265773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4">
    <w:p>
      <w:pPr>
        <w:pStyle w:val="FootnoteText"/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4">
        <w:r>
          <w:rPr>
            <w:rStyle w:val="Hyperlink"/>
            <w:rFonts w:ascii="Times New Roman" w:hAnsi="Times New Roman"/>
            <w:sz w:val="18"/>
          </w:rPr>
          <w:t>https://ec.europa.eu/info/consultations/public-consultation-transparency-and-sustainability-eu-risk-assessment-food-chain_en</w:t>
        </w:r>
      </w:hyperlink>
      <w:r>
        <w:rPr>
          <w:sz w:val="18"/>
        </w:rPr>
        <w:t xml:space="preserve"> </w:t>
      </w:r>
    </w:p>
  </w:footnote>
  <w:footnote w:id="5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5">
        <w:r>
          <w:rPr>
            <w:rStyle w:val="Hyperlink"/>
            <w:rFonts w:ascii="Times New Roman" w:hAnsi="Times New Roman"/>
            <w:sz w:val="18"/>
          </w:rPr>
          <w:t>https://ec.europa.eu/food/expert-groups/ag-ap/adv-grp_fchaph/wg_2018_en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6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6">
        <w:r>
          <w:rPr>
            <w:rStyle w:val="Hyperlink"/>
            <w:rFonts w:ascii="Times New Roman" w:hAnsi="Times New Roman"/>
            <w:sz w:val="18"/>
          </w:rPr>
          <w:t>https://www.efsa.europa.eu/en/events/event/180206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>
        <w:r>
          <w:rPr>
            <w:rStyle w:val="Hyperlink"/>
            <w:rFonts w:ascii="Times New Roman" w:hAnsi="Times New Roman"/>
            <w:sz w:val="18"/>
          </w:rPr>
          <w:t>https://ec.europa.eu/food/safety/general_food_law/expert_group_en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>
        <w:r>
          <w:rPr>
            <w:rStyle w:val="Hyperlink"/>
            <w:rFonts w:ascii="Times New Roman" w:hAnsi="Times New Roman"/>
            <w:sz w:val="18"/>
          </w:rPr>
          <w:t>https://www.efsa.europa.eu/sites/default/files/event/180214-m.pdf</w:t>
        </w:r>
      </w:hyperlink>
      <w:r>
        <w:rPr>
          <w:rFonts w:ascii="Times New Roman" w:hAnsi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CB6"/>
    <w:multiLevelType w:val="hybridMultilevel"/>
    <w:tmpl w:val="6B98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111A"/>
    <w:multiLevelType w:val="hybridMultilevel"/>
    <w:tmpl w:val="9F0A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1B2"/>
    <w:multiLevelType w:val="hybridMultilevel"/>
    <w:tmpl w:val="57E698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67C69"/>
    <w:multiLevelType w:val="hybridMultilevel"/>
    <w:tmpl w:val="2912FC16"/>
    <w:lvl w:ilvl="0" w:tplc="32FC7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4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C82B4F"/>
    <w:multiLevelType w:val="hybridMultilevel"/>
    <w:tmpl w:val="5B08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2E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DD3D7A"/>
    <w:multiLevelType w:val="hybridMultilevel"/>
    <w:tmpl w:val="6ADE3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6324"/>
    <w:multiLevelType w:val="hybridMultilevel"/>
    <w:tmpl w:val="6D12D0E0"/>
    <w:styleLink w:val="ImportedStyle3"/>
    <w:lvl w:ilvl="0" w:tplc="D22C6944">
      <w:start w:val="1"/>
      <w:numFmt w:val="low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ECC3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DCA1B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120A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D0D5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B26F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2C5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A4A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A63FC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22E3CD8"/>
    <w:multiLevelType w:val="hybridMultilevel"/>
    <w:tmpl w:val="6F7C8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C6FB9"/>
    <w:multiLevelType w:val="hybridMultilevel"/>
    <w:tmpl w:val="B40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627EA"/>
    <w:multiLevelType w:val="hybridMultilevel"/>
    <w:tmpl w:val="DBA27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F7A1F"/>
    <w:multiLevelType w:val="hybridMultilevel"/>
    <w:tmpl w:val="A630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D2E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0434CB"/>
    <w:multiLevelType w:val="hybridMultilevel"/>
    <w:tmpl w:val="1AF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46735"/>
    <w:multiLevelType w:val="hybridMultilevel"/>
    <w:tmpl w:val="B9825D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E82"/>
    <w:multiLevelType w:val="hybridMultilevel"/>
    <w:tmpl w:val="385A2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F620B"/>
    <w:multiLevelType w:val="hybridMultilevel"/>
    <w:tmpl w:val="2764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01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BF1148"/>
    <w:multiLevelType w:val="hybridMultilevel"/>
    <w:tmpl w:val="6D12D0E0"/>
    <w:numStyleLink w:val="ImportedStyle3"/>
  </w:abstractNum>
  <w:num w:numId="1">
    <w:abstractNumId w:val="5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19"/>
  </w:num>
  <w:num w:numId="18">
    <w:abstractNumId w:val="17"/>
  </w:num>
  <w:num w:numId="19">
    <w:abstractNumId w:val="11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LOSINOVA Viera (SANTE)">
    <w15:presenceInfo w15:providerId="None" w15:userId="VOLOSINOVA Viera (SAN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que acompanha o documento"/>
    <w:docVar w:name="LW_CORRIGENDUM" w:val="&lt;UNUSED&gt;"/>
    <w:docVar w:name="LW_COVERPAGE_EXISTS" w:val="True"/>
    <w:docVar w:name="LW_COVERPAGE_GUID" w:val="76CEC414-C779-4193-B3AD-0C0DA310355B"/>
    <w:docVar w:name="LW_COVERPAGE_TYPE" w:val="1"/>
    <w:docVar w:name="LW_CROSSREFERENCE" w:val="{COM(2018) 179 final}"/>
    <w:docVar w:name="LW_DocType" w:val="NORMAL"/>
    <w:docVar w:name="LW_EMISSION" w:val="11.4.2018"/>
    <w:docVar w:name="LW_EMISSION_ISODATE" w:val="2018-04-11"/>
    <w:docVar w:name="LW_EMISSION_LOCATION" w:val="BRX"/>
    <w:docVar w:name="LW_EMISSION_PREFIX" w:val="Bruxelas, "/>
    <w:docVar w:name="LW_EMISSION_SUFFIX" w:val="&lt;EMPTY&gt;"/>
    <w:docVar w:name="LW_ID_DOCTYPE_NONLW" w:val="CP-025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relativo à transparência e sustentabilidade do sistema da UE para a avaliação dos riscos na cadeia alimentar, que altera o Regulamento (CE) n.º 178/2002 [relativo à legislação alimentar geral,] a Diretiva 2001/18/CE [relativa à libertação deliberada no ambiente de OGM], o Regulamento (CE) n.º 1829/2003 [relativo aos géneros alimentícios e alimentos para animais GM], o Regulamento (CE) n.º 1831/2003 [relativo aos aditivos na alimentação animal], o Regulamento (CE) n.º 2065/2003 [relativo aos aromatizantes de fumo], o Regulamento (CE) n.º 1935/2004 [relativo aos materiais em contacto com géneros alimentícios], o Regulamento (CE) n.º 1331/2008 [relativo ao procedimento de autorização comum aplicável a aditivos alimentares, enzimas alimentares e aromas alimentares], o Regulamento (CE) n.º 1107/2009 [relativo aos produtos fitofarmacêuticos] e o Regulamento (UE) 2015/2283 [relativo a novos alimentos]"/>
    <w:docVar w:name="LW_PART_NBR" w:val="1"/>
    <w:docVar w:name="LW_PART_NBR_TOTAL" w:val="1"/>
    <w:docVar w:name="LW_REF.INST.NEW" w:val="SWD"/>
    <w:docVar w:name="LW_REF.INST.NEW_ADOPTED" w:val="final"/>
    <w:docVar w:name="LW_REF.INST.NEW_TEXT" w:val="(2018) 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Relatório de síntese"/>
    <w:docVar w:name="LW_TYPE.DOC.CP" w:val="DOCUMENTO DE TRABALHO DOS SERVIÇOS DA COMISSÃO"/>
    <w:docVar w:name="LW_TYPEACTEPRINCIPAL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M4">
    <w:name w:val="CM4"/>
    <w:next w:val="Normal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3">
    <w:name w:val="Imported Style 3"/>
    <w:pPr>
      <w:numPr>
        <w:numId w:val="16"/>
      </w:numPr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Theme="majorEastAsia" w:hAnsi="Times New Roman" w:cs="Times New Roman"/>
      <w:b w:val="0"/>
      <w:bCs w:val="0"/>
      <w:sz w:val="24"/>
      <w:szCs w:val="28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Theme="majorEastAsia" w:hAnsi="Times New Roman" w:cs="Times New Roman"/>
      <w:b/>
      <w:bCs w:val="0"/>
      <w:sz w:val="32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Theme="majorEastAsia" w:hAnsi="Times New Roman" w:cs="Times New Roman"/>
      <w:b w:val="0"/>
      <w:bCs w:val="0"/>
      <w:sz w:val="24"/>
      <w:szCs w:val="28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Theme="majorEastAsia" w:hAnsi="Times New Roman" w:cs="Times New Roman"/>
      <w:b/>
      <w:bCs w:val="0"/>
      <w:sz w:val="32"/>
      <w:szCs w:val="28"/>
    </w:rPr>
  </w:style>
  <w:style w:type="paragraph" w:customStyle="1" w:styleId="Tex">
    <w:name w:val="Tex"/>
    <w:basedOn w:val="Normal"/>
    <w:pPr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M4">
    <w:name w:val="CM4"/>
    <w:next w:val="Normal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3">
    <w:name w:val="Imported Style 3"/>
    <w:pPr>
      <w:numPr>
        <w:numId w:val="16"/>
      </w:numPr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Theme="majorEastAsia" w:hAnsi="Times New Roman" w:cs="Times New Roman"/>
      <w:b w:val="0"/>
      <w:bCs w:val="0"/>
      <w:sz w:val="24"/>
      <w:szCs w:val="28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Theme="majorEastAsia" w:hAnsi="Times New Roman" w:cs="Times New Roman"/>
      <w:b/>
      <w:bCs w:val="0"/>
      <w:sz w:val="32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Theme="majorEastAsia" w:hAnsi="Times New Roman" w:cs="Times New Roman"/>
      <w:b w:val="0"/>
      <w:bCs w:val="0"/>
      <w:sz w:val="24"/>
      <w:szCs w:val="28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Theme="majorEastAsia" w:hAnsi="Times New Roman" w:cs="Times New Roman"/>
      <w:b/>
      <w:bCs w:val="0"/>
      <w:sz w:val="32"/>
      <w:szCs w:val="28"/>
    </w:rPr>
  </w:style>
  <w:style w:type="paragraph" w:customStyle="1" w:styleId="Tex">
    <w:name w:val="Tex"/>
    <w:basedOn w:val="Normal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a.europa.eu/sites/default/files/event/180214-m.pdf" TargetMode="External"/><Relationship Id="rId3" Type="http://schemas.openxmlformats.org/officeDocument/2006/relationships/hyperlink" Target="http://ec.europa.eu/info/law/better-regulation/initiatives/ares-2017-6265773" TargetMode="External"/><Relationship Id="rId7" Type="http://schemas.openxmlformats.org/officeDocument/2006/relationships/hyperlink" Target="https://ec.europa.eu/food/safety/general_food_law/expert_group_en" TargetMode="External"/><Relationship Id="rId2" Type="http://schemas.openxmlformats.org/officeDocument/2006/relationships/hyperlink" Target="https://ec.europa.eu/food/sites/food/files/plant/docs/pesticides_glyphosate_eci_final.pdf" TargetMode="External"/><Relationship Id="rId1" Type="http://schemas.openxmlformats.org/officeDocument/2006/relationships/hyperlink" Target="https://ec.europa.eu/food/safety/general_food_law/fitness_check_en" TargetMode="External"/><Relationship Id="rId6" Type="http://schemas.openxmlformats.org/officeDocument/2006/relationships/hyperlink" Target="https://www.efsa.europa.eu/en/events/event/180206" TargetMode="External"/><Relationship Id="rId5" Type="http://schemas.openxmlformats.org/officeDocument/2006/relationships/hyperlink" Target="https://ec.europa.eu/food/expert-groups/ag-ap/adv-grp_fchaph/wg_2018_en" TargetMode="External"/><Relationship Id="rId4" Type="http://schemas.openxmlformats.org/officeDocument/2006/relationships/hyperlink" Target="https://ec.europa.eu/info/consultations/public-consultation-transparency-and-sustainability-eu-risk-assessment-food-chai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DE39-1F88-4292-B03E-17B9D1D3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3026</Words>
  <Characters>17133</Characters>
  <Application>Microsoft Office Word</Application>
  <DocSecurity>0</DocSecurity>
  <Lines>263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SANTE/2216/2017-EN SWD</vt:lpstr>
    </vt:vector>
  </TitlesOfParts>
  <Manager/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SANTE/2216/2017-EN SWD</dc:title>
  <dc:subject>synopsis report</dc:subject>
  <dc:creator/>
  <cp:keywords>2216</cp:keywords>
  <dc:description>Outlook 27,3,2018</dc:description>
  <cp:lastModifiedBy>DIGIT/A3</cp:lastModifiedBy>
  <cp:revision>18</cp:revision>
  <cp:lastPrinted>2018-04-04T13:20:00Z</cp:lastPrinted>
  <dcterms:created xsi:type="dcterms:W3CDTF">2018-04-10T15:56:00Z</dcterms:created>
  <dcterms:modified xsi:type="dcterms:W3CDTF">2018-04-28T09:21:00Z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