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274B6982-744D-4C88-B4AB-A06320E320E9" style="width:450.75pt;height:471.75pt">
            <v:imagedata r:id="rId7" o:title=""/>
          </v:shape>
        </w:pict>
      </w:r>
    </w:p>
    <w:bookmarkEnd w:id="0"/>
    <w:p>
      <w:pPr>
        <w:rPr>
          <w:noProof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tbl>
      <w:tblPr>
        <w:tblStyle w:val="TableGrid"/>
        <w:tblW w:w="5000" w:type="pct"/>
        <w:shd w:val="clear" w:color="auto" w:fill="BFBFBF" w:themeFill="background1" w:themeFillShade="B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28"/>
      </w:tblGrid>
      <w:tr>
        <w:trPr>
          <w:cantSplit/>
        </w:trPr>
        <w:tc>
          <w:tcPr>
            <w:tcW w:w="91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pStyle w:val="Default"/>
              <w:spacing w:before="60" w:after="60"/>
              <w:jc w:val="center"/>
              <w:rPr>
                <w:noProof/>
                <w:sz w:val="23"/>
                <w:szCs w:val="23"/>
              </w:rPr>
            </w:pPr>
            <w:bookmarkStart w:id="1" w:name="_GoBack"/>
            <w:bookmarkEnd w:id="1"/>
            <w:r>
              <w:rPr>
                <w:b/>
                <w:noProof/>
                <w:sz w:val="23"/>
              </w:rPr>
              <w:lastRenderedPageBreak/>
              <w:t xml:space="preserve">Sažetak </w:t>
            </w:r>
          </w:p>
        </w:tc>
      </w:tr>
      <w:tr>
        <w:trPr>
          <w:cantSplit/>
        </w:trPr>
        <w:tc>
          <w:tcPr>
            <w:tcW w:w="9128" w:type="dxa"/>
            <w:shd w:val="clear" w:color="auto" w:fill="8DB3E2" w:themeFill="text2" w:themeFillTint="66"/>
          </w:tcPr>
          <w:p>
            <w:pPr>
              <w:spacing w:before="60" w:after="6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Procjena učinka Inicijative za poboljšanje lanca opskrbe hranom – nepoštene trgovačke prakse </w:t>
            </w:r>
          </w:p>
        </w:tc>
      </w:tr>
      <w:tr>
        <w:trPr>
          <w:cantSplit/>
        </w:trPr>
        <w:tc>
          <w:tcPr>
            <w:tcW w:w="91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pStyle w:val="Default"/>
              <w:spacing w:before="60" w:after="60"/>
              <w:jc w:val="both"/>
              <w:rPr>
                <w:noProof/>
                <w:sz w:val="23"/>
                <w:szCs w:val="23"/>
              </w:rPr>
            </w:pPr>
            <w:r>
              <w:rPr>
                <w:b/>
                <w:noProof/>
                <w:sz w:val="23"/>
              </w:rPr>
              <w:t xml:space="preserve">A. Potreba za djelovanjem </w:t>
            </w:r>
          </w:p>
        </w:tc>
      </w:tr>
      <w:tr>
        <w:trPr>
          <w:cantSplit/>
        </w:trPr>
        <w:tc>
          <w:tcPr>
            <w:tcW w:w="91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>
            <w:pPr>
              <w:pStyle w:val="Default"/>
              <w:keepNext/>
              <w:spacing w:before="60" w:after="60"/>
              <w:jc w:val="both"/>
              <w:rPr>
                <w:noProof/>
                <w:sz w:val="23"/>
                <w:szCs w:val="23"/>
              </w:rPr>
            </w:pPr>
            <w:r>
              <w:rPr>
                <w:b/>
                <w:noProof/>
                <w:sz w:val="23"/>
              </w:rPr>
              <w:t xml:space="preserve">O kakvu je problemu riječ i zašto je to problem na razini EU-a? </w:t>
            </w:r>
          </w:p>
        </w:tc>
      </w:tr>
      <w:tr>
        <w:trPr>
          <w:cantSplit/>
        </w:trPr>
        <w:tc>
          <w:tcPr>
            <w:tcW w:w="9128" w:type="dxa"/>
            <w:shd w:val="clear" w:color="auto" w:fill="FFFFFF" w:themeFill="background1"/>
          </w:tcPr>
          <w:p>
            <w:pPr>
              <w:spacing w:before="40" w:after="4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Pregovaračka moć subjekata u lancu opskrbe hranom razlikuje se, a slabije strane (npr. poljoprivrednici) žrtve su nepoštenih trgovačkih praksi. Nacionalni programi za nepoštene trgovačke prakse razlikuju se i nema znatnije koordinacije među državama članicama. Zbog toga su subjekti u određenim državama članicama nedovoljno zaštićeni, u državama članicama primjenjuju se različiti uvjeti poslovanja te dolazi do nesigurnosti u prekograničnoj trgovini. </w:t>
            </w:r>
          </w:p>
        </w:tc>
      </w:tr>
      <w:tr>
        <w:trPr>
          <w:cantSplit/>
        </w:trPr>
        <w:tc>
          <w:tcPr>
            <w:tcW w:w="91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>
            <w:pPr>
              <w:pStyle w:val="Default"/>
              <w:keepNext/>
              <w:spacing w:before="60" w:after="60"/>
              <w:jc w:val="both"/>
              <w:rPr>
                <w:noProof/>
                <w:sz w:val="23"/>
                <w:szCs w:val="23"/>
              </w:rPr>
            </w:pPr>
            <w:r>
              <w:rPr>
                <w:b/>
                <w:noProof/>
                <w:sz w:val="23"/>
              </w:rPr>
              <w:t xml:space="preserve">Što bi trebalo postići? </w:t>
            </w:r>
          </w:p>
        </w:tc>
      </w:tr>
      <w:tr>
        <w:trPr>
          <w:cantSplit/>
        </w:trPr>
        <w:tc>
          <w:tcPr>
            <w:tcW w:w="9128" w:type="dxa"/>
            <w:shd w:val="clear" w:color="auto" w:fill="FFFFFF" w:themeFill="background1"/>
          </w:tcPr>
          <w:p>
            <w:pPr>
              <w:spacing w:before="40" w:after="40"/>
              <w:jc w:val="both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>
              <w:rPr>
                <w:rFonts w:ascii="Times New Roman" w:hAnsi="Times New Roman"/>
                <w:noProof/>
              </w:rPr>
              <w:t xml:space="preserve">Poduzimanjem mjera u pogledu nepoštenih trgovačkih praksi pridonosi se stvaranju jednakih uvjeta na tržištu i omogućuje djelotvorna zaštita za subjekte suočene s nepoštenim trgovačkim praksama. To pridonosi ciljevima ZPP-a za primjeren životni standard osoba koje se bave poljoprivredom, većoj otpornosti slabijih subjekata te boljem funkcioniranju lanca opskrbe hranom. </w:t>
            </w:r>
          </w:p>
        </w:tc>
      </w:tr>
      <w:tr>
        <w:trPr>
          <w:cantSplit/>
        </w:trPr>
        <w:tc>
          <w:tcPr>
            <w:tcW w:w="91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>
            <w:pPr>
              <w:pStyle w:val="Default"/>
              <w:keepNext/>
              <w:spacing w:before="60" w:after="60"/>
              <w:jc w:val="both"/>
              <w:rPr>
                <w:noProof/>
                <w:sz w:val="23"/>
                <w:szCs w:val="23"/>
              </w:rPr>
            </w:pPr>
            <w:r>
              <w:rPr>
                <w:b/>
                <w:noProof/>
                <w:sz w:val="23"/>
              </w:rPr>
              <w:t xml:space="preserve">Koja je dodana vrijednost djelovanja na razini EU-a (supsidijarnost)? </w:t>
            </w:r>
          </w:p>
        </w:tc>
      </w:tr>
      <w:tr>
        <w:trPr>
          <w:cantSplit/>
        </w:trPr>
        <w:tc>
          <w:tcPr>
            <w:tcW w:w="9128" w:type="dxa"/>
            <w:shd w:val="clear" w:color="auto" w:fill="FFFFFF" w:themeFill="background1"/>
          </w:tcPr>
          <w:p>
            <w:pPr>
              <w:spacing w:before="40" w:after="40"/>
              <w:jc w:val="both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>
              <w:rPr>
                <w:rFonts w:ascii="Times New Roman" w:hAnsi="Times New Roman"/>
                <w:noProof/>
              </w:rPr>
              <w:t xml:space="preserve">Djelovanje na razini EU-a osigurava minimalni zajednički okvir, unaprjeđuje zaštitu od nepoštenih trgovačkih praksi i smanjuje negativne posljedice za lanac opskrbe hranom. Pridonosi i primjerenom životnom standardu poljoprivrednog stanovništva (članak 39. UFEU-a) te koordinaciji i razmjeni najboljih praksi među državama članicama, što bi bez djelovanja na razini EU-a bilo teško postići. </w:t>
            </w:r>
          </w:p>
        </w:tc>
      </w:tr>
      <w:tr>
        <w:trPr>
          <w:cantSplit/>
        </w:trPr>
        <w:tc>
          <w:tcPr>
            <w:tcW w:w="9128" w:type="dxa"/>
            <w:shd w:val="clear" w:color="auto" w:fill="BFBFBF" w:themeFill="background1" w:themeFillShade="BF"/>
          </w:tcPr>
          <w:p>
            <w:pPr>
              <w:pStyle w:val="Default"/>
              <w:keepNext/>
              <w:spacing w:before="60" w:after="60"/>
              <w:jc w:val="both"/>
              <w:rPr>
                <w:noProof/>
                <w:sz w:val="23"/>
                <w:szCs w:val="23"/>
              </w:rPr>
            </w:pPr>
            <w:r>
              <w:rPr>
                <w:b/>
                <w:noProof/>
                <w:sz w:val="23"/>
              </w:rPr>
              <w:t xml:space="preserve">B. Rješenja </w:t>
            </w:r>
          </w:p>
        </w:tc>
      </w:tr>
      <w:tr>
        <w:trPr>
          <w:cantSplit/>
        </w:trPr>
        <w:tc>
          <w:tcPr>
            <w:tcW w:w="91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>
            <w:pPr>
              <w:pStyle w:val="Default"/>
              <w:keepNext/>
              <w:spacing w:before="60" w:after="60"/>
              <w:jc w:val="both"/>
              <w:rPr>
                <w:noProof/>
                <w:sz w:val="23"/>
                <w:szCs w:val="23"/>
              </w:rPr>
            </w:pPr>
            <w:r>
              <w:rPr>
                <w:b/>
                <w:noProof/>
                <w:sz w:val="23"/>
              </w:rPr>
              <w:t xml:space="preserve">Kojim se različitim opcijama mogu ostvariti ciljevi? Daje li se prednost određenoj opciji? </w:t>
            </w:r>
          </w:p>
        </w:tc>
      </w:tr>
      <w:tr>
        <w:trPr>
          <w:cantSplit/>
        </w:trPr>
        <w:tc>
          <w:tcPr>
            <w:tcW w:w="9128" w:type="dxa"/>
            <w:shd w:val="clear" w:color="auto" w:fill="FFFFFF" w:themeFill="background1"/>
          </w:tcPr>
          <w:p>
            <w:pPr>
              <w:spacing w:before="40" w:after="4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Opcije su razvrstane po stupnju usklađenosti, području primjene zabrana nepoštenih trgovačkih praksi, obuhvaćenim proizvodima, obuhvaćenim subjektima, provedbi te koordinaciji u državi članici. Opcija kojoj se daje prednost uključuje djelomičnu usklađenost pravila o nepoštenim trgovačkim praksama, obuhvaćanje poljoprivrednih i prerađenih proizvoda, zaštitu MSP-ova, minimalne zahtjeve za provedbu te mehanizam za provedbu na razini EU-a.</w:t>
            </w:r>
          </w:p>
        </w:tc>
      </w:tr>
      <w:tr>
        <w:trPr>
          <w:cantSplit/>
        </w:trPr>
        <w:tc>
          <w:tcPr>
            <w:tcW w:w="91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>
            <w:pPr>
              <w:pStyle w:val="Default"/>
              <w:keepNext/>
              <w:spacing w:before="60" w:after="60"/>
              <w:jc w:val="both"/>
              <w:rPr>
                <w:noProof/>
                <w:sz w:val="23"/>
                <w:szCs w:val="23"/>
              </w:rPr>
            </w:pPr>
            <w:r>
              <w:rPr>
                <w:b/>
                <w:noProof/>
                <w:sz w:val="23"/>
              </w:rPr>
              <w:t xml:space="preserve">Koja su stajališta različitih dionika? Tko podržava koju opciju? </w:t>
            </w:r>
          </w:p>
        </w:tc>
      </w:tr>
      <w:tr>
        <w:trPr>
          <w:cantSplit/>
        </w:trPr>
        <w:tc>
          <w:tcPr>
            <w:tcW w:w="9128" w:type="dxa"/>
            <w:shd w:val="clear" w:color="auto" w:fill="FFFFFF" w:themeFill="background1"/>
          </w:tcPr>
          <w:p>
            <w:pPr>
              <w:spacing w:before="40" w:after="4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Većina dionika koji su se odazvali na otvoreno javno savjetovanje snažno podržava djelovanje na razini EU-a, uključujući kad je riječ o provedbi. (Veliki) trgovci na malo ne slažu se s tvrdnjom o učestalim nepoštenim trgovačkim praksama i protive se mjerama EU-a. </w:t>
            </w:r>
          </w:p>
        </w:tc>
      </w:tr>
      <w:tr>
        <w:trPr>
          <w:cantSplit/>
        </w:trPr>
        <w:tc>
          <w:tcPr>
            <w:tcW w:w="9128" w:type="dxa"/>
            <w:shd w:val="clear" w:color="auto" w:fill="BFBFBF" w:themeFill="background1" w:themeFillShade="BF"/>
          </w:tcPr>
          <w:p>
            <w:pPr>
              <w:pStyle w:val="Default"/>
              <w:keepNext/>
              <w:spacing w:before="60" w:after="60"/>
              <w:jc w:val="both"/>
              <w:rPr>
                <w:noProof/>
                <w:sz w:val="23"/>
                <w:szCs w:val="23"/>
              </w:rPr>
            </w:pPr>
            <w:r>
              <w:rPr>
                <w:b/>
                <w:noProof/>
                <w:sz w:val="23"/>
              </w:rPr>
              <w:t xml:space="preserve">C. Učinci opcije kojoj se daje prednost </w:t>
            </w:r>
          </w:p>
        </w:tc>
      </w:tr>
      <w:tr>
        <w:trPr>
          <w:cantSplit/>
        </w:trPr>
        <w:tc>
          <w:tcPr>
            <w:tcW w:w="91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>
            <w:pPr>
              <w:pStyle w:val="Default"/>
              <w:keepNext/>
              <w:spacing w:before="60" w:after="60"/>
              <w:jc w:val="both"/>
              <w:rPr>
                <w:noProof/>
                <w:sz w:val="23"/>
                <w:szCs w:val="23"/>
              </w:rPr>
            </w:pPr>
            <w:r>
              <w:rPr>
                <w:b/>
                <w:noProof/>
                <w:sz w:val="23"/>
              </w:rPr>
              <w:t xml:space="preserve">Koje su prednosti opcije kojoj se daje prednost (odnosno glavnih opcija ako se ne daje prednost jednoj opciji)? </w:t>
            </w:r>
          </w:p>
        </w:tc>
      </w:tr>
      <w:tr>
        <w:trPr>
          <w:cantSplit/>
        </w:trPr>
        <w:tc>
          <w:tcPr>
            <w:tcW w:w="9128" w:type="dxa"/>
            <w:shd w:val="clear" w:color="auto" w:fill="FFFFFF" w:themeFill="background1"/>
          </w:tcPr>
          <w:p>
            <w:pPr>
              <w:spacing w:before="40" w:after="4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Mali subjekti ostvaruju prednost od zaštite koju pruža zakonodavstvo o nepoštenim trgovačkim praksama, čime se povećava njihova učinkovitost. Posljedica tih prednosti trebali bi biti pozitivni socijalni i ekonomski učinci u društvu. </w:t>
            </w:r>
          </w:p>
        </w:tc>
      </w:tr>
      <w:tr>
        <w:trPr>
          <w:cantSplit/>
        </w:trPr>
        <w:tc>
          <w:tcPr>
            <w:tcW w:w="91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>
            <w:pPr>
              <w:pStyle w:val="Default"/>
              <w:keepNext/>
              <w:spacing w:before="60" w:after="60"/>
              <w:jc w:val="both"/>
              <w:rPr>
                <w:noProof/>
                <w:sz w:val="23"/>
                <w:szCs w:val="23"/>
              </w:rPr>
            </w:pPr>
            <w:r>
              <w:rPr>
                <w:b/>
                <w:noProof/>
                <w:sz w:val="23"/>
              </w:rPr>
              <w:t xml:space="preserve">Koji su troškovi opcije kojoj se daje prednost (odnosno glavnih opcija ako se ne daje prednost jednoj opciji)? </w:t>
            </w:r>
          </w:p>
        </w:tc>
      </w:tr>
      <w:tr>
        <w:trPr>
          <w:cantSplit/>
        </w:trPr>
        <w:tc>
          <w:tcPr>
            <w:tcW w:w="9128" w:type="dxa"/>
            <w:shd w:val="clear" w:color="auto" w:fill="FFFFFF" w:themeFill="background1"/>
          </w:tcPr>
          <w:p>
            <w:pPr>
              <w:spacing w:before="40" w:after="4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Troškovi društava koji se odnose na usklađivanje ne bi trebali biti znatni. Očekuju se neutralni ili čak pozitivni utjecaji na društvo i okoliš, a mogli bi nastati troškovi za nacionalne uprave (vidjeti u nastavku).</w:t>
            </w:r>
          </w:p>
        </w:tc>
      </w:tr>
      <w:tr>
        <w:trPr>
          <w:cantSplit/>
        </w:trPr>
        <w:tc>
          <w:tcPr>
            <w:tcW w:w="91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>
            <w:pPr>
              <w:pStyle w:val="Default"/>
              <w:keepNext/>
              <w:spacing w:before="60" w:after="60"/>
              <w:jc w:val="both"/>
              <w:rPr>
                <w:b/>
                <w:noProof/>
                <w:sz w:val="23"/>
                <w:szCs w:val="23"/>
              </w:rPr>
            </w:pPr>
            <w:r>
              <w:rPr>
                <w:b/>
                <w:noProof/>
                <w:sz w:val="23"/>
              </w:rPr>
              <w:t>Kakvi su učinci na MSP-ove i konkurentnost?</w:t>
            </w:r>
          </w:p>
        </w:tc>
      </w:tr>
      <w:tr>
        <w:trPr>
          <w:cantSplit/>
        </w:trPr>
        <w:tc>
          <w:tcPr>
            <w:tcW w:w="9128" w:type="dxa"/>
            <w:shd w:val="clear" w:color="auto" w:fill="FFFFFF" w:themeFill="background1"/>
          </w:tcPr>
          <w:p>
            <w:pPr>
              <w:spacing w:before="40" w:after="4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MSP-ovi bi bili bolje zaštićeni i očekuje se općenito povećanje konkurentnosti. </w:t>
            </w:r>
          </w:p>
        </w:tc>
      </w:tr>
      <w:tr>
        <w:trPr>
          <w:cantSplit/>
        </w:trPr>
        <w:tc>
          <w:tcPr>
            <w:tcW w:w="91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>
            <w:pPr>
              <w:pStyle w:val="Default"/>
              <w:keepNext/>
              <w:spacing w:before="60" w:after="60"/>
              <w:jc w:val="both"/>
              <w:rPr>
                <w:noProof/>
                <w:sz w:val="23"/>
                <w:szCs w:val="23"/>
              </w:rPr>
            </w:pPr>
            <w:r>
              <w:rPr>
                <w:b/>
                <w:noProof/>
                <w:sz w:val="23"/>
              </w:rPr>
              <w:t xml:space="preserve">Hoće li to znatno utjecati na nacionalne proračune i uprave? </w:t>
            </w:r>
          </w:p>
        </w:tc>
      </w:tr>
      <w:tr>
        <w:trPr>
          <w:cantSplit/>
        </w:trPr>
        <w:tc>
          <w:tcPr>
            <w:tcW w:w="9128" w:type="dxa"/>
            <w:shd w:val="clear" w:color="auto" w:fill="FFFFFF" w:themeFill="background1"/>
          </w:tcPr>
          <w:p>
            <w:pPr>
              <w:spacing w:before="40" w:after="40"/>
              <w:jc w:val="both"/>
              <w:rPr>
                <w:rFonts w:ascii="Times New Roman" w:hAnsi="Times New Roman" w:cs="Times New Roman"/>
                <w:noProof/>
                <w:highlight w:val="yellow"/>
              </w:rPr>
            </w:pPr>
            <w:r>
              <w:rPr>
                <w:rFonts w:ascii="Times New Roman" w:hAnsi="Times New Roman"/>
                <w:noProof/>
              </w:rPr>
              <w:t>Većina je država članica već uspostavila neki oblik pravila o nepoštenim trgovačkim praksama te će njihovi administrativni troškovi biti ograničeni. Druge će države članice snositi nešto više troškove, ali iskustvo država članica koje imaju zakonodavstvo o nepoštenim trgovačkim praksama pokazuje da su troškovi provedbe uglavnom niski i da ih postojeće strukture mogu podnijeti.</w:t>
            </w:r>
          </w:p>
        </w:tc>
      </w:tr>
      <w:tr>
        <w:trPr>
          <w:cantSplit/>
        </w:trPr>
        <w:tc>
          <w:tcPr>
            <w:tcW w:w="91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>
            <w:pPr>
              <w:pStyle w:val="Default"/>
              <w:keepNext/>
              <w:spacing w:before="60" w:after="60"/>
              <w:jc w:val="both"/>
              <w:rPr>
                <w:noProof/>
                <w:sz w:val="23"/>
                <w:szCs w:val="23"/>
              </w:rPr>
            </w:pPr>
            <w:r>
              <w:rPr>
                <w:b/>
                <w:noProof/>
                <w:sz w:val="23"/>
              </w:rPr>
              <w:t xml:space="preserve">Hoće li biti drugih bitnih učinaka? </w:t>
            </w:r>
          </w:p>
        </w:tc>
      </w:tr>
      <w:tr>
        <w:trPr>
          <w:cantSplit/>
        </w:trPr>
        <w:tc>
          <w:tcPr>
            <w:tcW w:w="9128" w:type="dxa"/>
            <w:shd w:val="clear" w:color="auto" w:fill="FFFFFF" w:themeFill="background1"/>
          </w:tcPr>
          <w:p>
            <w:pPr>
              <w:spacing w:before="40" w:after="40"/>
              <w:jc w:val="both"/>
              <w:rPr>
                <w:rFonts w:ascii="Times New Roman" w:hAnsi="Times New Roman" w:cs="Times New Roman"/>
                <w:noProof/>
                <w:highlight w:val="yellow"/>
              </w:rPr>
            </w:pPr>
            <w:r>
              <w:rPr>
                <w:rFonts w:ascii="Times New Roman" w:hAnsi="Times New Roman"/>
                <w:noProof/>
              </w:rPr>
              <w:t xml:space="preserve">Obuhvatit će se i dobavljači iz trećih zemalja. </w:t>
            </w:r>
          </w:p>
        </w:tc>
      </w:tr>
      <w:tr>
        <w:trPr>
          <w:cantSplit/>
        </w:trPr>
        <w:tc>
          <w:tcPr>
            <w:tcW w:w="91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>
            <w:pPr>
              <w:pStyle w:val="Default"/>
              <w:keepNext/>
              <w:spacing w:before="60" w:after="60"/>
              <w:jc w:val="both"/>
              <w:rPr>
                <w:noProof/>
                <w:sz w:val="23"/>
                <w:szCs w:val="23"/>
              </w:rPr>
            </w:pPr>
            <w:r>
              <w:rPr>
                <w:b/>
                <w:noProof/>
                <w:sz w:val="23"/>
              </w:rPr>
              <w:t xml:space="preserve">Proporcionalnost? </w:t>
            </w:r>
          </w:p>
        </w:tc>
      </w:tr>
      <w:tr>
        <w:trPr>
          <w:cantSplit/>
        </w:trPr>
        <w:tc>
          <w:tcPr>
            <w:tcW w:w="9128" w:type="dxa"/>
            <w:shd w:val="clear" w:color="auto" w:fill="FFFFFF" w:themeFill="background1"/>
          </w:tcPr>
          <w:p>
            <w:pPr>
              <w:spacing w:before="40" w:after="4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Obuhvaćeni su samo MSP-ovi, nepoštene trgovačke prakse koje uzrokuju najviše štete i područja u kojima države članice ne mogu same postići ciljeve. Očekuju se samo minimalni troškovi. Države članice mogu zadržati svoje programe i donositi zakonodavne akte izvan područja primjene politike. </w:t>
            </w:r>
          </w:p>
        </w:tc>
      </w:tr>
      <w:tr>
        <w:trPr>
          <w:cantSplit/>
        </w:trPr>
        <w:tc>
          <w:tcPr>
            <w:tcW w:w="9128" w:type="dxa"/>
            <w:shd w:val="clear" w:color="auto" w:fill="BFBFBF" w:themeFill="background1" w:themeFillShade="BF"/>
          </w:tcPr>
          <w:p>
            <w:pPr>
              <w:pStyle w:val="Default"/>
              <w:keepNext/>
              <w:spacing w:before="60" w:after="60"/>
              <w:jc w:val="both"/>
              <w:rPr>
                <w:noProof/>
              </w:rPr>
            </w:pPr>
            <w:r>
              <w:rPr>
                <w:b/>
                <w:noProof/>
                <w:sz w:val="23"/>
              </w:rPr>
              <w:t xml:space="preserve">D. Daljnje mjere </w:t>
            </w:r>
          </w:p>
        </w:tc>
      </w:tr>
      <w:tr>
        <w:trPr>
          <w:cantSplit/>
        </w:trPr>
        <w:tc>
          <w:tcPr>
            <w:tcW w:w="91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>
            <w:pPr>
              <w:pStyle w:val="Default"/>
              <w:keepNext/>
              <w:spacing w:before="60" w:after="60"/>
              <w:jc w:val="both"/>
              <w:rPr>
                <w:noProof/>
                <w:sz w:val="23"/>
                <w:szCs w:val="23"/>
              </w:rPr>
            </w:pPr>
            <w:r>
              <w:rPr>
                <w:b/>
                <w:noProof/>
                <w:sz w:val="23"/>
              </w:rPr>
              <w:t>Kada će se politika preispitati?</w:t>
            </w:r>
          </w:p>
        </w:tc>
      </w:tr>
      <w:tr>
        <w:trPr>
          <w:cantSplit/>
        </w:trPr>
        <w:tc>
          <w:tcPr>
            <w:tcW w:w="9128" w:type="dxa"/>
            <w:shd w:val="clear" w:color="auto" w:fill="FFFFFF" w:themeFill="background1"/>
          </w:tcPr>
          <w:p>
            <w:pPr>
              <w:spacing w:before="40" w:after="4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Politiku će na temelju izvješća država članica na godišnjoj osnovi pratiti </w:t>
            </w:r>
            <w:r>
              <w:rPr>
                <w:rFonts w:ascii="Times New Roman" w:hAnsi="Times New Roman"/>
                <w:i/>
                <w:noProof/>
              </w:rPr>
              <w:t>ad hoc</w:t>
            </w:r>
            <w:r>
              <w:rPr>
                <w:rFonts w:ascii="Times New Roman" w:hAnsi="Times New Roman"/>
                <w:noProof/>
              </w:rPr>
              <w:t xml:space="preserve"> stručna skupina. Sveobuhvatno preispitivanje provest će se nakon četiri godine. </w:t>
            </w:r>
          </w:p>
        </w:tc>
      </w:tr>
    </w:tbl>
    <w:p>
      <w:pPr>
        <w:rPr>
          <w:noProof/>
        </w:rPr>
      </w:pPr>
    </w:p>
    <w:sectPr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0039503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prilo\u382?en dokumentu"/>
    <w:docVar w:name="LW_CORRIGENDUM" w:val="&lt;UNUSED&gt;"/>
    <w:docVar w:name="LW_COVERPAGE_EXISTS" w:val="True"/>
    <w:docVar w:name="LW_COVERPAGE_GUID" w:val="274B6982-744D-4C88-B4AB-A06320E320E9"/>
    <w:docVar w:name="LW_COVERPAGE_TYPE" w:val="1"/>
    <w:docVar w:name="LW_CROSSREFERENCE" w:val="{COM(2018) 173 final}_x000b_{SWD(2018) 91 final}_x000b_{SWD(2018) 92 final}"/>
    <w:docVar w:name="LW_DocType" w:val="NORMAL"/>
    <w:docVar w:name="LW_EMISSION" w:val="12.4.2018."/>
    <w:docVar w:name="LW_EMISSION_ISODATE" w:val="2018-04-12"/>
    <w:docVar w:name="LW_EMISSION_LOCATION" w:val="BRX"/>
    <w:docVar w:name="LW_EMISSION_PREFIX" w:val="Bruxelles, "/>
    <w:docVar w:name="LW_EMISSION_SUFFIX" w:val="&lt;EMPTY&gt;"/>
    <w:docVar w:name="LW_ID_DOCTYPE_NONLW" w:val="CP-027"/>
    <w:docVar w:name="LW_LANGUE" w:val="HR"/>
    <w:docVar w:name="LW_LEVEL_OF_SENSITIVITY" w:val="Standard treatment"/>
    <w:docVar w:name="LW_NOM.INST" w:val="EUROPSKA KOMISIJA"/>
    <w:docVar w:name="LW_NOM.INST_JOINTDOC" w:val="&lt;EMPTY&gt;"/>
    <w:docVar w:name="LW_OBJETACTEPRINCIPAL.CP" w:val="o nepo\u353?tenim trgova\u269?kim praksama u odnosima me\u273?u poduze\u263?ima u lancu opskrbe hranom"/>
    <w:docVar w:name="LW_PART_NBR" w:val="1"/>
    <w:docVar w:name="LW_PART_NBR_TOTAL" w:val="1"/>
    <w:docVar w:name="LW_REF.INST.NEW" w:val="SWD"/>
    <w:docVar w:name="LW_REF.INST.NEW_ADOPTED" w:val="final"/>
    <w:docVar w:name="LW_REF.INST.NEW_TEXT" w:val="(2018) 9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Inicijativa za pobolj\u353?anje lanca opskrbe hranom (nepo\u353?tene trgova\u269?ke prakse)"/>
    <w:docVar w:name="LW_TYPE.DOC.CP" w:val="RADNI DOKUMENT SLU\u381?BI KOMISIJE_x000b__x000b_SA\u381?ETAK PROCJENE U\u268?INKA_x000b_"/>
    <w:docVar w:name="LW_TYPEACTEPRINCIPAL.CP" w:val="Prijedlog _x000b__x000b_DIREKTIVE EUROPSKOG PARLAMENTA I VIJE\u262?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DefaultChar">
    <w:name w:val="Default Char"/>
    <w:basedOn w:val="DefaultParagraphFont"/>
    <w:link w:val="Default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oterSensitivityChar">
    <w:name w:val="Footer Sensitivity Char"/>
    <w:basedOn w:val="DefaultChar"/>
    <w:link w:val="FooterSensitivity"/>
    <w:rPr>
      <w:rFonts w:ascii="Times New Roman" w:hAnsi="Times New Roman" w:cs="Times New Roman"/>
      <w:b/>
      <w:color w:val="000000"/>
      <w:sz w:val="32"/>
      <w:szCs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Char"/>
    <w:link w:val="HeaderSensitivity"/>
    <w:rPr>
      <w:rFonts w:ascii="Times New Roman" w:hAnsi="Times New Roman" w:cs="Times New Roman"/>
      <w:b/>
      <w:color w:val="000000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DefaultChar">
    <w:name w:val="Default Char"/>
    <w:basedOn w:val="DefaultParagraphFont"/>
    <w:link w:val="Default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oterSensitivityChar">
    <w:name w:val="Footer Sensitivity Char"/>
    <w:basedOn w:val="DefaultChar"/>
    <w:link w:val="FooterSensitivity"/>
    <w:rPr>
      <w:rFonts w:ascii="Times New Roman" w:hAnsi="Times New Roman" w:cs="Times New Roman"/>
      <w:b/>
      <w:color w:val="000000"/>
      <w:sz w:val="32"/>
      <w:szCs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Char"/>
    <w:link w:val="HeaderSensitivity"/>
    <w:rPr>
      <w:rFonts w:ascii="Times New Roman" w:hAnsi="Times New Roman" w:cs="Times New Roman"/>
      <w:b/>
      <w:color w:val="000000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603</Words>
  <Characters>3709</Characters>
  <Application>Microsoft Office Word</Application>
  <DocSecurity>0</DocSecurity>
  <Lines>61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19</cp:revision>
  <dcterms:created xsi:type="dcterms:W3CDTF">2018-03-27T06:43:00Z</dcterms:created>
  <dcterms:modified xsi:type="dcterms:W3CDTF">2018-04-19T07:25:00Z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DocStatus">
    <vt:lpwstr>Green</vt:lpwstr>
  </property>
</Properties>
</file>