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92E322B7-6302-45AA-8486-361CE19CD1D3" style="width:450.75pt;height:457.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tbl>
      <w:tblPr>
        <w:tblStyle w:val="TableGrid"/>
        <w:tblW w:w="5000" w:type="pct"/>
        <w:shd w:val="clear" w:color="auto" w:fill="BFBFBF" w:themeFill="background1" w:themeFillShade="B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8"/>
      </w:tblGrid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Default"/>
              <w:spacing w:before="60" w:after="60"/>
              <w:jc w:val="center"/>
              <w:rPr>
                <w:noProof/>
                <w:sz w:val="23"/>
                <w:szCs w:val="23"/>
              </w:rPr>
            </w:pPr>
            <w:bookmarkStart w:id="1" w:name="_GoBack"/>
            <w:bookmarkEnd w:id="1"/>
            <w:r>
              <w:rPr>
                <w:b/>
                <w:noProof/>
                <w:sz w:val="23"/>
              </w:rPr>
              <w:lastRenderedPageBreak/>
              <w:t xml:space="preserve">Shrnutí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8DB3E2" w:themeFill="text2" w:themeFillTint="66"/>
          </w:tcPr>
          <w:p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Posouzení dopadu týkající se iniciativy pro lepší fungování potravinového řetězce – nekalé obchodní praktiky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Default"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A. Potřeba opatření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V čem spočívá problém a proč se jedná o problém na úrovni EU?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Existují rozdíly ve vyjednávací síle mezi provozovateli potravinového řetězce, přičemž slabší strany (např. zemědělci) se stávají obětí nekalých obchodních praktik. Vnitrostátní režimy týkající se nekalých obchodních praktik se liší a mezi členskými státy dochází jen k malé míře spolupráce. Proto jsou provozovatelé v některých členských státech nedostatečně chráněni, v různých členských státech se vyskytují různé obchodní podmínky a v rámci přeshraničního obchodu vládne nejistota.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Čeho by mělo být dosaženo?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</w:rPr>
              <w:t xml:space="preserve">Řešení nekalých obchodních praktik přispívá k rovným podmínkám a umožňuje účinnou nápravu pro provozovatele, kteří jsou nekalým obchodním praktikám vystaveni. To přispívá k cílům společné zemědělské politiky, jimiž jsou přiměřená životní úroveň pro osoby zapojené do zemědělství, větší odolnost slabších provozovatelů a lepší fungování potravinového dodavatelského řetězce.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Jakou přidanou hodnotu budou mít tato opatření na úrovni EU (subsidiarita)?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</w:rPr>
              <w:t xml:space="preserve">Opatření na úrovni EU poskytuje minimální společný rámec, zlepšuje ochranu vůči nekalým obchodním praktikám a omezuje následky v celém potravinovém dodavatelském řetězci. Rovněž přispívá k odpovídající životní úrovni zemědělského obyvatelstva (článek 39 SFEU) a ke spolupráci a výměně osvědčených postupů mezi členskými státy, což by bez opatření na úrovni EU bylo obtížné.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BFBFBF" w:themeFill="background1" w:themeFillShade="BF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B. Řešení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Prostřednictvím kterých možností lze cílů dosáhnout? Je některá možnost upřednostňována?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Možnosti jsou rozděleny podle míry harmonizace, rozsahu zákazů nekalých obchodních praktik, pokrytí výrobků, pokrytí provozovatelů, prosazování a spolupráce členských států. Upřednostňovány jsou: částečná harmonizace pravidel týkajících se nekalých obchodních praktik, pokrytí zemědělských a zpracovaných produktů, ochrana malých a středních podniků, minimální požadavky na prosazování a mechanismus prosazování na úrovni EU.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Jaké jsou názory jednotlivých zúčastněných stran? Kdo podporuje kterou možnost?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Většina zúčastněných stran, které zareagovaly na otevřenou veřejnou konzultaci, důrazně doporučuje opatření na úrovni EU, včetně opatření týkajícího se oblasti prosazování. (Velcí) maloobchodní prodejci nesouhlasí s tím, že by se nekalé obchodní praktiky vyskytovaly ve značné míře, a jsou proti opatřením na úrovni EU.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BFBFBF" w:themeFill="background1" w:themeFillShade="BF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C. Dopady upřednostňované možnosti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Jaké jsou výhody upřednostňované možnosti (je-li nějaká doporučena, jinak uveďte výhody hlavních možností)?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Menší provozovatelé budou mít prospěch z ochrany prostřednictvím právních předpisů týkajících se nekalých obchodních praktik, což zvýší jejich efektivnost. Tento přínos by měl mít za následek pozitivní sociální a hospodářské dopady na společnost.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Jaké jsou náklady na upřednostňovanou možnost (je-li nějaká doporučena, jinak uveďte náklady na hlavní možnosti)?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Neočekává se, že by náklady společností na dodržování předpisů byly výrazné. Očekává se neutrální nebo dokonce pozitivní sociální a environmentální dopad. Mohly by se vyskytnout náklady pro vnitrostátní správní orgány (viz níže).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b/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>Jaký bude dopad na malé a střední podniky a na konkurenceschopnost?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Malé a střední podniky budou lépe ochráněny a očekává se, že celková konkurenceschopnost se zvýší.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Očekávají se významné dopady na vnitrostátní rozpočty a správní orgány?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Ve většině členských států jsou pravidla týkající se nekalých obchodních praktik již v nějaké podobě uplatňována, jejich administrativní náklady tedy budou omezené. Náklady ostatních členských států budou poněkud vyšší, avšak zkušenost členských států s právními předpisy týkajícími se nekalých obchodních praktik ukazuje, že náklady na provádění jsou obecně nižší a mohou být vstřebány stávajícími strukturami.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Očekávají se jiné významné dopady?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 xml:space="preserve">Budou zahrnuti i dodavatelé ze třetích zemí.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 xml:space="preserve">Proporcionalita?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Jsou pokryty pouze malé a střední podniky, nejškodlivější nekalé obchodní praktiky a oblasti, ve kterých členské státy nemohou vytčených cílů dosáhnout samy. Očekávané náklady jsou minimální. Členské státy mohou zachovat své režimy a právní předpisy nad rámec této politiky. 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BFBFBF" w:themeFill="background1" w:themeFillShade="BF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</w:rPr>
            </w:pPr>
            <w:r>
              <w:rPr>
                <w:b/>
                <w:noProof/>
                <w:sz w:val="23"/>
              </w:rPr>
              <w:t xml:space="preserve">D. Návazná opatření </w:t>
            </w:r>
          </w:p>
        </w:tc>
      </w:tr>
      <w:tr>
        <w:trPr>
          <w:cantSplit/>
        </w:trPr>
        <w:tc>
          <w:tcPr>
            <w:tcW w:w="91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Default"/>
              <w:keepNext/>
              <w:spacing w:before="60" w:after="60"/>
              <w:jc w:val="both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</w:rPr>
              <w:t>Kdy bude tato politika přezkoumána?</w:t>
            </w:r>
          </w:p>
        </w:tc>
      </w:tr>
      <w:tr>
        <w:trPr>
          <w:cantSplit/>
        </w:trPr>
        <w:tc>
          <w:tcPr>
            <w:tcW w:w="9128" w:type="dxa"/>
            <w:shd w:val="clear" w:color="auto" w:fill="FFFFFF" w:themeFill="background1"/>
          </w:tcPr>
          <w:p>
            <w:pPr>
              <w:spacing w:before="40" w:after="4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Podle zpráv členských států bude tuto politiku každý rok monitorovat skupina odborníků </w:t>
            </w:r>
            <w:r>
              <w:rPr>
                <w:rFonts w:ascii="Times New Roman" w:hAnsi="Times New Roman"/>
                <w:i/>
                <w:noProof/>
              </w:rPr>
              <w:t>ad hoc</w:t>
            </w:r>
            <w:r>
              <w:rPr>
                <w:rFonts w:ascii="Times New Roman" w:hAnsi="Times New Roman"/>
                <w:noProof/>
              </w:rPr>
              <w:t xml:space="preserve">. Po čtyřech letech bude proveden úplný přezkum. </w:t>
            </w:r>
          </w:p>
        </w:tc>
      </w:tr>
    </w:tbl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03950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Pr\u367?vodní dokument k"/>
    <w:docVar w:name="LW_CORRIGENDUM" w:val="&lt;UNUSED&gt;"/>
    <w:docVar w:name="LW_COVERPAGE_EXISTS" w:val="True"/>
    <w:docVar w:name="LW_COVERPAGE_GUID" w:val="92E322B7-6302-45AA-8486-361CE19CD1D3"/>
    <w:docVar w:name="LW_COVERPAGE_TYPE" w:val="1"/>
    <w:docVar w:name="LW_CROSSREFERENCE" w:val="{COM(2018) 173 final}_x000b_{SWD(2018) 91 final}_x000b_{SWD(2018) 92 final}"/>
    <w:docVar w:name="LW_DocType" w:val="NORMAL"/>
    <w:docVar w:name="LW_EMISSION" w:val="12.4.2018"/>
    <w:docVar w:name="LW_EMISSION_ISODATE" w:val="2018-04-12"/>
    <w:docVar w:name="LW_EMISSION_LOCATION" w:val="BRX"/>
    <w:docVar w:name="LW_EMISSION_PREFIX" w:val="V Bruselu dne "/>
    <w:docVar w:name="LW_EMISSION_SUFFIX" w:val="&lt;EMPTY&gt;"/>
    <w:docVar w:name="LW_ID_DOCTYPE_NONLW" w:val="CP-027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o nekalých obchodních praktikách mezi podniky v potravinovém \u345?et\u283?zci"/>
    <w:docVar w:name="LW_PART_NBR" w:val="1"/>
    <w:docVar w:name="LW_PART_NBR_TOTAL" w:val="1"/>
    <w:docVar w:name="LW_REF.INST.NEW" w:val="SWD"/>
    <w:docVar w:name="LW_REF.INST.NEW_ADOPTED" w:val="final"/>
    <w:docVar w:name="LW_REF.INST.NEW_TEXT" w:val="(2018) 9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Iniciativa pro lep\u353?í fungování potravinového \u345?et\u283?zce (nekalé obchodní praktiky)"/>
    <w:docVar w:name="LW_TYPE.DOC.CP" w:val="PRACOVNÍ DOKUMENT ÚTVAR\u366? KOMISE_x000b__x000b_SOUHRN POSOUZENÍ DOPAD\u366?_x000b_"/>
    <w:docVar w:name="LW_TYPEACTEPRINCIPAL.CP" w:val="návrhu_x000b__x000b_SM\u282?RNICE EVROPSKÉ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SensitivityChar">
    <w:name w:val="Footer Sensitivity Char"/>
    <w:basedOn w:val="DefaultChar"/>
    <w:link w:val="FooterSensitivity"/>
    <w:rPr>
      <w:rFonts w:ascii="Times New Roman" w:hAnsi="Times New Roman" w:cs="Times New Roman"/>
      <w:b/>
      <w:color w:val="000000"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Char"/>
    <w:link w:val="HeaderSensitivity"/>
    <w:rPr>
      <w:rFonts w:ascii="Times New Roman" w:hAnsi="Times New Roman" w:cs="Times New Roman"/>
      <w:b/>
      <w:color w:val="000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erSensitivityChar">
    <w:name w:val="Footer Sensitivity Char"/>
    <w:basedOn w:val="DefaultChar"/>
    <w:link w:val="FooterSensitivity"/>
    <w:rPr>
      <w:rFonts w:ascii="Times New Roman" w:hAnsi="Times New Roman" w:cs="Times New Roman"/>
      <w:b/>
      <w:color w:val="000000"/>
      <w:sz w:val="32"/>
      <w:szCs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Char"/>
    <w:link w:val="HeaderSensitivity"/>
    <w:rPr>
      <w:rFonts w:ascii="Times New Roman" w:hAnsi="Times New Roman" w:cs="Times New Roman"/>
      <w:b/>
      <w:color w:val="000000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3873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dcterms:created xsi:type="dcterms:W3CDTF">2018-04-17T09:40:00Z</dcterms:created>
  <dcterms:modified xsi:type="dcterms:W3CDTF">2018-04-19T07:24:00Z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