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fr-FR"/>
        </w:rPr>
      </w:pPr>
      <w:bookmarkStart w:id="0" w:name="LW_BM_COVERPAGE"/>
      <w:r>
        <w:rPr>
          <w:noProof/>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229AA58-0F76-4C02-AB29-10CE04D680E4" style="width:450.6pt;height:374.55pt">
            <v:imagedata r:id="rId9" o:title=""/>
          </v:shape>
        </w:pict>
      </w:r>
    </w:p>
    <w:bookmarkEnd w:id="0"/>
    <w:p>
      <w:pPr>
        <w:rPr>
          <w:noProof/>
          <w:lang w:val="fr-FR"/>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Default"/>
        <w:jc w:val="right"/>
        <w:rPr>
          <w:i/>
          <w:noProof/>
          <w:lang w:val="fr-FR"/>
        </w:rPr>
      </w:pPr>
      <w:bookmarkStart w:id="1" w:name="_GoBack"/>
      <w:bookmarkEnd w:id="1"/>
    </w:p>
    <w:p>
      <w:pPr>
        <w:pStyle w:val="Default"/>
        <w:jc w:val="right"/>
        <w:rPr>
          <w:i/>
          <w:noProof/>
          <w:lang w:val="fr-FR"/>
        </w:rPr>
      </w:pPr>
    </w:p>
    <w:p>
      <w:pPr>
        <w:pStyle w:val="Default"/>
        <w:jc w:val="right"/>
        <w:rPr>
          <w:i/>
          <w:noProof/>
          <w:lang w:val="fr-FR"/>
        </w:rPr>
      </w:pPr>
    </w:p>
    <w:p>
      <w:pPr>
        <w:pStyle w:val="Default"/>
        <w:jc w:val="right"/>
        <w:rPr>
          <w:i/>
          <w:noProof/>
          <w:lang w:val="fr-FR"/>
        </w:rPr>
      </w:pPr>
    </w:p>
    <w:p>
      <w:pPr>
        <w:pStyle w:val="Default"/>
        <w:jc w:val="right"/>
        <w:rPr>
          <w:i/>
          <w:noProof/>
          <w:lang w:val="fr-FR"/>
        </w:rPr>
      </w:pPr>
    </w:p>
    <w:p>
      <w:pPr>
        <w:pStyle w:val="Default"/>
        <w:jc w:val="right"/>
        <w:rPr>
          <w:i/>
          <w:noProof/>
          <w:lang w:val="fr-FR"/>
        </w:rPr>
      </w:pPr>
    </w:p>
    <w:p>
      <w:pPr>
        <w:autoSpaceDE w:val="0"/>
        <w:autoSpaceDN w:val="0"/>
        <w:adjustRightInd w:val="0"/>
        <w:spacing w:after="0" w:line="240" w:lineRule="auto"/>
        <w:jc w:val="right"/>
        <w:rPr>
          <w:rFonts w:ascii="Times New Roman" w:hAnsi="Times New Roman" w:cs="Times New Roman"/>
          <w:i/>
          <w:noProof/>
          <w:color w:val="000000"/>
          <w:sz w:val="24"/>
          <w:szCs w:val="24"/>
          <w:lang w:val="fr-FR"/>
        </w:rPr>
      </w:pPr>
      <w:r>
        <w:rPr>
          <w:rFonts w:ascii="Times New Roman" w:hAnsi="Times New Roman"/>
          <w:i/>
          <w:noProof/>
          <w:color w:val="000000"/>
          <w:sz w:val="24"/>
          <w:szCs w:val="24"/>
          <w:lang w:val="fr-FR"/>
        </w:rPr>
        <w:t>Toute personne a droit au respect de sa vie privée et familiale, de son domicile et de ses communications.</w:t>
      </w:r>
    </w:p>
    <w:p>
      <w:pPr>
        <w:autoSpaceDE w:val="0"/>
        <w:autoSpaceDN w:val="0"/>
        <w:adjustRightInd w:val="0"/>
        <w:spacing w:after="0" w:line="240" w:lineRule="auto"/>
        <w:jc w:val="right"/>
        <w:rPr>
          <w:rFonts w:ascii="Times New Roman" w:hAnsi="Times New Roman" w:cs="Times New Roman"/>
          <w:i/>
          <w:noProof/>
          <w:color w:val="000000"/>
          <w:sz w:val="24"/>
          <w:szCs w:val="24"/>
          <w:lang w:val="fr-FR"/>
        </w:rPr>
      </w:pPr>
      <w:r>
        <w:rPr>
          <w:rFonts w:ascii="Times New Roman" w:hAnsi="Times New Roman"/>
          <w:i/>
          <w:noProof/>
          <w:color w:val="000000"/>
          <w:sz w:val="24"/>
          <w:szCs w:val="24"/>
          <w:lang w:val="fr-FR"/>
        </w:rPr>
        <w:t>Toute personne a droit à la protection des données à caractère personnel la concernant.</w:t>
      </w:r>
    </w:p>
    <w:p>
      <w:pPr>
        <w:autoSpaceDE w:val="0"/>
        <w:autoSpaceDN w:val="0"/>
        <w:adjustRightInd w:val="0"/>
        <w:spacing w:after="0" w:line="240" w:lineRule="auto"/>
        <w:jc w:val="right"/>
        <w:rPr>
          <w:rFonts w:ascii="Times New Roman" w:hAnsi="Times New Roman" w:cs="Times New Roman"/>
          <w:i/>
          <w:noProof/>
          <w:color w:val="000000"/>
          <w:sz w:val="24"/>
          <w:szCs w:val="24"/>
          <w:lang w:val="fr-FR"/>
        </w:rPr>
      </w:pPr>
      <w:r>
        <w:rPr>
          <w:rFonts w:ascii="Times New Roman" w:hAnsi="Times New Roman"/>
          <w:i/>
          <w:noProof/>
          <w:color w:val="000000"/>
          <w:sz w:val="24"/>
          <w:szCs w:val="24"/>
          <w:lang w:val="fr-FR"/>
        </w:rPr>
        <w:t xml:space="preserve">Ces données doivent être traitées loyalement, à des fins déterminées et sur la base du consentement de la personne concernée ou en vertu d'un autre fondement légitime prévu par la loi. Toute personne a le droit d'accéder aux données collectées la concernant et d'en obtenir la rectification. </w:t>
      </w:r>
    </w:p>
    <w:p>
      <w:pPr>
        <w:pStyle w:val="Default"/>
        <w:jc w:val="right"/>
        <w:rPr>
          <w:i/>
          <w:noProof/>
          <w:lang w:val="fr-FR"/>
        </w:rPr>
      </w:pPr>
      <w:r>
        <w:rPr>
          <w:i/>
          <w:noProof/>
          <w:lang w:val="fr-FR"/>
        </w:rPr>
        <w:t>Le respect de ces règles est soumis au contrôle d’une autorité indépendante.</w:t>
      </w:r>
    </w:p>
    <w:p>
      <w:pPr>
        <w:pStyle w:val="Default"/>
        <w:jc w:val="right"/>
        <w:rPr>
          <w:rFonts w:ascii="EUAlbertina" w:hAnsi="EUAlbertina" w:cs="EUAlbertina"/>
          <w:noProof/>
          <w:sz w:val="25"/>
          <w:szCs w:val="25"/>
          <w:lang w:val="fr-FR"/>
        </w:rPr>
      </w:pPr>
    </w:p>
    <w:p>
      <w:pPr>
        <w:pStyle w:val="Default"/>
        <w:jc w:val="right"/>
        <w:rPr>
          <w:noProof/>
          <w:lang w:val="fr-FR"/>
        </w:rPr>
      </w:pPr>
      <w:r>
        <w:rPr>
          <w:noProof/>
          <w:lang w:val="fr-FR"/>
        </w:rPr>
        <w:t>Articles 7 et 8 de la Charte des droits fondamentaux de l’Union européenne.</w:t>
      </w:r>
    </w:p>
    <w:p>
      <w:pPr>
        <w:pStyle w:val="Default"/>
        <w:jc w:val="right"/>
        <w:rPr>
          <w:noProof/>
          <w:lang w:val="fr-FR"/>
        </w:rPr>
      </w:pPr>
    </w:p>
    <w:p>
      <w:pPr>
        <w:pStyle w:val="Pa14"/>
        <w:spacing w:before="220"/>
        <w:jc w:val="right"/>
        <w:rPr>
          <w:i/>
          <w:noProof/>
          <w:lang w:val="fr-FR"/>
        </w:rPr>
      </w:pPr>
      <w:r>
        <w:rPr>
          <w:rFonts w:ascii="Times New Roman" w:hAnsi="Times New Roman"/>
          <w:i/>
          <w:noProof/>
          <w:color w:val="000000"/>
          <w:sz w:val="23"/>
          <w:szCs w:val="23"/>
          <w:lang w:val="fr-FR"/>
        </w:rPr>
        <w:t>L’Union européenne devrait non seulement préserver notre mode de vie européen mais aussi donner les moyens d’agir à ceux qui le vivent.</w:t>
      </w:r>
      <w:r>
        <w:rPr>
          <w:rFonts w:ascii="Times New Roman" w:hAnsi="Times New Roman"/>
          <w:i/>
          <w:noProof/>
          <w:sz w:val="23"/>
          <w:szCs w:val="23"/>
          <w:lang w:val="fr-FR"/>
        </w:rPr>
        <w:t xml:space="preserve"> </w:t>
      </w:r>
      <w:r>
        <w:rPr>
          <w:rFonts w:ascii="Times New Roman" w:hAnsi="Times New Roman"/>
          <w:i/>
          <w:noProof/>
          <w:lang w:val="fr-FR"/>
        </w:rPr>
        <w:t>Être européen, c’est avoir le droit de voir ses données à caractère personnel protégées par une législation forte, une législation européenne. Car les Européens n’aiment pas que des drones planent au-dessus de leur tête pour enregistrer leur moindre geste, ni que des entreprises consignent chacun de leurs clics de souris. Car en Europe, la vie privée n’est pas un vain mot. C’est une question de dignité humaine.</w:t>
      </w:r>
    </w:p>
    <w:p>
      <w:pPr>
        <w:pStyle w:val="Default"/>
        <w:jc w:val="right"/>
        <w:rPr>
          <w:i/>
          <w:noProof/>
          <w:lang w:val="fr-FR"/>
        </w:rPr>
      </w:pPr>
    </w:p>
    <w:p>
      <w:pPr>
        <w:pStyle w:val="Default"/>
        <w:jc w:val="right"/>
        <w:rPr>
          <w:noProof/>
          <w:lang w:val="fr-FR"/>
        </w:rPr>
      </w:pPr>
      <w:r>
        <w:rPr>
          <w:noProof/>
          <w:lang w:val="fr-FR"/>
        </w:rPr>
        <w:t xml:space="preserve">Le président Jean-Claude Juncker, </w:t>
      </w:r>
    </w:p>
    <w:p>
      <w:pPr>
        <w:pStyle w:val="Default"/>
        <w:jc w:val="right"/>
        <w:rPr>
          <w:noProof/>
          <w:lang w:val="fr-FR"/>
        </w:rPr>
      </w:pPr>
      <w:r>
        <w:rPr>
          <w:noProof/>
          <w:lang w:val="fr-FR"/>
        </w:rPr>
        <w:t>Discours sur l’état de l’Union prononcé le 14 septembre 2016</w:t>
      </w:r>
    </w:p>
    <w:p>
      <w:pPr>
        <w:pStyle w:val="Default"/>
        <w:jc w:val="right"/>
        <w:rPr>
          <w:i/>
          <w:noProof/>
          <w:lang w:val="fr-FR"/>
        </w:rPr>
      </w:pPr>
    </w:p>
    <w:p>
      <w:pPr>
        <w:pStyle w:val="Default"/>
        <w:jc w:val="both"/>
        <w:rPr>
          <w:noProof/>
          <w:lang w:val="fr-FR"/>
        </w:rPr>
      </w:pPr>
    </w:p>
    <w:p>
      <w:pPr>
        <w:rPr>
          <w:rFonts w:ascii="Times New Roman" w:hAnsi="Times New Roman" w:cs="Times New Roman"/>
          <w:b/>
          <w:noProof/>
          <w:sz w:val="24"/>
          <w:szCs w:val="24"/>
          <w:lang w:val="fr-FR"/>
        </w:rPr>
      </w:pPr>
      <w:r>
        <w:rPr>
          <w:noProof/>
          <w:lang w:val="fr-FR"/>
        </w:rPr>
        <w:br w:type="page"/>
      </w:r>
    </w:p>
    <w:p>
      <w:pPr>
        <w:pStyle w:val="Default"/>
        <w:jc w:val="both"/>
        <w:rPr>
          <w:i/>
          <w:noProof/>
          <w:lang w:val="fr-FR"/>
        </w:rPr>
      </w:pPr>
      <w:r>
        <w:rPr>
          <w:i/>
          <w:noProof/>
          <w:lang w:val="fr-FR"/>
        </w:rPr>
        <w:lastRenderedPageBreak/>
        <w:t>La Commission européenne salue la décision du président du Conseil européen de prévoir, dans le cadre du programme des dirigeants, un débat sur la protection de la vie privée et des données à caractère personnel des citoyens et sur d’autres questions en rapport avec l’Europe numérique, y compris l’adoption de tous les instruments législatifs établissant le marché unique numérique. La présente communication décrit une série de mesures concrètes visant à garantir la protection totale de la vie privée et des données à caractère personnel des citoyens et à accélérer l’achèvement du marché unique numérique en 2018, et pourra servir de base aux discussions des chefs d’État ou de gouvernement lors de la réunion informelle qu’ils tiendront à Sofia le 16 mai 2018</w:t>
      </w:r>
      <w:r>
        <w:rPr>
          <w:rStyle w:val="FootnoteReference"/>
          <w:i/>
          <w:noProof/>
          <w:lang w:val="fr-FR"/>
        </w:rPr>
        <w:footnoteReference w:id="2"/>
      </w:r>
      <w:r>
        <w:rPr>
          <w:noProof/>
          <w:lang w:val="fr-FR"/>
        </w:rPr>
        <w:t>.</w:t>
      </w:r>
    </w:p>
    <w:p>
      <w:pPr>
        <w:pStyle w:val="ListParagraph"/>
        <w:numPr>
          <w:ilvl w:val="0"/>
          <w:numId w:val="4"/>
        </w:numPr>
        <w:spacing w:before="360" w:after="240" w:line="240" w:lineRule="auto"/>
        <w:rPr>
          <w:rFonts w:ascii="Times New Roman" w:hAnsi="Times New Roman" w:cs="Times New Roman"/>
          <w:b/>
          <w:noProof/>
          <w:sz w:val="24"/>
          <w:szCs w:val="24"/>
          <w:lang w:val="fr-FR"/>
        </w:rPr>
      </w:pPr>
      <w:r>
        <w:rPr>
          <w:rFonts w:ascii="Times New Roman" w:hAnsi="Times New Roman"/>
          <w:b/>
          <w:noProof/>
          <w:sz w:val="24"/>
          <w:szCs w:val="24"/>
          <w:lang w:val="fr-FR"/>
        </w:rPr>
        <w:t>Introduction</w:t>
      </w:r>
    </w:p>
    <w:p>
      <w:pPr>
        <w:spacing w:before="240" w:line="240" w:lineRule="auto"/>
        <w:jc w:val="both"/>
        <w:rPr>
          <w:rFonts w:ascii="Times New Roman" w:hAnsi="Times New Roman" w:cs="Times New Roman"/>
          <w:noProof/>
          <w:sz w:val="24"/>
          <w:szCs w:val="24"/>
          <w:lang w:val="fr-FR"/>
        </w:rPr>
      </w:pPr>
      <w:r>
        <w:rPr>
          <w:rFonts w:ascii="Times New Roman" w:hAnsi="Times New Roman"/>
          <w:noProof/>
          <w:sz w:val="24"/>
          <w:szCs w:val="24"/>
          <w:lang w:val="fr-FR"/>
        </w:rPr>
        <w:t>En 2015, le Conseil européen s’est dit favorable à une stratégie pour un marché unique numérique de l’Union. Trois ans plus tard, le marché unique numérique est en train de devenir une réalité</w:t>
      </w:r>
      <w:r>
        <w:rPr>
          <w:rStyle w:val="FootnoteReference"/>
          <w:rFonts w:ascii="Times New Roman" w:hAnsi="Times New Roman" w:cs="Times New Roman"/>
          <w:noProof/>
          <w:sz w:val="24"/>
          <w:szCs w:val="24"/>
          <w:lang w:val="fr-FR"/>
        </w:rPr>
        <w:footnoteReference w:id="3"/>
      </w:r>
      <w:r>
        <w:rPr>
          <w:rFonts w:ascii="Times New Roman" w:hAnsi="Times New Roman"/>
          <w:noProof/>
          <w:sz w:val="24"/>
          <w:szCs w:val="24"/>
          <w:lang w:val="fr-FR"/>
        </w:rPr>
        <w:t>. Toutes les propositions législatives prévues ont été soumises par la Commission</w:t>
      </w:r>
      <w:r>
        <w:rPr>
          <w:rStyle w:val="FootnoteReference"/>
          <w:rFonts w:ascii="Times New Roman" w:hAnsi="Times New Roman" w:cs="Times New Roman"/>
          <w:noProof/>
          <w:sz w:val="24"/>
          <w:szCs w:val="24"/>
          <w:lang w:val="fr-FR"/>
        </w:rPr>
        <w:footnoteReference w:id="4"/>
      </w:r>
      <w:r>
        <w:rPr>
          <w:rFonts w:ascii="Times New Roman" w:hAnsi="Times New Roman"/>
          <w:noProof/>
          <w:sz w:val="24"/>
          <w:szCs w:val="24"/>
          <w:lang w:val="fr-FR"/>
        </w:rPr>
        <w:t>. Les propositions relatives à l’itinérance et à la portabilité des services de contenu en ligne ont déjà été adoptées. Le règlement général sur la protection des données sera directement applicable dans l’ensemble de l’Union à partir du 25 mai. D’autres nouvelles mesures importantes concernant la sécurité des réseaux et de l’information et l’identification électronique seront mises en place dans les semaines à venir. La prochaine vague de propositions législatives, destinées à ouvrir l’accès aux services en ligne, a été approuvée et suivra avant la fin de l’année. Toutes ces avancées sont déterminantes pour la réalisation de l’objectif final que constitue l’achèvement du marché unique numérique.</w:t>
      </w:r>
    </w:p>
    <w:p>
      <w:pPr>
        <w:spacing w:before="240" w:line="240" w:lineRule="auto"/>
        <w:jc w:val="both"/>
        <w:rPr>
          <w:rFonts w:ascii="Times New Roman" w:hAnsi="Times New Roman" w:cs="Times New Roman"/>
          <w:noProof/>
          <w:sz w:val="24"/>
          <w:szCs w:val="24"/>
          <w:lang w:val="fr-FR"/>
        </w:rPr>
      </w:pPr>
      <w:r>
        <w:rPr>
          <w:rFonts w:ascii="Times New Roman" w:hAnsi="Times New Roman"/>
          <w:noProof/>
          <w:sz w:val="24"/>
          <w:szCs w:val="24"/>
          <w:lang w:val="fr-FR"/>
        </w:rPr>
        <w:t xml:space="preserve">La stratégie pour un marché unique numérique constitue le sésame qui permettra à l’UE de prospérer dans la nouvelle économie mondiale des données. Les données jouent aujourd’hui un rôle central dans la société numérique. À chaque seconde, téléphones intelligents, réseaux énergétiques, voitures, appareils électroménagers et individus dans leurs activités quotidiennes produisent des données à une échelle sans cesse croissante. Les fabricants, les plateformes et les fournisseurs de services collectent, traitent et utilisent ces données pour offrir de nouveaux services aux utilisateurs et s’assurer un avantage concurrentiel. </w:t>
      </w:r>
    </w:p>
    <w:p>
      <w:pPr>
        <w:spacing w:before="240" w:line="240" w:lineRule="auto"/>
        <w:jc w:val="both"/>
        <w:rPr>
          <w:rFonts w:ascii="Times New Roman" w:hAnsi="Times New Roman" w:cs="Times New Roman"/>
          <w:noProof/>
          <w:sz w:val="24"/>
          <w:szCs w:val="24"/>
          <w:lang w:val="fr-FR"/>
        </w:rPr>
      </w:pPr>
      <w:r>
        <w:rPr>
          <w:rFonts w:ascii="Times New Roman" w:hAnsi="Times New Roman"/>
          <w:noProof/>
          <w:sz w:val="24"/>
          <w:szCs w:val="24"/>
          <w:lang w:val="fr-FR"/>
        </w:rPr>
        <w:t>L’UE a mis du temps à tirer parti des possibilités offertes par l’économie fondée sur les données: seulement 4 % environ des données mondiales sont stockées en Europe. Elle dispose toutefois de nombreux atouts, notamment une base manufacturière solide, un écosystème de jeunes pousses à croissance rapide, des processus industriels nouvellement numérisés et une main-d’œuvre qualifiée. Si l'on parvient à exploiter et développer ces atouts, l’économie européenne des données peut devenir un puissant levier pour favoriser la croissance, stimuler la création d’emplois et ouvrir la voie à de nouveaux modèles commerciaux et de nouvelles possibilités d’innovation</w:t>
      </w:r>
      <w:r>
        <w:rPr>
          <w:rStyle w:val="FootnoteReference"/>
          <w:rFonts w:ascii="Times New Roman" w:hAnsi="Times New Roman" w:cs="Times New Roman"/>
          <w:noProof/>
          <w:sz w:val="24"/>
          <w:szCs w:val="24"/>
          <w:lang w:val="fr-FR"/>
        </w:rPr>
        <w:footnoteReference w:id="5"/>
      </w:r>
      <w:r>
        <w:rPr>
          <w:rFonts w:ascii="Times New Roman" w:hAnsi="Times New Roman"/>
          <w:noProof/>
          <w:sz w:val="24"/>
          <w:szCs w:val="24"/>
          <w:lang w:val="fr-FR"/>
        </w:rPr>
        <w:t>. La valeur de l’économie européenne fondée sur les données pourrait atteindre plus de 700 milliards d’EUR d’ici à 2020, ce qui représente 4 % de l’économie de l’UE.</w:t>
      </w:r>
    </w:p>
    <w:p>
      <w:pPr>
        <w:spacing w:before="240" w:line="240" w:lineRule="auto"/>
        <w:jc w:val="both"/>
        <w:rPr>
          <w:rFonts w:ascii="Times New Roman" w:hAnsi="Times New Roman" w:cs="Times New Roman"/>
          <w:noProof/>
          <w:sz w:val="24"/>
          <w:szCs w:val="24"/>
          <w:lang w:val="fr-FR"/>
        </w:rPr>
      </w:pPr>
      <w:r>
        <w:rPr>
          <w:rFonts w:ascii="Times New Roman" w:hAnsi="Times New Roman"/>
          <w:noProof/>
          <w:sz w:val="24"/>
          <w:szCs w:val="24"/>
          <w:lang w:val="fr-FR"/>
        </w:rPr>
        <w:t xml:space="preserve">Cependant, la révolution de l’économie fondée sur les données s’accompagne aussi de défis pour nos sociétés et pour les valeurs qui sont à la base de notre Union, comme la démocratie, </w:t>
      </w:r>
      <w:r>
        <w:rPr>
          <w:rFonts w:ascii="Times New Roman" w:hAnsi="Times New Roman"/>
          <w:noProof/>
          <w:sz w:val="24"/>
          <w:szCs w:val="24"/>
          <w:lang w:val="fr-FR"/>
        </w:rPr>
        <w:lastRenderedPageBreak/>
        <w:t>les droits de l’homme et l’état de droit. Les événements récents ont montré que les données peuvent être collectées, traitées et utilisées au détriment du respect de la vie privée. L’accès à de grandes quantités de données peut être utilisé pour obtenir un avantage indu sur des concurrents, ou même influencer les médias et l’opinion publique. Il peut arriver que des tiers non autorisés accèdent à des informations à caractère personnel. Le respect de la vie privée et la protection des données à caractère personnel constituent des droits fondamentaux de l’Union, tels qu’établis par la charte des droits fondamentaux de l’UE</w:t>
      </w:r>
      <w:r>
        <w:rPr>
          <w:rStyle w:val="FootnoteReference"/>
          <w:rFonts w:ascii="Times New Roman" w:hAnsi="Times New Roman" w:cs="Times New Roman"/>
          <w:noProof/>
          <w:sz w:val="24"/>
          <w:szCs w:val="24"/>
          <w:lang w:val="fr-FR"/>
        </w:rPr>
        <w:footnoteReference w:id="6"/>
      </w:r>
      <w:r>
        <w:rPr>
          <w:rFonts w:ascii="Times New Roman" w:hAnsi="Times New Roman"/>
          <w:noProof/>
          <w:sz w:val="24"/>
          <w:szCs w:val="24"/>
          <w:lang w:val="fr-FR"/>
        </w:rPr>
        <w:t xml:space="preserve">. Une protection solide des données, la confidentialité des communications et la sécurité des données sont indispensables pour dissiper les doutes des citoyens quant à l’utilisation abusive de leurs données et pour instaurer un climat de confiance. Sans cette confiance, nous ne pourrons exploiter pleinement les possibilités qu’offre une économie des données florissante. </w:t>
      </w:r>
    </w:p>
    <w:p>
      <w:pPr>
        <w:spacing w:before="240" w:line="240" w:lineRule="auto"/>
        <w:jc w:val="both"/>
        <w:rPr>
          <w:rFonts w:ascii="Times New Roman" w:hAnsi="Times New Roman" w:cs="Times New Roman"/>
          <w:noProof/>
          <w:sz w:val="24"/>
          <w:szCs w:val="24"/>
          <w:lang w:val="fr-FR"/>
        </w:rPr>
      </w:pPr>
      <w:r>
        <w:rPr>
          <w:rFonts w:ascii="Times New Roman" w:hAnsi="Times New Roman"/>
          <w:noProof/>
          <w:sz w:val="24"/>
          <w:szCs w:val="24"/>
          <w:lang w:val="fr-FR"/>
        </w:rPr>
        <w:t>La présente communication appelle le Conseil européen à examiner d’urgence les questions en suspens, afin de concrétiser le marché unique numérique et de faire en sorte que l’UE demeure un acteur de premier plan dans la course mondiale à l’économie des données</w:t>
      </w:r>
      <w:r>
        <w:rPr>
          <w:rStyle w:val="FootnoteReference"/>
          <w:rFonts w:ascii="Times New Roman" w:hAnsi="Times New Roman" w:cs="Times New Roman"/>
          <w:noProof/>
          <w:sz w:val="24"/>
          <w:szCs w:val="24"/>
          <w:lang w:val="fr-FR"/>
        </w:rPr>
        <w:footnoteReference w:id="7"/>
      </w:r>
      <w:r>
        <w:rPr>
          <w:rFonts w:ascii="Times New Roman" w:hAnsi="Times New Roman"/>
          <w:noProof/>
          <w:sz w:val="24"/>
          <w:szCs w:val="24"/>
          <w:lang w:val="fr-FR"/>
        </w:rPr>
        <w:t>. Ces objectifs ne pourront être atteints sans la confiance des citoyens dans la manière dont leurs données sont protégées et utilisées.</w:t>
      </w:r>
    </w:p>
    <w:p>
      <w:pPr>
        <w:pStyle w:val="ListParagraph"/>
        <w:numPr>
          <w:ilvl w:val="0"/>
          <w:numId w:val="4"/>
        </w:numPr>
        <w:spacing w:before="360" w:after="240" w:line="240" w:lineRule="auto"/>
        <w:jc w:val="both"/>
        <w:rPr>
          <w:rFonts w:ascii="Times New Roman" w:hAnsi="Times New Roman" w:cs="Times New Roman"/>
          <w:b/>
          <w:noProof/>
          <w:sz w:val="24"/>
          <w:szCs w:val="24"/>
          <w:lang w:val="fr-FR"/>
        </w:rPr>
      </w:pPr>
      <w:r>
        <w:rPr>
          <w:rFonts w:ascii="Times New Roman" w:hAnsi="Times New Roman"/>
          <w:b/>
          <w:noProof/>
          <w:sz w:val="24"/>
          <w:szCs w:val="24"/>
          <w:lang w:val="fr-FR"/>
        </w:rPr>
        <w:t>Protéger les données à caractère personnel, instaurer un climat de confiance dans l’économie numérique: le règlement général sur la protection des données et le règlement «vie privée et communications électroniques»</w:t>
      </w:r>
    </w:p>
    <w:p>
      <w:pPr>
        <w:spacing w:before="240" w:after="120" w:line="240" w:lineRule="auto"/>
        <w:jc w:val="both"/>
        <w:rPr>
          <w:rFonts w:ascii="Times New Roman" w:hAnsi="Times New Roman" w:cs="Times New Roman"/>
          <w:i/>
          <w:noProof/>
          <w:sz w:val="24"/>
          <w:szCs w:val="24"/>
          <w:lang w:val="fr-FR"/>
        </w:rPr>
      </w:pPr>
      <w:r>
        <w:rPr>
          <w:rFonts w:ascii="Times New Roman" w:hAnsi="Times New Roman"/>
          <w:i/>
          <w:noProof/>
          <w:sz w:val="24"/>
          <w:szCs w:val="24"/>
          <w:lang w:val="fr-FR"/>
        </w:rPr>
        <w:t xml:space="preserve">Un nouveau régime de protection des données des personnes physiques dans l’UE </w:t>
      </w:r>
    </w:p>
    <w:p>
      <w:pPr>
        <w:spacing w:after="0" w:line="240" w:lineRule="auto"/>
        <w:jc w:val="both"/>
        <w:rPr>
          <w:rFonts w:ascii="Times New Roman" w:hAnsi="Times New Roman" w:cs="Times New Roman"/>
          <w:noProof/>
          <w:sz w:val="24"/>
          <w:szCs w:val="24"/>
          <w:lang w:val="fr-FR"/>
        </w:rPr>
      </w:pPr>
      <w:r>
        <w:rPr>
          <w:rFonts w:ascii="Times New Roman" w:hAnsi="Times New Roman"/>
          <w:noProof/>
          <w:sz w:val="24"/>
          <w:szCs w:val="24"/>
          <w:lang w:val="fr-FR"/>
        </w:rPr>
        <w:t>Les deux-tiers des Européens se disent inquiets de ne pas avoir de contrôle sur les informations qu’ils fournissent en ligne, tandis que la moitié craignent d’être victimes de fraudes</w:t>
      </w:r>
      <w:r>
        <w:rPr>
          <w:rStyle w:val="FootnoteReference"/>
          <w:rFonts w:ascii="Times New Roman" w:hAnsi="Times New Roman" w:cs="Times New Roman"/>
          <w:noProof/>
          <w:sz w:val="24"/>
          <w:szCs w:val="24"/>
          <w:lang w:val="fr-FR"/>
        </w:rPr>
        <w:footnoteReference w:id="8"/>
      </w:r>
      <w:r>
        <w:rPr>
          <w:rFonts w:ascii="Times New Roman" w:hAnsi="Times New Roman"/>
          <w:noProof/>
          <w:sz w:val="24"/>
          <w:szCs w:val="24"/>
          <w:lang w:val="fr-FR"/>
        </w:rPr>
        <w:t xml:space="preserve">. </w:t>
      </w:r>
    </w:p>
    <w:p>
      <w:pPr>
        <w:spacing w:before="240" w:after="120" w:line="240" w:lineRule="auto"/>
        <w:jc w:val="both"/>
        <w:rPr>
          <w:rFonts w:ascii="Times New Roman" w:hAnsi="Times New Roman" w:cs="Times New Roman"/>
          <w:noProof/>
          <w:sz w:val="24"/>
          <w:szCs w:val="24"/>
          <w:lang w:val="fr-FR"/>
        </w:rPr>
      </w:pPr>
      <w:r>
        <w:rPr>
          <w:rFonts w:ascii="Times New Roman" w:hAnsi="Times New Roman"/>
          <w:noProof/>
          <w:sz w:val="24"/>
          <w:szCs w:val="24"/>
          <w:lang w:val="fr-FR"/>
        </w:rPr>
        <w:t>Les récentes révélations dans l’affaire «Facebook/Cambridge Analytica» ont alerté les citoyens quant au fait que leurs données pouvaient être utilisées à mauvais escient en l’absence d'une protection correcte. Les autorités de protection des données à l’échelle de l’UE sont en train de prendre des mesures dans le cadre des règles en matière de protection des données en vigueur et enquêtent sur l’affaire d’une manière coordonnée. La Commission a pris contact avec Facebook, à qui elle a demandé instamment de lui fournir des informations plus détaillées et de coopérer pleinement avec les autorités de protection des données de l’Irlande et du Royaume-Uni, qui dirigent l’enquête, afin de comprendre ce qui s’est passé et de déterminer si un risque subsiste pour les quelque 3 millions de citoyens de l’UE touchés.</w:t>
      </w:r>
    </w:p>
    <w:p>
      <w:pPr>
        <w:spacing w:before="240" w:after="120" w:line="240" w:lineRule="auto"/>
        <w:jc w:val="both"/>
        <w:rPr>
          <w:rFonts w:ascii="Times New Roman" w:hAnsi="Times New Roman" w:cs="Times New Roman"/>
          <w:noProof/>
          <w:sz w:val="24"/>
          <w:szCs w:val="24"/>
          <w:lang w:val="fr-FR"/>
        </w:rPr>
      </w:pPr>
      <w:r>
        <w:rPr>
          <w:rFonts w:ascii="Times New Roman" w:hAnsi="Times New Roman"/>
          <w:noProof/>
          <w:sz w:val="24"/>
          <w:szCs w:val="24"/>
          <w:lang w:val="fr-FR"/>
        </w:rPr>
        <w:t xml:space="preserve">Ces évènements prouvent que l’UE a eu raison d’adopter des règles strictes en matière de protection des données. Avec le </w:t>
      </w:r>
      <w:r>
        <w:rPr>
          <w:rFonts w:ascii="Times New Roman" w:hAnsi="Times New Roman"/>
          <w:b/>
          <w:noProof/>
          <w:sz w:val="24"/>
          <w:szCs w:val="24"/>
          <w:lang w:val="fr-FR"/>
        </w:rPr>
        <w:t>règlement général sur la protection des données</w:t>
      </w:r>
      <w:r>
        <w:rPr>
          <w:rStyle w:val="FootnoteReference"/>
          <w:rFonts w:ascii="Times New Roman" w:hAnsi="Times New Roman" w:cs="Times New Roman"/>
          <w:noProof/>
          <w:sz w:val="24"/>
          <w:szCs w:val="24"/>
          <w:lang w:val="fr-FR"/>
        </w:rPr>
        <w:footnoteReference w:id="9"/>
      </w:r>
      <w:r>
        <w:rPr>
          <w:rFonts w:ascii="Times New Roman" w:hAnsi="Times New Roman"/>
          <w:noProof/>
          <w:sz w:val="24"/>
          <w:szCs w:val="24"/>
          <w:lang w:val="fr-FR"/>
        </w:rPr>
        <w:t xml:space="preserve">, qui sera directement applicable dans toute l’Union à partir du 25 mai, l’UE sera mieux armée pour éviter et traiter ces situations dans l’avenir. </w:t>
      </w:r>
    </w:p>
    <w:p>
      <w:pPr>
        <w:pBdr>
          <w:top w:val="single" w:sz="4" w:space="1" w:color="auto"/>
          <w:left w:val="single" w:sz="4" w:space="1" w:color="auto"/>
          <w:bottom w:val="single" w:sz="4" w:space="1" w:color="auto"/>
          <w:right w:val="single" w:sz="4" w:space="1" w:color="auto"/>
        </w:pBdr>
        <w:shd w:val="clear" w:color="auto" w:fill="D9D9D9" w:themeFill="background1" w:themeFillShade="D9"/>
        <w:spacing w:before="240" w:after="120" w:line="240" w:lineRule="auto"/>
        <w:jc w:val="center"/>
        <w:rPr>
          <w:rFonts w:ascii="Times New Roman" w:hAnsi="Times New Roman" w:cs="Times New Roman"/>
          <w:b/>
          <w:noProof/>
          <w:sz w:val="24"/>
          <w:szCs w:val="24"/>
          <w:lang w:val="fr-FR"/>
        </w:rPr>
      </w:pPr>
      <w:r>
        <w:rPr>
          <w:rFonts w:ascii="Times New Roman" w:hAnsi="Times New Roman"/>
          <w:b/>
          <w:noProof/>
          <w:sz w:val="24"/>
          <w:szCs w:val="24"/>
          <w:lang w:val="fr-FR"/>
        </w:rPr>
        <w:t>Quels seront les changements apportés par le règlement général sur la protection des données?</w:t>
      </w:r>
    </w:p>
    <w:p>
      <w:pPr>
        <w:pBdr>
          <w:top w:val="single" w:sz="4" w:space="1" w:color="auto"/>
          <w:left w:val="single" w:sz="4" w:space="1" w:color="auto"/>
          <w:bottom w:val="single" w:sz="4" w:space="1" w:color="auto"/>
          <w:right w:val="single" w:sz="4" w:space="1" w:color="auto"/>
        </w:pBdr>
        <w:shd w:val="clear" w:color="auto" w:fill="D9D9D9" w:themeFill="background1" w:themeFillShade="D9"/>
        <w:spacing w:before="240" w:after="120" w:line="240" w:lineRule="auto"/>
        <w:jc w:val="both"/>
        <w:rPr>
          <w:rFonts w:ascii="Times New Roman" w:hAnsi="Times New Roman" w:cs="Times New Roman"/>
          <w:noProof/>
          <w:sz w:val="24"/>
          <w:szCs w:val="24"/>
          <w:lang w:val="fr-FR"/>
        </w:rPr>
      </w:pPr>
      <w:r>
        <w:rPr>
          <w:rFonts w:ascii="Times New Roman" w:hAnsi="Times New Roman"/>
          <w:noProof/>
          <w:sz w:val="24"/>
          <w:szCs w:val="24"/>
          <w:lang w:val="fr-FR"/>
        </w:rPr>
        <w:lastRenderedPageBreak/>
        <w:t>Premièrement, les personnes physiques auront davantage de contrôle sur la façon dont les données à caractère personnel les concernant sont traitées par les entreprises</w:t>
      </w:r>
      <w:r>
        <w:rPr>
          <w:rStyle w:val="FootnoteReference"/>
          <w:rFonts w:ascii="Times New Roman" w:hAnsi="Times New Roman" w:cs="Times New Roman"/>
          <w:noProof/>
          <w:color w:val="000000"/>
          <w:sz w:val="24"/>
          <w:szCs w:val="24"/>
          <w:lang w:val="fr-FR"/>
        </w:rPr>
        <w:footnoteReference w:id="10"/>
      </w:r>
      <w:r>
        <w:rPr>
          <w:rFonts w:ascii="Times New Roman" w:hAnsi="Times New Roman"/>
          <w:noProof/>
          <w:sz w:val="24"/>
          <w:szCs w:val="24"/>
          <w:lang w:val="fr-FR"/>
        </w:rPr>
        <w:t xml:space="preserve">. Le règlement s’appliquera dans la plupart des cas où la collecte de données sera subordonnée à la conclusion d’un contrat ou au consentement exprès des personnes concernées (le silence ou l’inactivité ne valent pas consentement). Des exigences plus strictes en matière de transparence, ainsi que des droits à l’information, d’accès aux données et d’effacement de ces données («droit à l’oubli») sont instaurés. </w:t>
      </w:r>
      <w:r>
        <w:rPr>
          <w:rFonts w:ascii="Times New Roman" w:hAnsi="Times New Roman"/>
          <w:noProof/>
          <w:color w:val="000000"/>
          <w:sz w:val="24"/>
          <w:szCs w:val="24"/>
          <w:lang w:val="fr-FR"/>
        </w:rPr>
        <w:t xml:space="preserve">Toute utilisation ultérieure des données pour une autre finalité doit donner lieu à une information préalable de l’utilisateur en vue d’obtenir un nouveau consentement, sauf si cette utilisation est par ailleurs licite et autorisée en vertu du règlement. </w:t>
      </w:r>
      <w:r>
        <w:rPr>
          <w:rFonts w:ascii="Times New Roman" w:hAnsi="Times New Roman"/>
          <w:noProof/>
          <w:sz w:val="24"/>
          <w:szCs w:val="24"/>
          <w:lang w:val="fr-FR"/>
        </w:rPr>
        <w:t xml:space="preserve">Par exemple, une entreprise qui a recueilli des données personnelles à des fins de service à la clientèle devra informer ses clients si elle prévoit d'utiliser ces données pour étudier leurs habitudes d’achat et obtenir le consentement ad hoc. La collecte de grandes quantités de données à caractère personnel, qu’elle soit effectuée dans le cadre d’un contrat ou librement consentie, serait contraire aux principes de limitation de la finalité et de limitation des données au minimum nécessaire. </w:t>
      </w:r>
    </w:p>
    <w:p>
      <w:pPr>
        <w:pStyle w:val="Default"/>
        <w:pBdr>
          <w:top w:val="single" w:sz="4" w:space="1" w:color="auto"/>
          <w:left w:val="single" w:sz="4" w:space="1" w:color="auto"/>
          <w:bottom w:val="single" w:sz="4" w:space="1" w:color="auto"/>
          <w:right w:val="single" w:sz="4" w:space="1" w:color="auto"/>
        </w:pBdr>
        <w:shd w:val="clear" w:color="auto" w:fill="D9D9D9" w:themeFill="background1" w:themeFillShade="D9"/>
        <w:jc w:val="both"/>
        <w:rPr>
          <w:noProof/>
          <w:lang w:val="fr-FR"/>
        </w:rPr>
      </w:pPr>
      <w:r>
        <w:rPr>
          <w:noProof/>
          <w:lang w:val="fr-FR"/>
        </w:rPr>
        <w:t xml:space="preserve">Deuxièmement, le règlement introduit une </w:t>
      </w:r>
      <w:r>
        <w:rPr>
          <w:b/>
          <w:noProof/>
          <w:lang w:val="fr-FR"/>
        </w:rPr>
        <w:t>meilleure protection contre les violations de données</w:t>
      </w:r>
      <w:r>
        <w:rPr>
          <w:noProof/>
          <w:lang w:val="fr-FR"/>
        </w:rPr>
        <w:t xml:space="preserve">, moyennant une obligation de notification à l’autorité de contrôle compétente dans les 72 heures au plus tard lorsque la violation des données est susceptible d'engendrer un risque pour les droits et libertés de la personne concernée. Dans certaines circonstances, il impose que la personne dont les données à caractère personnel ont été violées en soit informée. </w:t>
      </w:r>
    </w:p>
    <w:p>
      <w:pPr>
        <w:pBdr>
          <w:top w:val="single" w:sz="4" w:space="1" w:color="auto"/>
          <w:left w:val="single" w:sz="4" w:space="1" w:color="auto"/>
          <w:bottom w:val="single" w:sz="4" w:space="1" w:color="auto"/>
          <w:right w:val="single" w:sz="4" w:space="1" w:color="auto"/>
        </w:pBdr>
        <w:shd w:val="clear" w:color="auto" w:fill="D9D9D9" w:themeFill="background1" w:themeFillShade="D9"/>
        <w:spacing w:before="240" w:after="120" w:line="240" w:lineRule="auto"/>
        <w:jc w:val="both"/>
        <w:rPr>
          <w:rFonts w:ascii="Times New Roman" w:hAnsi="Times New Roman" w:cs="Times New Roman"/>
          <w:noProof/>
          <w:sz w:val="24"/>
          <w:szCs w:val="24"/>
          <w:lang w:val="fr-FR"/>
        </w:rPr>
      </w:pPr>
      <w:r>
        <w:rPr>
          <w:rFonts w:ascii="Times New Roman" w:hAnsi="Times New Roman"/>
          <w:noProof/>
          <w:sz w:val="24"/>
          <w:szCs w:val="24"/>
          <w:lang w:val="fr-FR"/>
        </w:rPr>
        <w:t>Troisièmement, le règlement rendra plus efficace la coopération entre les autorités de contrôle nationales dans les cas présentant une dimension transfrontalière et garantira une interprétation et une application uniformes des règles dans l’Union, notamment par l’intermédiaire d’un comité européen de la protection des données (CEPD) chargé de fournir des orientations et d’assurer la cohérence de l’interprétation et de l’application dans l’ensemble de l’Union lorsque plusieurs États membres sont concernés.</w:t>
      </w:r>
    </w:p>
    <w:p>
      <w:pPr>
        <w:pBdr>
          <w:top w:val="single" w:sz="4" w:space="1" w:color="auto"/>
          <w:left w:val="single" w:sz="4" w:space="1" w:color="auto"/>
          <w:bottom w:val="single" w:sz="4" w:space="1" w:color="auto"/>
          <w:right w:val="single" w:sz="4" w:space="1" w:color="auto"/>
        </w:pBdr>
        <w:shd w:val="clear" w:color="auto" w:fill="D9D9D9" w:themeFill="background1" w:themeFillShade="D9"/>
        <w:spacing w:before="240" w:after="120" w:line="240" w:lineRule="auto"/>
        <w:jc w:val="both"/>
        <w:rPr>
          <w:rFonts w:ascii="Times New Roman" w:hAnsi="Times New Roman" w:cs="Times New Roman"/>
          <w:noProof/>
          <w:sz w:val="24"/>
          <w:szCs w:val="24"/>
          <w:lang w:val="fr-FR"/>
        </w:rPr>
      </w:pPr>
      <w:r>
        <w:rPr>
          <w:rFonts w:ascii="Times New Roman" w:hAnsi="Times New Roman"/>
          <w:noProof/>
          <w:sz w:val="24"/>
          <w:szCs w:val="24"/>
          <w:lang w:val="fr-FR"/>
        </w:rPr>
        <w:t xml:space="preserve">Enfin, le contrôle de l’application est également renforcé dans le nouveau cadre réglementaire et fondé sur un réseau d’autorités nationales de protection des données. Ces autorités seront toutes habilitées à infliger des amendes aux responsables du traitement et aux sous-traitants d'un montant pouvant aller jusqu’à 20 millions d’EUR ou, dans le cas d’une entreprise, jusqu’à 4 % de son chiffre d’affaires annuel mondial, le montant le plus élevé étant retenu. </w:t>
      </w:r>
    </w:p>
    <w:p>
      <w:pPr>
        <w:spacing w:before="240" w:after="120" w:line="240" w:lineRule="auto"/>
        <w:jc w:val="both"/>
        <w:rPr>
          <w:noProof/>
          <w:lang w:val="fr-FR"/>
        </w:rPr>
      </w:pPr>
      <w:r>
        <w:rPr>
          <w:rFonts w:ascii="Times New Roman" w:hAnsi="Times New Roman"/>
          <w:noProof/>
          <w:sz w:val="24"/>
          <w:szCs w:val="24"/>
          <w:lang w:val="fr-FR"/>
        </w:rPr>
        <w:t>Les règles européennes en matière de protection des données rendent possible la libre circulation dans l’Union des données à caractère personnel, d’où peut être extraite la masse critique de données essentielle pour une économie des données forte. À titre d’exemple, les approches transfrontières, que ce soit dans le cadre de l’utilisation des données issues des compteurs intelligents des citoyens pour les applications de réseaux intelligents ou de l’amélioration de la sécurité énergétique, dépendent de la libre circulation des données à caractère personnel. Comme dit dans la communication sur l’intelligence artificielle pour l’Europe</w:t>
      </w:r>
      <w:r>
        <w:rPr>
          <w:rStyle w:val="FootnoteReference"/>
          <w:rFonts w:ascii="Times New Roman" w:hAnsi="Times New Roman" w:cs="Times New Roman"/>
          <w:noProof/>
          <w:sz w:val="24"/>
          <w:szCs w:val="24"/>
          <w:lang w:val="fr-FR"/>
        </w:rPr>
        <w:footnoteReference w:id="11"/>
      </w:r>
      <w:r>
        <w:rPr>
          <w:rFonts w:ascii="Times New Roman" w:hAnsi="Times New Roman"/>
          <w:noProof/>
          <w:sz w:val="24"/>
          <w:szCs w:val="24"/>
          <w:lang w:val="fr-FR"/>
        </w:rPr>
        <w:t xml:space="preserve">, la disponibilité des données détenues par le secteur privé devrait être encouragée dans l’intérêt commun. La mise en commun des données relatives à l’apparition de foyers d’épidémies dans différents pays permettrait par exemple aux autorités sanitaires de réagir plus rapidement. De même, le partage des données médicales personnelles et l’accès à ces données pourraient améliorer le diagnostic et le traitement des patients. Le partage des </w:t>
      </w:r>
      <w:r>
        <w:rPr>
          <w:rFonts w:ascii="Times New Roman" w:hAnsi="Times New Roman"/>
          <w:noProof/>
          <w:sz w:val="24"/>
          <w:szCs w:val="24"/>
          <w:lang w:val="fr-FR"/>
        </w:rPr>
        <w:lastRenderedPageBreak/>
        <w:t xml:space="preserve">données issues des voitures et autres moyens de transport pourrait améliorer la gestion du trafic et réduire l’encombrement. Tout cela peut être réalisé en maintenant un degré élevé de protection des données à caractère personnel. </w:t>
      </w:r>
    </w:p>
    <w:p>
      <w:pPr>
        <w:spacing w:before="240" w:after="120" w:line="240" w:lineRule="auto"/>
        <w:jc w:val="both"/>
        <w:rPr>
          <w:rFonts w:ascii="Times New Roman" w:hAnsi="Times New Roman" w:cs="Times New Roman"/>
          <w:noProof/>
          <w:sz w:val="24"/>
          <w:szCs w:val="24"/>
          <w:lang w:val="fr-FR"/>
        </w:rPr>
      </w:pPr>
      <w:r>
        <w:rPr>
          <w:rFonts w:ascii="Times New Roman" w:hAnsi="Times New Roman"/>
          <w:noProof/>
          <w:sz w:val="24"/>
          <w:szCs w:val="24"/>
          <w:lang w:val="fr-FR"/>
        </w:rPr>
        <w:t>La construction d’un véritable espace européen des données</w:t>
      </w:r>
      <w:r>
        <w:rPr>
          <w:rStyle w:val="FootnoteReference"/>
          <w:rFonts w:ascii="Times New Roman" w:hAnsi="Times New Roman" w:cs="Times New Roman"/>
          <w:noProof/>
          <w:sz w:val="24"/>
          <w:szCs w:val="24"/>
          <w:lang w:val="fr-FR"/>
        </w:rPr>
        <w:footnoteReference w:id="12"/>
      </w:r>
      <w:r>
        <w:rPr>
          <w:rFonts w:ascii="Times New Roman" w:hAnsi="Times New Roman"/>
          <w:noProof/>
          <w:sz w:val="24"/>
          <w:szCs w:val="24"/>
          <w:lang w:val="fr-FR"/>
        </w:rPr>
        <w:t xml:space="preserve"> suppose également l’établissement de conditions de concurrence équitables pour les données à caractère non personnel; une proposition dans ce sens a déjà été soumise</w:t>
      </w:r>
      <w:r>
        <w:rPr>
          <w:rStyle w:val="FootnoteReference"/>
          <w:rFonts w:ascii="Times New Roman" w:hAnsi="Times New Roman" w:cs="Times New Roman"/>
          <w:noProof/>
          <w:sz w:val="24"/>
          <w:szCs w:val="24"/>
          <w:lang w:val="fr-FR"/>
        </w:rPr>
        <w:footnoteReference w:id="13"/>
      </w:r>
      <w:r>
        <w:rPr>
          <w:rFonts w:ascii="Times New Roman" w:hAnsi="Times New Roman"/>
          <w:noProof/>
          <w:sz w:val="24"/>
          <w:szCs w:val="24"/>
          <w:lang w:val="fr-FR"/>
        </w:rPr>
        <w:t xml:space="preserve">. Les propositions visant à améliorer l’accès aux données du secteur public contribueront aussi à l’achèvement rapide du règlement sur la </w:t>
      </w:r>
      <w:r>
        <w:rPr>
          <w:rFonts w:ascii="Times New Roman" w:hAnsi="Times New Roman"/>
          <w:b/>
          <w:noProof/>
          <w:sz w:val="24"/>
          <w:szCs w:val="24"/>
          <w:lang w:val="fr-FR"/>
        </w:rPr>
        <w:t>libre circulation des données à caractère non personnel</w:t>
      </w:r>
      <w:r>
        <w:rPr>
          <w:rFonts w:ascii="Times New Roman" w:hAnsi="Times New Roman"/>
          <w:noProof/>
          <w:sz w:val="24"/>
          <w:szCs w:val="24"/>
          <w:lang w:val="fr-FR"/>
        </w:rPr>
        <w:t xml:space="preserve"> (voir ci-dessous).</w:t>
      </w:r>
    </w:p>
    <w:p>
      <w:pPr>
        <w:spacing w:before="240" w:after="120" w:line="240" w:lineRule="auto"/>
        <w:jc w:val="both"/>
        <w:rPr>
          <w:rFonts w:ascii="Times New Roman" w:hAnsi="Times New Roman" w:cs="Times New Roman"/>
          <w:noProof/>
          <w:sz w:val="24"/>
          <w:szCs w:val="24"/>
          <w:lang w:val="fr-FR"/>
        </w:rPr>
      </w:pPr>
      <w:r>
        <w:rPr>
          <w:rFonts w:ascii="Times New Roman" w:hAnsi="Times New Roman"/>
          <w:noProof/>
          <w:sz w:val="24"/>
          <w:szCs w:val="24"/>
          <w:lang w:val="fr-FR"/>
        </w:rPr>
        <w:t>Le nouveau régime de protection des données doit être opérationnel dès le premier jour</w:t>
      </w:r>
      <w:r>
        <w:rPr>
          <w:rStyle w:val="FootnoteReference"/>
          <w:rFonts w:ascii="Times New Roman" w:hAnsi="Times New Roman" w:cs="Times New Roman"/>
          <w:noProof/>
          <w:sz w:val="24"/>
          <w:szCs w:val="24"/>
          <w:lang w:val="fr-FR"/>
        </w:rPr>
        <w:footnoteReference w:id="14"/>
      </w:r>
      <w:r>
        <w:rPr>
          <w:rFonts w:ascii="Times New Roman" w:hAnsi="Times New Roman"/>
          <w:noProof/>
          <w:sz w:val="24"/>
          <w:szCs w:val="24"/>
          <w:lang w:val="fr-FR"/>
        </w:rPr>
        <w:t xml:space="preserve">. Durant la période de transition de deux ans, les administrations nationales, les autorités de protection des données et les opérateurs privés ont pris leurs dispositions pour s’adapter au nouveau cadre. Un effort supplémentaire doit à présent être consenti afin que tout le monde soit réellement prêt. Moins de deux semaines avant l’expiration du délai imparti, la plupart des États membres doivent encore adopter toutes les dispositions nécessaires pour faire en sorte que leur système réglementaire national soit entièrement conforme au règlement et que leurs autorités nationales de protection des données disposent de ressources suffisantes pour jouer pleinement leur rôle. Il est essentiel que ces dispositions soient rapidement adoptées. La Commission invite les États membres à prendre toutes les mesures nécessaires et à prêter une attention particulière aux besoins des petites entreprises, de façon à ce que leurs coûts de mise en conformité ne compromettent pas leur capacité à rivaliser avec de plus grandes entreprises. </w:t>
      </w:r>
    </w:p>
    <w:p>
      <w:pPr>
        <w:rPr>
          <w:rFonts w:ascii="Times New Roman" w:hAnsi="Times New Roman" w:cs="Times New Roman"/>
          <w:i/>
          <w:noProof/>
          <w:sz w:val="24"/>
          <w:szCs w:val="24"/>
          <w:lang w:val="fr-FR"/>
        </w:rPr>
      </w:pPr>
      <w:r>
        <w:rPr>
          <w:noProof/>
          <w:lang w:val="fr-FR"/>
        </w:rPr>
        <w:br w:type="page"/>
      </w:r>
    </w:p>
    <w:p>
      <w:pPr>
        <w:spacing w:before="240" w:after="120" w:line="240" w:lineRule="auto"/>
        <w:jc w:val="both"/>
        <w:rPr>
          <w:rFonts w:ascii="Times New Roman" w:hAnsi="Times New Roman" w:cs="Times New Roman"/>
          <w:i/>
          <w:noProof/>
          <w:sz w:val="24"/>
          <w:szCs w:val="24"/>
          <w:lang w:val="fr-FR"/>
        </w:rPr>
      </w:pPr>
      <w:r>
        <w:rPr>
          <w:rFonts w:ascii="Times New Roman" w:hAnsi="Times New Roman"/>
          <w:i/>
          <w:noProof/>
          <w:sz w:val="24"/>
          <w:szCs w:val="24"/>
          <w:lang w:val="fr-FR"/>
        </w:rPr>
        <w:lastRenderedPageBreak/>
        <w:t xml:space="preserve">Vie privée et communications électroniques: la confidentialité des communications </w:t>
      </w:r>
    </w:p>
    <w:p>
      <w:pPr>
        <w:spacing w:line="240" w:lineRule="auto"/>
        <w:jc w:val="both"/>
        <w:rPr>
          <w:rFonts w:ascii="Times New Roman" w:hAnsi="Times New Roman" w:cs="Times New Roman"/>
          <w:noProof/>
          <w:sz w:val="24"/>
          <w:szCs w:val="24"/>
          <w:lang w:val="fr-FR"/>
        </w:rPr>
      </w:pPr>
      <w:r>
        <w:rPr>
          <w:rFonts w:ascii="Times New Roman" w:hAnsi="Times New Roman"/>
          <w:noProof/>
          <w:sz w:val="24"/>
          <w:szCs w:val="24"/>
          <w:lang w:val="fr-FR"/>
        </w:rPr>
        <w:t>La possibilité de communiquer de manière confidentielle, à la fois en ligne et hors ligne, est un droit reconnu dans la Charte des droits fondamentaux de l’UE et une demande majeure des citoyens à l’ère de la société numérique</w:t>
      </w:r>
      <w:r>
        <w:rPr>
          <w:rStyle w:val="FootnoteReference"/>
          <w:rFonts w:ascii="Times New Roman" w:hAnsi="Times New Roman" w:cs="Times New Roman"/>
          <w:noProof/>
          <w:sz w:val="24"/>
          <w:szCs w:val="24"/>
          <w:lang w:val="fr-FR"/>
        </w:rPr>
        <w:footnoteReference w:id="15"/>
      </w:r>
      <w:r>
        <w:rPr>
          <w:rFonts w:ascii="Times New Roman" w:hAnsi="Times New Roman"/>
          <w:noProof/>
          <w:sz w:val="24"/>
          <w:szCs w:val="24"/>
          <w:lang w:val="fr-FR"/>
        </w:rPr>
        <w:t xml:space="preserve">. L’Union ne peut tolérer qu’une personne dresse un profil politique détaillé de ses concitoyens en exploitant leurs communications personnelles et leurs données de localisation, puis utilise ces informations pour tenter d'influer sur le comportement politique des citoyens. </w:t>
      </w:r>
    </w:p>
    <w:p>
      <w:pPr>
        <w:spacing w:line="240" w:lineRule="auto"/>
        <w:jc w:val="both"/>
        <w:rPr>
          <w:rFonts w:ascii="Times New Roman" w:hAnsi="Times New Roman" w:cs="Times New Roman"/>
          <w:noProof/>
          <w:sz w:val="24"/>
          <w:szCs w:val="24"/>
          <w:lang w:val="fr-FR"/>
        </w:rPr>
      </w:pPr>
      <w:r>
        <w:rPr>
          <w:rFonts w:ascii="Times New Roman" w:hAnsi="Times New Roman"/>
          <w:noProof/>
          <w:sz w:val="24"/>
          <w:szCs w:val="24"/>
          <w:lang w:val="fr-FR"/>
        </w:rPr>
        <w:t xml:space="preserve">C’est pourquoi, parallèlement au règlement général sur la protection des données, une réglementation sur </w:t>
      </w:r>
      <w:r>
        <w:rPr>
          <w:rFonts w:ascii="Times New Roman" w:hAnsi="Times New Roman"/>
          <w:b/>
          <w:noProof/>
          <w:sz w:val="24"/>
          <w:szCs w:val="24"/>
          <w:lang w:val="fr-FR"/>
        </w:rPr>
        <w:t>la vie privée et les communications électroniques</w:t>
      </w:r>
      <w:r>
        <w:rPr>
          <w:rFonts w:ascii="Times New Roman" w:hAnsi="Times New Roman"/>
          <w:noProof/>
          <w:sz w:val="24"/>
          <w:szCs w:val="24"/>
          <w:lang w:val="fr-FR"/>
        </w:rPr>
        <w:t xml:space="preserve"> est indispensable pour faire en sorte que la confidentialité des communications en ligne des Européens ne soit pas violée. Cela suppose également que le traitement des données de communications électroniques par d’autres que l’utilisateur final ne soit pas autorisé et que les prestataires de services ne puissent accéder aux appareils sans le consentement des utilisateurs. Les personnes physiques pourront contrôler activement leur présence en ligne via des navigateurs, des applications et des appareils numériques et éviter la surveillance non autorisée ou l’exploitation de leurs données sans leur consentement. Cette réglementation, reposant sur un ensemble cohérent de règles relatives à la protection des données et de la vie privée dans l’environnement numérique, pourrait devenir la référence mondiale en la matière. </w:t>
      </w:r>
    </w:p>
    <w:p>
      <w:pPr>
        <w:spacing w:before="240" w:after="120" w:line="240" w:lineRule="auto"/>
        <w:jc w:val="both"/>
        <w:rPr>
          <w:rFonts w:ascii="Times New Roman" w:hAnsi="Times New Roman" w:cs="Times New Roman"/>
          <w:noProof/>
          <w:sz w:val="24"/>
          <w:szCs w:val="24"/>
          <w:lang w:val="fr-FR"/>
        </w:rPr>
      </w:pPr>
      <w:r>
        <w:rPr>
          <w:rFonts w:ascii="Times New Roman" w:hAnsi="Times New Roman"/>
          <w:noProof/>
          <w:sz w:val="24"/>
          <w:szCs w:val="24"/>
          <w:lang w:val="fr-FR"/>
        </w:rPr>
        <w:t>Une fois approuvées par les législateurs, les nouvelles règles sur la vie privée et les communications électroniques s’appliqueraient tant aux opérateurs de télécommunications classiques qu’aux services de communication plus modernes tels que le courrier électronique, la messagerie instantanée ou les services de voix sur IP</w:t>
      </w:r>
      <w:r>
        <w:rPr>
          <w:rFonts w:ascii="Times New Roman" w:eastAsia="Times New Roman" w:hAnsi="Times New Roman" w:cs="Times New Roman"/>
          <w:noProof/>
          <w:sz w:val="24"/>
          <w:szCs w:val="24"/>
          <w:vertAlign w:val="superscript"/>
          <w:lang w:val="fr-FR"/>
        </w:rPr>
        <w:footnoteReference w:id="16"/>
      </w:r>
      <w:r>
        <w:rPr>
          <w:rFonts w:ascii="Times New Roman" w:hAnsi="Times New Roman"/>
          <w:noProof/>
          <w:sz w:val="24"/>
          <w:szCs w:val="24"/>
          <w:lang w:val="fr-FR"/>
        </w:rPr>
        <w:t xml:space="preserve">. Elles permettraient de garantir la confidentialité des communications et des conditions de concurrence équitables pour tous les opérateurs. La Commission appelle le Conseil à s’entendre rapidement sur une position commune, en vue d’entamer les négociations avec le Parlement européen et de se rapprocher d’un accord à l’automne. </w:t>
      </w:r>
    </w:p>
    <w:p>
      <w:pPr>
        <w:spacing w:before="240" w:after="120" w:line="240" w:lineRule="auto"/>
        <w:jc w:val="both"/>
        <w:rPr>
          <w:rFonts w:ascii="Times New Roman" w:hAnsi="Times New Roman" w:cs="Times New Roman"/>
          <w:i/>
          <w:noProof/>
          <w:sz w:val="24"/>
          <w:szCs w:val="24"/>
          <w:lang w:val="fr-FR"/>
        </w:rPr>
      </w:pPr>
      <w:r>
        <w:rPr>
          <w:rFonts w:ascii="Times New Roman" w:hAnsi="Times New Roman"/>
          <w:i/>
          <w:noProof/>
          <w:sz w:val="24"/>
          <w:szCs w:val="24"/>
          <w:lang w:val="fr-FR"/>
        </w:rPr>
        <w:t>Flux de données internationaux</w:t>
      </w:r>
    </w:p>
    <w:p>
      <w:pPr>
        <w:spacing w:before="120" w:after="120" w:line="240" w:lineRule="auto"/>
        <w:jc w:val="both"/>
        <w:rPr>
          <w:rFonts w:ascii="Times New Roman" w:hAnsi="Times New Roman" w:cs="Times New Roman"/>
          <w:noProof/>
          <w:sz w:val="24"/>
          <w:szCs w:val="24"/>
          <w:lang w:val="fr-FR"/>
        </w:rPr>
      </w:pPr>
      <w:r>
        <w:rPr>
          <w:rFonts w:ascii="Times New Roman" w:hAnsi="Times New Roman"/>
          <w:noProof/>
          <w:sz w:val="24"/>
          <w:szCs w:val="24"/>
          <w:lang w:val="fr-FR"/>
        </w:rPr>
        <w:t xml:space="preserve">Les nouvelles règles européennes en matière de protection des données ouvriront encore davantage l’Union aux possibilités offertes par l’économie mondiale des données. En effet, elles élargissent la panoplie d’outils disponibles pour le transfert international de données à caractère personnel vers des pays tiers, en y ajoutant des mécanismes de certification et des codes de conduites approuvés, assortis d’engagements contraignants et exécutoires de la part du responsable du traitement ou du sous-traitant – autant de moyens d’assurer un degré élevé de protection des données à caractère personnel transférées depuis l’UE. Des règles uniformes et simplifiées devraient en outre rendre l’UE plus attrayante pour les investissements étrangers.  </w:t>
      </w:r>
    </w:p>
    <w:p>
      <w:pPr>
        <w:spacing w:before="240" w:after="120" w:line="240" w:lineRule="auto"/>
        <w:jc w:val="both"/>
        <w:rPr>
          <w:rFonts w:ascii="Times New Roman" w:hAnsi="Times New Roman" w:cs="Times New Roman"/>
          <w:noProof/>
          <w:sz w:val="24"/>
          <w:szCs w:val="24"/>
          <w:lang w:val="fr-FR"/>
        </w:rPr>
      </w:pPr>
      <w:r>
        <w:rPr>
          <w:rFonts w:ascii="Times New Roman" w:hAnsi="Times New Roman"/>
          <w:noProof/>
          <w:sz w:val="24"/>
          <w:szCs w:val="24"/>
          <w:lang w:val="fr-FR"/>
        </w:rPr>
        <w:t xml:space="preserve">Le traitement de l’affaire «Facebook/Cambridge Analytica» par les autorités américaines sera important pour évaluer l’efficacité du bouclier de protection des données UE-États-Unis, qui garantit depuis 2016 un niveau de protection équivalent à celui de l’UE. La Commission se </w:t>
      </w:r>
      <w:r>
        <w:rPr>
          <w:rFonts w:ascii="Times New Roman" w:hAnsi="Times New Roman"/>
          <w:noProof/>
          <w:sz w:val="24"/>
          <w:szCs w:val="24"/>
          <w:lang w:val="fr-FR"/>
        </w:rPr>
        <w:lastRenderedPageBreak/>
        <w:t>félicite de l’ouverture d’une enquête par la Commission fédérale du commerce des États-Unis et suivra de près son évolution, notamment dans la perspective du second examen annuel de l’accord, en septembre 2018. Le bouclier de protection des données garantit que tout citoyen de l’UE qui estime que des données le concernant ont été traitées de manière illicite par une entreprise américaine ayant adhéré à ce mécanisme et l’appliquant aux données transférées bénéficie de plusieurs voies de recours qui soient à la fois faciles d’accès et abordables</w:t>
      </w:r>
      <w:r>
        <w:rPr>
          <w:rStyle w:val="FootnoteReference"/>
          <w:rFonts w:ascii="Times New Roman" w:hAnsi="Times New Roman" w:cs="Times New Roman"/>
          <w:noProof/>
          <w:sz w:val="24"/>
          <w:szCs w:val="24"/>
          <w:lang w:val="fr-FR"/>
        </w:rPr>
        <w:footnoteReference w:id="17"/>
      </w:r>
      <w:r>
        <w:rPr>
          <w:rFonts w:ascii="Times New Roman" w:hAnsi="Times New Roman"/>
          <w:noProof/>
          <w:sz w:val="24"/>
          <w:szCs w:val="24"/>
          <w:lang w:val="fr-FR"/>
        </w:rPr>
        <w:t xml:space="preserve">. La Commission continuera de s’assurer qu'il en va bien ainsi dans la pratique. </w:t>
      </w:r>
    </w:p>
    <w:p>
      <w:pPr>
        <w:spacing w:before="240" w:after="120" w:line="240" w:lineRule="auto"/>
        <w:jc w:val="both"/>
        <w:rPr>
          <w:rFonts w:ascii="Times New Roman" w:hAnsi="Times New Roman" w:cs="Times New Roman"/>
          <w:noProof/>
          <w:sz w:val="24"/>
          <w:szCs w:val="24"/>
          <w:lang w:val="fr-FR"/>
        </w:rPr>
      </w:pPr>
      <w:r>
        <w:rPr>
          <w:rFonts w:ascii="Times New Roman" w:hAnsi="Times New Roman"/>
          <w:noProof/>
          <w:sz w:val="24"/>
          <w:szCs w:val="24"/>
          <w:lang w:val="fr-FR"/>
        </w:rPr>
        <w:t xml:space="preserve">De plus en plus de pays dans le monde prennent conscience que des règles solides en matière de protection des données et de la vie privée non seulement garantissent le respect de droits fondamentaux mais créent aussi un climat de confiance dans l’économie numérique. Par conséquent, nombreux sont ceux qui adoptent des dispositions législatives relatives à la vie privée ou qui modernisent les dispositions existantes. Le règlement général sur la protection des données constitue alors souvent une source d’inspiration, les règles de l’UE faisant figure de référence mondiale en matière de protection des données et de la vie privée. La Commission étudie actuellement la possibilité de conclure des décisions d’adéquation avec le Japon et la Corée du Sud, ce qui signifierait que les données à caractère personnel transférées de l’UE vers ces pays devraient bénéficier du même niveau de protection et des mêmes voies de recours qu’au sein de l’Union. </w:t>
      </w:r>
    </w:p>
    <w:p>
      <w:pPr>
        <w:spacing w:before="240" w:after="240" w:line="240" w:lineRule="auto"/>
        <w:jc w:val="both"/>
        <w:rPr>
          <w:rFonts w:ascii="Times New Roman" w:hAnsi="Times New Roman" w:cs="Times New Roman"/>
          <w:noProof/>
          <w:sz w:val="24"/>
          <w:szCs w:val="24"/>
          <w:lang w:val="fr-FR"/>
        </w:rPr>
      </w:pPr>
      <w:r>
        <w:rPr>
          <w:rFonts w:ascii="Times New Roman" w:hAnsi="Times New Roman"/>
          <w:noProof/>
          <w:sz w:val="24"/>
          <w:szCs w:val="24"/>
          <w:lang w:val="fr-FR"/>
        </w:rPr>
        <w:t>Parallèlement à cela, la Commission a mis au point une approche visant à permettre à l’UE de déjouer, au moyen d’accords commerciaux et d’investissement, les pratiques protectionnistes à l’égard des flux transfrontaliers de données dans l’économie numérique, tout en veillant à ce que le droit à la protection des données à caractère personnel et de la vie privée soit pleinement préservé. Une fois intégrée dans les accords de commerce et d’investissement de l’UE, cette approche favorisera la libre circulation des données et inspirera confiance quant à la manière dont les données à caractère personnel sont traitées.</w:t>
      </w:r>
    </w:p>
    <w:p>
      <w:pPr>
        <w:spacing w:before="240" w:after="240" w:line="240" w:lineRule="auto"/>
        <w:jc w:val="both"/>
        <w:rPr>
          <w:rFonts w:ascii="Times New Roman" w:hAnsi="Times New Roman" w:cs="Times New Roman"/>
          <w:noProof/>
          <w:sz w:val="24"/>
          <w:szCs w:val="24"/>
          <w:lang w:val="fr-FR"/>
        </w:rPr>
      </w:pPr>
      <w:r>
        <w:rPr>
          <w:rFonts w:ascii="Times New Roman" w:hAnsi="Times New Roman"/>
          <w:noProof/>
          <w:sz w:val="24"/>
          <w:szCs w:val="24"/>
          <w:lang w:val="fr-FR"/>
        </w:rPr>
        <w:t xml:space="preserve">Compte tenu de l’importance stratégique du règlement général sur la protection des données pour la souveraineté des données de l’Union, il convient que le Conseil européen rappelle à tous les États membres qu’ils ne devraient pas faire obstacle à son application immédiate et directe à partir du 25 mai 2018 mais plutôt doter les autorités nationales indépendantes chargées de la protection des données de toutes les ressources nécessaires pour assurer une application intégrale et efficace du nouveau cadre juridique de manière égale et uniforme dans tous les États membres. Afin de garantir des conditions de concurrence équitables, conformément à l’objectif visé par le législateur de l’UE, la Commission ouvrira immédiatement après le 25 mai 2018 des procédures d’infraction à l’égard des États membres qui manqueront aux obligations leur incombant au titre du règlement général sur la protection des données. </w:t>
      </w:r>
    </w:p>
    <w:p>
      <w:pPr>
        <w:spacing w:before="240" w:after="240" w:line="240" w:lineRule="auto"/>
        <w:jc w:val="both"/>
        <w:rPr>
          <w:rFonts w:ascii="Times New Roman" w:hAnsi="Times New Roman" w:cs="Times New Roman"/>
          <w:b/>
          <w:i/>
          <w:noProof/>
          <w:sz w:val="24"/>
          <w:szCs w:val="24"/>
          <w:lang w:val="fr-FR"/>
        </w:rPr>
      </w:pPr>
      <w:r>
        <w:rPr>
          <w:rFonts w:ascii="Times New Roman" w:hAnsi="Times New Roman"/>
          <w:b/>
          <w:i/>
          <w:noProof/>
          <w:sz w:val="24"/>
          <w:szCs w:val="24"/>
          <w:lang w:val="fr-FR"/>
        </w:rPr>
        <w:t>La Commission appelle le Parlement européen et le Conseil à accélérer leurs travaux et à conclure dès que possible les négociations sur le règlement «vie privée et communications électroniques» (proposé par la Commission en janvier 2017) et sur la mise à jour du règlement européen relatif à la protection des personnes physiques à l’égard du traitement des données à caractère personnel par les institutions, organes et organismes de l’Union et à la libre circulation de ces données.</w:t>
      </w:r>
    </w:p>
    <w:p>
      <w:pPr>
        <w:pStyle w:val="ListParagraph"/>
        <w:numPr>
          <w:ilvl w:val="0"/>
          <w:numId w:val="4"/>
        </w:numPr>
        <w:spacing w:after="240" w:line="240" w:lineRule="auto"/>
        <w:jc w:val="both"/>
        <w:rPr>
          <w:rFonts w:ascii="Times New Roman" w:hAnsi="Times New Roman" w:cs="Times New Roman"/>
          <w:b/>
          <w:noProof/>
          <w:sz w:val="24"/>
          <w:szCs w:val="24"/>
          <w:lang w:val="fr-FR"/>
        </w:rPr>
      </w:pPr>
      <w:r>
        <w:rPr>
          <w:rFonts w:ascii="Times New Roman" w:hAnsi="Times New Roman"/>
          <w:b/>
          <w:noProof/>
          <w:sz w:val="24"/>
          <w:szCs w:val="24"/>
          <w:lang w:val="fr-FR"/>
        </w:rPr>
        <w:lastRenderedPageBreak/>
        <w:t>Accélérer l’achèvement du marché unique numérique: conclusion des propositions clés</w:t>
      </w:r>
    </w:p>
    <w:p>
      <w:pPr>
        <w:spacing w:before="240" w:line="240" w:lineRule="auto"/>
        <w:jc w:val="both"/>
        <w:rPr>
          <w:rFonts w:ascii="Times New Roman" w:hAnsi="Times New Roman" w:cs="Times New Roman"/>
          <w:noProof/>
          <w:sz w:val="24"/>
          <w:szCs w:val="24"/>
          <w:lang w:val="fr-FR"/>
        </w:rPr>
      </w:pPr>
      <w:r>
        <w:rPr>
          <w:rFonts w:ascii="Times New Roman" w:hAnsi="Times New Roman"/>
          <w:noProof/>
          <w:sz w:val="24"/>
          <w:lang w:val="fr-FR"/>
        </w:rPr>
        <w:t>Si les entraves au marché unique numérique en Europe disparaissaient, le produit intérieur brut de l’UE pourrait augmenter de 415 milliards d’EUR</w:t>
      </w:r>
      <w:r>
        <w:rPr>
          <w:rStyle w:val="FootnoteReference"/>
          <w:rFonts w:ascii="Times New Roman" w:hAnsi="Times New Roman" w:cs="Times New Roman"/>
          <w:noProof/>
          <w:sz w:val="24"/>
          <w:szCs w:val="24"/>
          <w:lang w:val="fr-FR"/>
        </w:rPr>
        <w:footnoteReference w:id="18"/>
      </w:r>
      <w:r>
        <w:rPr>
          <w:rFonts w:ascii="Times New Roman" w:hAnsi="Times New Roman"/>
          <w:noProof/>
          <w:sz w:val="24"/>
          <w:lang w:val="fr-FR"/>
        </w:rPr>
        <w:t>.</w:t>
      </w:r>
      <w:r>
        <w:rPr>
          <w:rStyle w:val="Nessuno"/>
          <w:noProof/>
          <w:lang w:val="fr-FR"/>
        </w:rPr>
        <w:t xml:space="preserve"> </w:t>
      </w:r>
      <w:r>
        <w:rPr>
          <w:rFonts w:ascii="Times New Roman" w:hAnsi="Times New Roman"/>
          <w:noProof/>
          <w:sz w:val="24"/>
          <w:szCs w:val="24"/>
          <w:lang w:val="fr-FR"/>
        </w:rPr>
        <w:t>Depuis le lancement de la stratégie pour un marché unique numérique en 2015, la Commission a bien avancé et a soumis des propositions pour les 29 initiatives considérées comme essentielles pour le bon fonctionnement du marché unique numérique</w:t>
      </w:r>
      <w:r>
        <w:rPr>
          <w:rStyle w:val="FootnoteReference"/>
          <w:rFonts w:ascii="Times New Roman" w:hAnsi="Times New Roman" w:cs="Times New Roman"/>
          <w:noProof/>
          <w:sz w:val="24"/>
          <w:szCs w:val="24"/>
          <w:lang w:val="fr-FR"/>
        </w:rPr>
        <w:footnoteReference w:id="19"/>
      </w:r>
      <w:r>
        <w:rPr>
          <w:rFonts w:ascii="Times New Roman" w:hAnsi="Times New Roman"/>
          <w:noProof/>
          <w:sz w:val="24"/>
          <w:szCs w:val="24"/>
          <w:lang w:val="fr-FR"/>
        </w:rPr>
        <w:t>. Les citoyens en récoltent déjà les fruits: avec la suppression des frais d’</w:t>
      </w:r>
      <w:r>
        <w:rPr>
          <w:rFonts w:ascii="Times New Roman" w:hAnsi="Times New Roman"/>
          <w:b/>
          <w:noProof/>
          <w:sz w:val="24"/>
          <w:szCs w:val="24"/>
          <w:lang w:val="fr-FR"/>
        </w:rPr>
        <w:t>itinérance</w:t>
      </w:r>
      <w:r>
        <w:rPr>
          <w:rFonts w:ascii="Times New Roman" w:hAnsi="Times New Roman"/>
          <w:noProof/>
          <w:sz w:val="24"/>
          <w:szCs w:val="24"/>
          <w:lang w:val="fr-FR"/>
        </w:rPr>
        <w:t>, l’utilisation de données mobiles par les citoyens séjournant dans d’autres États membres avait quadruplé à la fin de l’été 2017</w:t>
      </w:r>
      <w:r>
        <w:rPr>
          <w:rStyle w:val="FootnoteReference"/>
          <w:rFonts w:ascii="Times New Roman" w:hAnsi="Times New Roman" w:cs="Times New Roman"/>
          <w:noProof/>
          <w:sz w:val="24"/>
          <w:szCs w:val="24"/>
          <w:lang w:val="fr-FR"/>
        </w:rPr>
        <w:footnoteReference w:id="20"/>
      </w:r>
      <w:r>
        <w:rPr>
          <w:rFonts w:ascii="Times New Roman" w:hAnsi="Times New Roman"/>
          <w:noProof/>
          <w:sz w:val="24"/>
          <w:szCs w:val="24"/>
          <w:lang w:val="fr-FR"/>
        </w:rPr>
        <w:t xml:space="preserve">. Grâce à la </w:t>
      </w:r>
      <w:r>
        <w:rPr>
          <w:rFonts w:ascii="Times New Roman" w:hAnsi="Times New Roman"/>
          <w:b/>
          <w:noProof/>
          <w:sz w:val="24"/>
          <w:szCs w:val="24"/>
          <w:lang w:val="fr-FR"/>
        </w:rPr>
        <w:t>portabilité</w:t>
      </w:r>
      <w:r>
        <w:rPr>
          <w:rFonts w:ascii="Times New Roman" w:hAnsi="Times New Roman"/>
          <w:noProof/>
          <w:sz w:val="24"/>
          <w:szCs w:val="24"/>
          <w:lang w:val="fr-FR"/>
        </w:rPr>
        <w:t xml:space="preserve">, les citoyens peuvent désormais regarder leurs contenus audiovisuels et manifestations sportives préférés partout dans l’UE. La suppression des </w:t>
      </w:r>
      <w:r>
        <w:rPr>
          <w:rFonts w:ascii="Times New Roman" w:hAnsi="Times New Roman"/>
          <w:b/>
          <w:noProof/>
          <w:sz w:val="24"/>
          <w:szCs w:val="24"/>
          <w:lang w:val="fr-FR"/>
        </w:rPr>
        <w:t>restrictions abusives liées au blocage géographique</w:t>
      </w:r>
      <w:r>
        <w:rPr>
          <w:rFonts w:ascii="Times New Roman" w:hAnsi="Times New Roman"/>
          <w:noProof/>
          <w:sz w:val="24"/>
          <w:szCs w:val="24"/>
          <w:lang w:val="fr-FR"/>
        </w:rPr>
        <w:t xml:space="preserve"> permettra aux consommateurs d’effectuer plus librement leurs achats en ligne, et il y aura davantage de transparence et de choix concernant les </w:t>
      </w:r>
      <w:r>
        <w:rPr>
          <w:rFonts w:ascii="Times New Roman" w:hAnsi="Times New Roman"/>
          <w:b/>
          <w:noProof/>
          <w:sz w:val="24"/>
          <w:szCs w:val="24"/>
          <w:lang w:val="fr-FR"/>
        </w:rPr>
        <w:t>tarifs de livraison de colis</w:t>
      </w:r>
      <w:r>
        <w:rPr>
          <w:rFonts w:ascii="Times New Roman" w:hAnsi="Times New Roman"/>
          <w:noProof/>
          <w:sz w:val="24"/>
          <w:szCs w:val="24"/>
          <w:lang w:val="fr-FR"/>
        </w:rPr>
        <w:t xml:space="preserve"> pour ce type de transactions. Avec le nouveau </w:t>
      </w:r>
      <w:r>
        <w:rPr>
          <w:rFonts w:ascii="Times New Roman" w:hAnsi="Times New Roman"/>
          <w:b/>
          <w:noProof/>
          <w:sz w:val="24"/>
          <w:szCs w:val="24"/>
          <w:lang w:val="fr-FR"/>
        </w:rPr>
        <w:t>cadre relatif à la taxe sur la valeur ajoutée pour le commerce électronique</w:t>
      </w:r>
      <w:r>
        <w:rPr>
          <w:rFonts w:ascii="Times New Roman" w:hAnsi="Times New Roman"/>
          <w:noProof/>
          <w:sz w:val="24"/>
          <w:szCs w:val="24"/>
          <w:lang w:val="fr-FR"/>
        </w:rPr>
        <w:t xml:space="preserve"> et les nouvelles </w:t>
      </w:r>
      <w:r>
        <w:rPr>
          <w:rFonts w:ascii="Times New Roman" w:hAnsi="Times New Roman"/>
          <w:b/>
          <w:noProof/>
          <w:sz w:val="24"/>
          <w:szCs w:val="24"/>
          <w:lang w:val="fr-FR"/>
        </w:rPr>
        <w:t>règles contractuelles</w:t>
      </w:r>
      <w:r>
        <w:rPr>
          <w:rFonts w:ascii="Times New Roman" w:hAnsi="Times New Roman"/>
          <w:noProof/>
          <w:sz w:val="24"/>
          <w:szCs w:val="24"/>
          <w:lang w:val="fr-FR"/>
        </w:rPr>
        <w:t xml:space="preserve"> applicables tant aux contenus qu’aux marchandises en ligne, un cadre complet sur le commerce électronique sera mis en place avant la fin du mandat de l’actuelle Commission, doublé d'une étroite </w:t>
      </w:r>
      <w:r>
        <w:rPr>
          <w:rFonts w:ascii="Times New Roman" w:hAnsi="Times New Roman"/>
          <w:b/>
          <w:noProof/>
          <w:sz w:val="24"/>
          <w:szCs w:val="24"/>
          <w:lang w:val="fr-FR"/>
        </w:rPr>
        <w:t>coopération en matière de protection des consommateurs</w:t>
      </w:r>
      <w:r>
        <w:rPr>
          <w:rFonts w:ascii="Times New Roman" w:hAnsi="Times New Roman"/>
          <w:noProof/>
          <w:sz w:val="24"/>
          <w:szCs w:val="24"/>
          <w:lang w:val="fr-FR"/>
        </w:rPr>
        <w:t xml:space="preserve">. Pour garantir ces avancées, il est essentiel que les négociations sur les propositions relatives aux </w:t>
      </w:r>
      <w:r>
        <w:rPr>
          <w:rFonts w:ascii="Times New Roman" w:hAnsi="Times New Roman"/>
          <w:b/>
          <w:noProof/>
          <w:sz w:val="24"/>
          <w:szCs w:val="24"/>
          <w:lang w:val="fr-FR"/>
        </w:rPr>
        <w:t>règles contractuelles</w:t>
      </w:r>
      <w:r>
        <w:rPr>
          <w:rFonts w:ascii="Times New Roman" w:hAnsi="Times New Roman"/>
          <w:noProof/>
          <w:sz w:val="24"/>
          <w:szCs w:val="24"/>
          <w:lang w:val="fr-FR"/>
        </w:rPr>
        <w:t xml:space="preserve"> aboutissent, de façon à permettre aux consommateurs de faire leurs achats en ligne avec la certitude qu’en cas de dysfonctionnement des contenus numériques (musique ou logiciels téléchargés, par exemple), ils auront accès aux mêmes recours, quel que soit l’endroit de l’UE où l’achat a été effectué. </w:t>
      </w:r>
      <w:r>
        <w:rPr>
          <w:rFonts w:ascii="Times New Roman" w:hAnsi="Times New Roman"/>
          <w:noProof/>
          <w:color w:val="000000"/>
          <w:sz w:val="24"/>
          <w:szCs w:val="24"/>
          <w:lang w:val="fr-FR"/>
        </w:rPr>
        <w:t>Ce cadre juridique amélioré devrait inciter 122 000 entreprises supplémentaires à proposer leurs produits et services à des consommateurs d’autres États membres, d’où un gain potentiel pour l’économie de l’UE de 4 millions d’EUR.</w:t>
      </w:r>
    </w:p>
    <w:p>
      <w:pPr>
        <w:spacing w:line="240" w:lineRule="auto"/>
        <w:jc w:val="both"/>
        <w:rPr>
          <w:rFonts w:ascii="Times New Roman" w:hAnsi="Times New Roman" w:cs="Times New Roman"/>
          <w:noProof/>
          <w:sz w:val="24"/>
          <w:szCs w:val="24"/>
          <w:lang w:val="fr-FR"/>
        </w:rPr>
      </w:pPr>
      <w:r>
        <w:rPr>
          <w:rFonts w:ascii="Times New Roman" w:hAnsi="Times New Roman"/>
          <w:noProof/>
          <w:sz w:val="24"/>
          <w:szCs w:val="24"/>
          <w:lang w:val="fr-FR"/>
        </w:rPr>
        <w:t xml:space="preserve">La </w:t>
      </w:r>
      <w:r>
        <w:rPr>
          <w:rFonts w:ascii="Times New Roman" w:hAnsi="Times New Roman"/>
          <w:b/>
          <w:noProof/>
          <w:sz w:val="24"/>
          <w:szCs w:val="24"/>
          <w:lang w:val="fr-FR"/>
        </w:rPr>
        <w:t>cybersécurité</w:t>
      </w:r>
      <w:r>
        <w:rPr>
          <w:rFonts w:ascii="Times New Roman" w:hAnsi="Times New Roman"/>
          <w:noProof/>
          <w:sz w:val="24"/>
          <w:szCs w:val="24"/>
          <w:lang w:val="fr-FR"/>
        </w:rPr>
        <w:t xml:space="preserve"> des solutions fondées sur les données est essentielle pour asseoir la confiance des utilisateurs. </w:t>
      </w:r>
      <w:r>
        <w:rPr>
          <w:rFonts w:ascii="Times New Roman" w:hAnsi="Times New Roman"/>
          <w:bCs/>
          <w:noProof/>
          <w:sz w:val="24"/>
          <w:szCs w:val="24"/>
          <w:lang w:val="fr-FR"/>
        </w:rPr>
        <w:t>La mise en œuvre intégrale, par tous les États membres, du premier acte juridique à l’échelle européenne en matière de cybersécurité, à savoir la directive sur la sécurité des réseaux et des systèmes d’information</w:t>
      </w:r>
      <w:r>
        <w:rPr>
          <w:rStyle w:val="FootnoteReference"/>
          <w:rFonts w:ascii="Times New Roman" w:hAnsi="Times New Roman" w:cs="Times New Roman"/>
          <w:bCs/>
          <w:noProof/>
          <w:sz w:val="24"/>
          <w:szCs w:val="24"/>
          <w:lang w:val="fr-FR"/>
        </w:rPr>
        <w:footnoteReference w:id="21"/>
      </w:r>
      <w:r>
        <w:rPr>
          <w:rFonts w:ascii="Times New Roman" w:hAnsi="Times New Roman"/>
          <w:bCs/>
          <w:noProof/>
          <w:sz w:val="24"/>
          <w:szCs w:val="24"/>
          <w:lang w:val="fr-FR"/>
        </w:rPr>
        <w:t>, constitue une première étape majeure vers la cyber-résilience de l’UE.</w:t>
      </w:r>
      <w:r>
        <w:rPr>
          <w:rFonts w:ascii="Times New Roman" w:hAnsi="Times New Roman"/>
          <w:noProof/>
          <w:sz w:val="24"/>
          <w:szCs w:val="24"/>
          <w:lang w:val="fr-FR"/>
        </w:rPr>
        <w:t xml:space="preserve"> Les principaux outils de lutte contre la cybersécurité sont aujourd’hui entre les mains des autorités nationales, ce qui permettra d’élever progressivement le niveau d’exigence des normes; le cadre de certification en matière de cybersécurité</w:t>
      </w:r>
      <w:r>
        <w:rPr>
          <w:rStyle w:val="FootnoteReference"/>
          <w:rFonts w:ascii="Times New Roman" w:hAnsi="Times New Roman" w:cs="Times New Roman"/>
          <w:noProof/>
          <w:sz w:val="24"/>
          <w:szCs w:val="24"/>
          <w:lang w:val="fr-FR"/>
        </w:rPr>
        <w:footnoteReference w:id="22"/>
      </w:r>
      <w:r>
        <w:rPr>
          <w:rFonts w:ascii="Times New Roman" w:hAnsi="Times New Roman"/>
          <w:noProof/>
          <w:sz w:val="24"/>
          <w:szCs w:val="24"/>
          <w:lang w:val="fr-FR"/>
        </w:rPr>
        <w:t xml:space="preserve"> proposé favorisera quant à lui le déploiement de solutions informatiques sécurisées. Un accord rapide entre le Parlement européen et le Conseil contribuerait à accélérer l’intégration de normes de résilience plus strictes dans les produits et à renforcer la confiance des consommateurs de l’UE dans la sécurité dès la conception. La cybersécurité doit s’accompagner d’une dissuasion efficace des activités criminelles: à cet égard, l’adoption rapide d’un ensemble ambitieux de règles minimales communes pour lutter contre la fraude et la contrefaçon des moyens de paiement autres que les espèces</w:t>
      </w:r>
      <w:r>
        <w:rPr>
          <w:rStyle w:val="FootnoteReference"/>
          <w:rFonts w:ascii="Times New Roman" w:hAnsi="Times New Roman" w:cs="Times New Roman"/>
          <w:noProof/>
          <w:sz w:val="24"/>
          <w:szCs w:val="24"/>
          <w:lang w:val="fr-FR"/>
        </w:rPr>
        <w:footnoteReference w:id="23"/>
      </w:r>
      <w:r>
        <w:rPr>
          <w:rFonts w:ascii="Times New Roman" w:hAnsi="Times New Roman"/>
          <w:noProof/>
          <w:sz w:val="24"/>
          <w:szCs w:val="24"/>
          <w:lang w:val="fr-FR"/>
        </w:rPr>
        <w:t xml:space="preserve"> serait capitale.</w:t>
      </w:r>
    </w:p>
    <w:p>
      <w:pPr>
        <w:spacing w:before="240" w:line="240" w:lineRule="auto"/>
        <w:jc w:val="both"/>
        <w:rPr>
          <w:rFonts w:ascii="Times New Roman" w:hAnsi="Times New Roman" w:cs="Times New Roman"/>
          <w:noProof/>
          <w:sz w:val="24"/>
          <w:szCs w:val="24"/>
          <w:lang w:val="fr-FR"/>
        </w:rPr>
      </w:pPr>
      <w:r>
        <w:rPr>
          <w:rFonts w:ascii="Times New Roman" w:hAnsi="Times New Roman"/>
          <w:noProof/>
          <w:sz w:val="24"/>
          <w:szCs w:val="24"/>
          <w:lang w:val="fr-FR"/>
        </w:rPr>
        <w:lastRenderedPageBreak/>
        <w:t>En septembre 2018, les exigences relatives aux systèmes d’</w:t>
      </w:r>
      <w:r>
        <w:rPr>
          <w:rFonts w:ascii="Times New Roman" w:hAnsi="Times New Roman"/>
          <w:b/>
          <w:bCs/>
          <w:noProof/>
          <w:sz w:val="24"/>
          <w:szCs w:val="24"/>
          <w:lang w:val="fr-FR"/>
        </w:rPr>
        <w:t>identification électronique</w:t>
      </w:r>
      <w:r>
        <w:rPr>
          <w:rFonts w:ascii="Times New Roman" w:hAnsi="Times New Roman"/>
          <w:noProof/>
          <w:sz w:val="24"/>
          <w:szCs w:val="24"/>
          <w:lang w:val="fr-FR"/>
        </w:rPr>
        <w:t xml:space="preserve"> deviendront applicables, garantissant ainsi l’interopérabilité de l’identification électronique publique et d’autres services sécurisés dans l’ensemble de l’Union</w:t>
      </w:r>
      <w:r>
        <w:rPr>
          <w:rStyle w:val="FootnoteReference"/>
          <w:rFonts w:ascii="Times New Roman" w:hAnsi="Times New Roman" w:cs="Times New Roman"/>
          <w:noProof/>
          <w:sz w:val="24"/>
          <w:szCs w:val="24"/>
          <w:lang w:val="fr-FR"/>
        </w:rPr>
        <w:footnoteReference w:id="24"/>
      </w:r>
      <w:r>
        <w:rPr>
          <w:rFonts w:ascii="Times New Roman" w:hAnsi="Times New Roman"/>
          <w:noProof/>
          <w:sz w:val="24"/>
          <w:szCs w:val="24"/>
          <w:lang w:val="fr-FR"/>
        </w:rPr>
        <w:t xml:space="preserve">. En plus d’un </w:t>
      </w:r>
      <w:r>
        <w:rPr>
          <w:rFonts w:ascii="Times New Roman" w:hAnsi="Times New Roman"/>
          <w:b/>
          <w:noProof/>
          <w:sz w:val="24"/>
          <w:szCs w:val="24"/>
          <w:lang w:val="fr-FR"/>
        </w:rPr>
        <w:t>portail numérique unique</w:t>
      </w:r>
      <w:r>
        <w:rPr>
          <w:rFonts w:ascii="Times New Roman" w:hAnsi="Times New Roman"/>
          <w:noProof/>
          <w:sz w:val="24"/>
          <w:szCs w:val="24"/>
          <w:lang w:val="fr-FR"/>
        </w:rPr>
        <w:t xml:space="preserve"> pour accéder aux informations et procédures en ligne, les États membres seront en mesure d’offrir un environnement plus simple aux consommateurs et aux entreprises ayant affaire aux administrations publiques dans l’UE. </w:t>
      </w:r>
    </w:p>
    <w:p>
      <w:pPr>
        <w:spacing w:before="240" w:line="240" w:lineRule="auto"/>
        <w:jc w:val="both"/>
        <w:rPr>
          <w:rFonts w:ascii="Times New Roman" w:hAnsi="Times New Roman" w:cs="Times New Roman"/>
          <w:b/>
          <w:i/>
          <w:noProof/>
          <w:sz w:val="24"/>
          <w:szCs w:val="24"/>
          <w:lang w:val="fr-FR"/>
        </w:rPr>
      </w:pPr>
      <w:r>
        <w:rPr>
          <w:rFonts w:ascii="Times New Roman" w:hAnsi="Times New Roman"/>
          <w:noProof/>
          <w:sz w:val="24"/>
          <w:szCs w:val="24"/>
          <w:lang w:val="fr-FR"/>
        </w:rPr>
        <w:t xml:space="preserve">L’économie européenne des données dépend également d’une connectivité de haute qualité pour permettre la fourniture de contenus numériques aux quatre coins de l’Union, y compris au moyen de communications par satellite. C’est pourquoi il est impératif que le Parlement européen et le Conseil parviennent à un accord sur le </w:t>
      </w:r>
      <w:r>
        <w:rPr>
          <w:rFonts w:ascii="Times New Roman" w:hAnsi="Times New Roman"/>
          <w:b/>
          <w:noProof/>
          <w:sz w:val="24"/>
          <w:szCs w:val="24"/>
          <w:lang w:val="fr-FR"/>
        </w:rPr>
        <w:t>code des communications électroniques</w:t>
      </w:r>
      <w:r>
        <w:rPr>
          <w:rFonts w:ascii="Times New Roman" w:hAnsi="Times New Roman"/>
          <w:noProof/>
          <w:sz w:val="24"/>
          <w:szCs w:val="24"/>
          <w:lang w:val="fr-FR"/>
        </w:rPr>
        <w:t>, de manière à assurer que tous les États membres de l’UE attribuent, d’ici à 2020, les fréquences nécessaires au déploiement des réseaux de cinquième génération (5G)</w:t>
      </w:r>
      <w:r>
        <w:rPr>
          <w:rStyle w:val="FootnoteReference"/>
          <w:rFonts w:ascii="Times New Roman" w:hAnsi="Times New Roman" w:cs="Times New Roman"/>
          <w:noProof/>
          <w:sz w:val="24"/>
          <w:szCs w:val="24"/>
          <w:lang w:val="fr-FR"/>
        </w:rPr>
        <w:footnoteReference w:id="25"/>
      </w:r>
      <w:r>
        <w:rPr>
          <w:rFonts w:ascii="Times New Roman" w:hAnsi="Times New Roman"/>
          <w:noProof/>
          <w:sz w:val="24"/>
          <w:szCs w:val="24"/>
          <w:lang w:val="fr-FR"/>
        </w:rPr>
        <w:t>. Ce code établira un cadre réglementaire stable pour les investissements dans les réseaux à haute capacité. La modernisation des réseaux le long des principaux axes de transport sera indispensable pour permettre le déploiement des services de mobilité automatisée. Les médecins devront également disposer de tels réseaux dans les hôpitaux pour les téléconsultations et la chirurgie à distance</w:t>
      </w:r>
      <w:r>
        <w:rPr>
          <w:rStyle w:val="FootnoteReference"/>
          <w:rFonts w:ascii="Times New Roman" w:hAnsi="Times New Roman" w:cs="Times New Roman"/>
          <w:noProof/>
          <w:sz w:val="24"/>
          <w:szCs w:val="24"/>
          <w:lang w:val="fr-FR"/>
        </w:rPr>
        <w:footnoteReference w:id="26"/>
      </w:r>
      <w:r>
        <w:rPr>
          <w:rFonts w:ascii="Times New Roman" w:hAnsi="Times New Roman"/>
          <w:noProof/>
          <w:sz w:val="24"/>
          <w:szCs w:val="24"/>
          <w:lang w:val="fr-FR"/>
        </w:rPr>
        <w:t>.</w:t>
      </w:r>
      <w:r>
        <w:rPr>
          <w:rFonts w:ascii="Times New Roman" w:hAnsi="Times New Roman"/>
          <w:b/>
          <w:i/>
          <w:noProof/>
          <w:sz w:val="24"/>
          <w:szCs w:val="24"/>
          <w:lang w:val="fr-FR"/>
        </w:rPr>
        <w:t xml:space="preserve"> </w:t>
      </w:r>
    </w:p>
    <w:p>
      <w:pPr>
        <w:spacing w:before="240" w:after="240" w:line="240" w:lineRule="auto"/>
        <w:jc w:val="both"/>
        <w:rPr>
          <w:rFonts w:ascii="Times New Roman" w:hAnsi="Times New Roman" w:cs="Times New Roman"/>
          <w:b/>
          <w:i/>
          <w:noProof/>
          <w:sz w:val="24"/>
          <w:szCs w:val="24"/>
          <w:lang w:val="fr-FR"/>
        </w:rPr>
      </w:pPr>
      <w:r>
        <w:rPr>
          <w:rFonts w:ascii="Times New Roman" w:hAnsi="Times New Roman"/>
          <w:noProof/>
          <w:sz w:val="24"/>
          <w:szCs w:val="24"/>
          <w:lang w:val="fr-FR"/>
        </w:rPr>
        <w:t xml:space="preserve">En outre, un accord sur les propositions relatives au </w:t>
      </w:r>
      <w:r>
        <w:rPr>
          <w:rFonts w:ascii="Times New Roman" w:hAnsi="Times New Roman"/>
          <w:b/>
          <w:noProof/>
          <w:sz w:val="24"/>
          <w:szCs w:val="24"/>
          <w:lang w:val="fr-FR"/>
        </w:rPr>
        <w:t>droit d’auteur</w:t>
      </w:r>
      <w:r>
        <w:rPr>
          <w:rFonts w:ascii="Times New Roman" w:hAnsi="Times New Roman"/>
          <w:noProof/>
          <w:sz w:val="24"/>
          <w:szCs w:val="24"/>
          <w:lang w:val="fr-FR"/>
        </w:rPr>
        <w:t xml:space="preserve"> est essentiel pour permettre à la culture et à l’identité européennes de prospérer à l’ère numérique et pour assurer la rémunération des créateurs lorsque les contenus sont partagés sur des plateformes en ligne</w:t>
      </w:r>
      <w:r>
        <w:rPr>
          <w:rStyle w:val="FootnoteReference"/>
          <w:rFonts w:ascii="Times New Roman" w:hAnsi="Times New Roman" w:cs="Times New Roman"/>
          <w:noProof/>
          <w:sz w:val="24"/>
          <w:szCs w:val="24"/>
          <w:lang w:val="fr-FR"/>
        </w:rPr>
        <w:footnoteReference w:id="27"/>
      </w:r>
      <w:r>
        <w:rPr>
          <w:rFonts w:ascii="Times New Roman" w:hAnsi="Times New Roman"/>
          <w:noProof/>
          <w:sz w:val="24"/>
          <w:szCs w:val="24"/>
          <w:lang w:val="fr-FR"/>
        </w:rPr>
        <w:t>.</w:t>
      </w:r>
    </w:p>
    <w:p>
      <w:pPr>
        <w:spacing w:after="360" w:line="240" w:lineRule="auto"/>
        <w:jc w:val="both"/>
        <w:rPr>
          <w:rFonts w:ascii="Times New Roman" w:hAnsi="Times New Roman" w:cs="Times New Roman"/>
          <w:b/>
          <w:i/>
          <w:noProof/>
          <w:sz w:val="24"/>
          <w:szCs w:val="24"/>
          <w:lang w:val="fr-FR"/>
        </w:rPr>
      </w:pPr>
      <w:r>
        <w:rPr>
          <w:rFonts w:ascii="Times New Roman" w:hAnsi="Times New Roman"/>
          <w:b/>
          <w:i/>
          <w:noProof/>
          <w:sz w:val="24"/>
          <w:szCs w:val="24"/>
          <w:lang w:val="fr-FR"/>
        </w:rPr>
        <w:t xml:space="preserve">Il importe que le Parlement européen et le Conseil accélèrent à présent leurs travaux en vue de conclure les négociations sur l’ensemble de ces propositions d’ici à la fin de 2018, de façon à faire aboutir le marché unique numérique dans l’intérêt des citoyens européens. </w:t>
      </w:r>
    </w:p>
    <w:p>
      <w:pPr>
        <w:pStyle w:val="ListParagraph"/>
        <w:numPr>
          <w:ilvl w:val="0"/>
          <w:numId w:val="4"/>
        </w:numPr>
        <w:spacing w:after="240" w:line="240" w:lineRule="auto"/>
        <w:jc w:val="both"/>
        <w:rPr>
          <w:rFonts w:ascii="Times New Roman" w:hAnsi="Times New Roman" w:cs="Times New Roman"/>
          <w:b/>
          <w:noProof/>
          <w:sz w:val="24"/>
          <w:szCs w:val="24"/>
          <w:lang w:val="fr-FR"/>
        </w:rPr>
      </w:pPr>
      <w:r>
        <w:rPr>
          <w:rFonts w:ascii="Times New Roman" w:hAnsi="Times New Roman"/>
          <w:b/>
          <w:noProof/>
          <w:sz w:val="24"/>
          <w:szCs w:val="24"/>
          <w:lang w:val="fr-FR"/>
        </w:rPr>
        <w:t xml:space="preserve">L’avenir du marché unique numérique: un environnement propice à la croissance </w:t>
      </w:r>
    </w:p>
    <w:p>
      <w:pPr>
        <w:spacing w:before="240" w:after="240" w:line="240" w:lineRule="auto"/>
        <w:ind w:right="28"/>
        <w:jc w:val="both"/>
        <w:rPr>
          <w:rStyle w:val="Nessuno"/>
          <w:rFonts w:ascii="Times New Roman" w:hAnsi="Times New Roman"/>
          <w:noProof/>
          <w:sz w:val="24"/>
          <w:szCs w:val="24"/>
          <w:lang w:val="fr-FR"/>
        </w:rPr>
      </w:pPr>
      <w:r>
        <w:rPr>
          <w:rStyle w:val="Nessuno"/>
          <w:rFonts w:ascii="Times New Roman" w:hAnsi="Times New Roman"/>
          <w:noProof/>
          <w:sz w:val="24"/>
          <w:szCs w:val="24"/>
          <w:lang w:val="fr-FR"/>
        </w:rPr>
        <w:t>La numérisation est appelée à jouer un rôle essentiel dans le maintien et la création des emplois de demain dans l’UE. À l’heure actuelle, seule une entreprise européenne sur cinq est fortement numérisée</w:t>
      </w:r>
      <w:r>
        <w:rPr>
          <w:rStyle w:val="FootnoteReference"/>
          <w:rFonts w:ascii="Times New Roman" w:hAnsi="Times New Roman"/>
          <w:noProof/>
          <w:sz w:val="24"/>
          <w:szCs w:val="24"/>
          <w:lang w:val="fr-FR"/>
        </w:rPr>
        <w:footnoteReference w:id="28"/>
      </w:r>
      <w:r>
        <w:rPr>
          <w:rFonts w:ascii="Times New Roman" w:hAnsi="Times New Roman"/>
          <w:noProof/>
          <w:sz w:val="24"/>
          <w:szCs w:val="24"/>
          <w:lang w:val="fr-FR"/>
        </w:rPr>
        <w:t>.</w:t>
      </w:r>
      <w:r>
        <w:rPr>
          <w:rStyle w:val="Nessuno"/>
          <w:rFonts w:ascii="Times New Roman" w:hAnsi="Times New Roman"/>
          <w:noProof/>
          <w:sz w:val="24"/>
          <w:szCs w:val="24"/>
          <w:lang w:val="fr-FR"/>
        </w:rPr>
        <w:t xml:space="preserve"> Les bénéfices immenses de la stratégie pour un marché unique numérique ne pourront être recueillis que si la numérisation se propage dans toute l’économie européenne. L’UE a un rôle clé à jouer à cet égard, en contribuant à la mise en place d’un environnement propice.</w:t>
      </w:r>
    </w:p>
    <w:p>
      <w:pPr>
        <w:spacing w:before="240" w:after="120" w:line="240" w:lineRule="auto"/>
        <w:ind w:right="28"/>
        <w:jc w:val="both"/>
        <w:rPr>
          <w:rFonts w:ascii="Times New Roman" w:hAnsi="Times New Roman" w:cs="Times New Roman"/>
          <w:i/>
          <w:noProof/>
          <w:sz w:val="24"/>
          <w:szCs w:val="24"/>
          <w:lang w:val="fr-FR"/>
        </w:rPr>
      </w:pPr>
      <w:r>
        <w:rPr>
          <w:rFonts w:ascii="Times New Roman" w:hAnsi="Times New Roman"/>
          <w:i/>
          <w:noProof/>
          <w:sz w:val="24"/>
          <w:szCs w:val="24"/>
          <w:lang w:val="fr-FR"/>
        </w:rPr>
        <w:t>Réseaux sociaux et plateformes numériques</w:t>
      </w:r>
    </w:p>
    <w:p>
      <w:pPr>
        <w:widowControl w:val="0"/>
        <w:spacing w:after="120" w:line="240" w:lineRule="auto"/>
        <w:jc w:val="both"/>
        <w:rPr>
          <w:rFonts w:ascii="Times New Roman" w:hAnsi="Times New Roman" w:cs="Times New Roman"/>
          <w:noProof/>
          <w:sz w:val="24"/>
          <w:szCs w:val="24"/>
          <w:lang w:val="fr-FR"/>
        </w:rPr>
      </w:pPr>
      <w:r>
        <w:rPr>
          <w:rFonts w:ascii="Times New Roman" w:hAnsi="Times New Roman"/>
          <w:noProof/>
          <w:sz w:val="24"/>
          <w:szCs w:val="24"/>
          <w:lang w:val="fr-FR"/>
        </w:rPr>
        <w:t xml:space="preserve">Le modèle d’entreprise des réseaux sociaux et des plateformes numériques dépend en grande partie des données obtenues auprès de leurs utilisateurs. Si ces services présentent des avantages pour les utilisateurs, certaines de leurs pratiques d’utilisation des données suscitent </w:t>
      </w:r>
      <w:r>
        <w:rPr>
          <w:rFonts w:ascii="Times New Roman" w:hAnsi="Times New Roman"/>
          <w:noProof/>
          <w:sz w:val="24"/>
          <w:szCs w:val="24"/>
          <w:lang w:val="fr-FR"/>
        </w:rPr>
        <w:lastRenderedPageBreak/>
        <w:t>de sérieuses questions et imposent une vigilance constante.</w:t>
      </w:r>
    </w:p>
    <w:p>
      <w:pPr>
        <w:widowControl w:val="0"/>
        <w:spacing w:after="120" w:line="240" w:lineRule="auto"/>
        <w:jc w:val="both"/>
        <w:rPr>
          <w:rFonts w:ascii="Times New Roman" w:hAnsi="Times New Roman" w:cs="Times New Roman"/>
          <w:noProof/>
          <w:sz w:val="24"/>
          <w:szCs w:val="24"/>
          <w:lang w:val="fr-FR"/>
        </w:rPr>
      </w:pPr>
      <w:r>
        <w:rPr>
          <w:rFonts w:ascii="Times New Roman" w:hAnsi="Times New Roman"/>
          <w:noProof/>
          <w:sz w:val="24"/>
          <w:szCs w:val="24"/>
          <w:lang w:val="fr-FR"/>
        </w:rPr>
        <w:t xml:space="preserve">Les algorithmes qui contrôlent les fils d’actualité proposés aux utilisateurs de médias sociaux semblent souvent privilégier les contenus sensationnalistes ou publicitaires et faciliter le ciblage de l’information sur certains groupes d’utilisateurs. Un tel fonctionnement peut permettre de manipuler plus facilement certains segments de l’opinion publique, qui se détournent de plus en plus d’autres sources d’information de qualité, plus fiables, et contribuent à une polarisation, voire une radicalisation, des opinions. Il s’ensuit un phénomène de </w:t>
      </w:r>
      <w:r>
        <w:rPr>
          <w:rFonts w:ascii="Times New Roman" w:hAnsi="Times New Roman"/>
          <w:b/>
          <w:noProof/>
          <w:sz w:val="24"/>
          <w:szCs w:val="24"/>
          <w:lang w:val="fr-FR"/>
        </w:rPr>
        <w:t>désinformation</w:t>
      </w:r>
      <w:r>
        <w:rPr>
          <w:rFonts w:ascii="Times New Roman" w:hAnsi="Times New Roman"/>
          <w:noProof/>
          <w:sz w:val="24"/>
          <w:szCs w:val="24"/>
          <w:lang w:val="fr-FR"/>
        </w:rPr>
        <w:t>, dont les effets s’avèrent particulièrement importants en période électorale. La législation en matière de publicité électorale et les règles de financement des campagnes sont en outre devenues difficiles à faire respecter en ligne, une situation qui risque de nuire aux processus électoraux.</w:t>
      </w:r>
    </w:p>
    <w:p>
      <w:pPr>
        <w:widowControl w:val="0"/>
        <w:spacing w:before="240" w:after="120" w:line="240" w:lineRule="auto"/>
        <w:jc w:val="both"/>
        <w:rPr>
          <w:rFonts w:ascii="Times New Roman" w:hAnsi="Times New Roman" w:cs="Times New Roman"/>
          <w:noProof/>
          <w:sz w:val="24"/>
          <w:szCs w:val="24"/>
          <w:lang w:val="fr-FR"/>
        </w:rPr>
      </w:pPr>
      <w:r>
        <w:rPr>
          <w:rFonts w:ascii="Times New Roman" w:hAnsi="Times New Roman"/>
          <w:noProof/>
          <w:sz w:val="24"/>
          <w:szCs w:val="24"/>
          <w:lang w:val="fr-FR"/>
        </w:rPr>
        <w:t>Les récents scrutins ou référendums réalisés aux États-Unis et dans l’UE et les révélations dans l’affaire «Facebook/Cambridge Analytica» ont mis au jour ces techniques et ces pratiques. La Commission s’emploie à améliorer la transparence des contenus et à mettre en place un réseau européen de vérification des faits pour aider les utilisateurs à apprécier la crédibilité des sources de certaines nouvelles ainsi que leur exposition à différentes sources d’information, et étudiera avant la fin de l’année la nécessité de nouvelles mesures législatives</w:t>
      </w:r>
      <w:r>
        <w:rPr>
          <w:rStyle w:val="FootnoteReference"/>
          <w:rFonts w:ascii="Times New Roman" w:hAnsi="Times New Roman" w:cs="Times New Roman"/>
          <w:noProof/>
          <w:sz w:val="24"/>
          <w:szCs w:val="24"/>
          <w:lang w:val="fr-FR"/>
        </w:rPr>
        <w:footnoteReference w:id="29"/>
      </w:r>
      <w:r>
        <w:rPr>
          <w:rFonts w:ascii="Times New Roman" w:hAnsi="Times New Roman"/>
          <w:noProof/>
          <w:sz w:val="24"/>
          <w:szCs w:val="24"/>
          <w:lang w:val="fr-FR"/>
        </w:rPr>
        <w:t xml:space="preserve">. </w:t>
      </w:r>
    </w:p>
    <w:p>
      <w:pPr>
        <w:widowControl w:val="0"/>
        <w:spacing w:before="240" w:after="120" w:line="240" w:lineRule="auto"/>
        <w:jc w:val="both"/>
        <w:rPr>
          <w:rFonts w:ascii="Times New Roman" w:hAnsi="Times New Roman" w:cs="Times New Roman"/>
          <w:noProof/>
          <w:sz w:val="24"/>
          <w:szCs w:val="24"/>
          <w:lang w:val="fr-FR"/>
        </w:rPr>
      </w:pPr>
      <w:r>
        <w:rPr>
          <w:rFonts w:ascii="Times New Roman" w:hAnsi="Times New Roman"/>
          <w:noProof/>
          <w:sz w:val="24"/>
          <w:szCs w:val="24"/>
          <w:lang w:val="fr-FR"/>
        </w:rPr>
        <w:t xml:space="preserve">La Commission a examiné avec les autorités électorales des États membres, dans le cadre des préparatifs des élections au Parlement européen de mai 2019, les bonnes pratiques en matière de recensement, d’atténuation et de gestion des risques que font courir au processus électoral les cyberattaques et la désinformation. Elle invitera les parties concernées à faire preuve d’une détermination accrue pour contrer ces pratiques, notamment lors du prochain colloque annuel sur les droits fondamentaux de novembre 2018, consacré au thème de la démocratie. </w:t>
      </w:r>
    </w:p>
    <w:p>
      <w:pPr>
        <w:widowControl w:val="0"/>
        <w:spacing w:before="240" w:after="120" w:line="240" w:lineRule="auto"/>
        <w:jc w:val="both"/>
        <w:rPr>
          <w:rFonts w:ascii="Times New Roman" w:hAnsi="Times New Roman" w:cs="Times New Roman"/>
          <w:noProof/>
          <w:sz w:val="24"/>
          <w:szCs w:val="24"/>
          <w:lang w:val="fr-FR"/>
        </w:rPr>
      </w:pPr>
      <w:r>
        <w:rPr>
          <w:rFonts w:ascii="Times New Roman" w:hAnsi="Times New Roman"/>
          <w:noProof/>
          <w:sz w:val="24"/>
          <w:szCs w:val="24"/>
          <w:lang w:val="fr-FR"/>
        </w:rPr>
        <w:t xml:space="preserve">L’Europe agit également pour protéger ses citoyens contre les contenus illicites. Dans sa recommandation sur les </w:t>
      </w:r>
      <w:r>
        <w:rPr>
          <w:rFonts w:ascii="Times New Roman" w:hAnsi="Times New Roman"/>
          <w:b/>
          <w:noProof/>
          <w:sz w:val="24"/>
          <w:szCs w:val="24"/>
          <w:lang w:val="fr-FR"/>
        </w:rPr>
        <w:t>mesures destinées à lutter de manière efficace contre les contenus illicites en ligne</w:t>
      </w:r>
      <w:r>
        <w:rPr>
          <w:rFonts w:ascii="Times New Roman" w:hAnsi="Times New Roman"/>
          <w:noProof/>
          <w:sz w:val="24"/>
          <w:szCs w:val="24"/>
          <w:lang w:val="fr-FR"/>
        </w:rPr>
        <w:t>, la Commission préconise des mesures spéciales visant les plateformes et invite les États membres à améliorer la détection, la suppression et la prévention des contenus illicites</w:t>
      </w:r>
      <w:r>
        <w:rPr>
          <w:rStyle w:val="FootnoteReference"/>
          <w:rFonts w:ascii="Times New Roman" w:hAnsi="Times New Roman" w:cs="Times New Roman"/>
          <w:noProof/>
          <w:sz w:val="24"/>
          <w:szCs w:val="24"/>
          <w:lang w:val="fr-FR"/>
        </w:rPr>
        <w:footnoteReference w:id="30"/>
      </w:r>
      <w:r>
        <w:rPr>
          <w:rFonts w:ascii="Times New Roman" w:hAnsi="Times New Roman"/>
          <w:noProof/>
          <w:sz w:val="24"/>
          <w:szCs w:val="24"/>
          <w:lang w:val="fr-FR"/>
        </w:rPr>
        <w:t>. La Commission recueille actuellement des informations sur l’efficacité des mesures à caractère facultatif et sur l’ampleur du problème et étudiera, d’ici à la fin de 2018, d’autres mesures éventuelles visant à améliorer l’efficacité de la lutte contre les contenus illicites en ligne.</w:t>
      </w:r>
    </w:p>
    <w:p>
      <w:pPr>
        <w:widowControl w:val="0"/>
        <w:spacing w:before="240" w:after="120" w:line="240" w:lineRule="auto"/>
        <w:jc w:val="both"/>
        <w:rPr>
          <w:rFonts w:ascii="Times New Roman" w:hAnsi="Times New Roman" w:cs="Times New Roman"/>
          <w:noProof/>
          <w:sz w:val="24"/>
          <w:szCs w:val="24"/>
          <w:lang w:val="fr-FR"/>
        </w:rPr>
      </w:pPr>
      <w:r>
        <w:rPr>
          <w:rFonts w:ascii="Times New Roman" w:hAnsi="Times New Roman"/>
          <w:noProof/>
          <w:sz w:val="24"/>
          <w:szCs w:val="24"/>
          <w:lang w:val="fr-FR"/>
        </w:rPr>
        <w:t xml:space="preserve">Les plateformes numériques jouent souvent un rôle d’intermédiaires en ligne entre les consommateurs et d’autres entreprises. À ce titre, elles représentent un outil essentiel pour toucher la clientèle et leur rôle dans l’économie moderne est crucial. Afin de garantir un environnement équitable, prévisible, durable et inspirant confiance pour les opérations commerciales en ligne, la Commission a proposé des </w:t>
      </w:r>
      <w:r>
        <w:rPr>
          <w:rFonts w:ascii="Times New Roman" w:hAnsi="Times New Roman"/>
          <w:b/>
          <w:noProof/>
          <w:sz w:val="24"/>
          <w:szCs w:val="24"/>
          <w:lang w:val="fr-FR"/>
        </w:rPr>
        <w:t>obligations en matière de transparence et de recours</w:t>
      </w:r>
      <w:r>
        <w:rPr>
          <w:rFonts w:ascii="Times New Roman" w:hAnsi="Times New Roman"/>
          <w:noProof/>
          <w:sz w:val="24"/>
          <w:szCs w:val="24"/>
          <w:lang w:val="fr-FR"/>
        </w:rPr>
        <w:t xml:space="preserve"> pour les plateformes numériques</w:t>
      </w:r>
      <w:r>
        <w:rPr>
          <w:rStyle w:val="FootnoteReference"/>
          <w:rFonts w:ascii="Times New Roman" w:hAnsi="Times New Roman" w:cs="Times New Roman"/>
          <w:noProof/>
          <w:sz w:val="24"/>
          <w:szCs w:val="24"/>
          <w:lang w:val="fr-FR"/>
        </w:rPr>
        <w:footnoteReference w:id="31"/>
      </w:r>
      <w:r>
        <w:rPr>
          <w:rFonts w:ascii="Times New Roman" w:hAnsi="Times New Roman"/>
          <w:noProof/>
          <w:sz w:val="24"/>
          <w:szCs w:val="24"/>
          <w:lang w:val="fr-FR"/>
        </w:rPr>
        <w:t xml:space="preserve">. Celles-ci seraient notamment tenues d’informer les entreprises utilisatrices des critères utilisés pour classer leurs contenus, des modifications qui seront apportées aux conditions contractuelles et de leurs données </w:t>
      </w:r>
      <w:r>
        <w:rPr>
          <w:rFonts w:ascii="Times New Roman" w:hAnsi="Times New Roman"/>
          <w:noProof/>
          <w:sz w:val="24"/>
          <w:szCs w:val="24"/>
          <w:lang w:val="fr-FR"/>
        </w:rPr>
        <w:lastRenderedPageBreak/>
        <w:t>d’utilisation issues des services d’intermédiation</w:t>
      </w:r>
      <w:r>
        <w:rPr>
          <w:rStyle w:val="FootnoteReference"/>
          <w:rFonts w:ascii="Times New Roman" w:hAnsi="Times New Roman" w:cs="Times New Roman"/>
          <w:noProof/>
          <w:sz w:val="24"/>
          <w:szCs w:val="24"/>
          <w:lang w:val="fr-FR"/>
        </w:rPr>
        <w:footnoteReference w:id="32"/>
      </w:r>
      <w:r>
        <w:rPr>
          <w:rFonts w:ascii="Times New Roman" w:hAnsi="Times New Roman"/>
          <w:noProof/>
          <w:sz w:val="24"/>
          <w:szCs w:val="24"/>
          <w:lang w:val="fr-FR"/>
        </w:rPr>
        <w:t xml:space="preserve">. La nécessité de prévoir des mesures complémentaires continuera d’être évaluée. Cette proposition devrait être examinée en priorité par le Parlement européen et le Conseil. </w:t>
      </w:r>
    </w:p>
    <w:p>
      <w:pPr>
        <w:spacing w:before="240" w:after="120" w:line="240" w:lineRule="auto"/>
        <w:jc w:val="both"/>
        <w:rPr>
          <w:rFonts w:ascii="Times New Roman" w:hAnsi="Times New Roman" w:cs="Times New Roman"/>
          <w:noProof/>
          <w:sz w:val="24"/>
          <w:szCs w:val="24"/>
          <w:lang w:val="fr-FR"/>
        </w:rPr>
      </w:pPr>
      <w:r>
        <w:rPr>
          <w:rFonts w:ascii="Times New Roman" w:hAnsi="Times New Roman"/>
          <w:noProof/>
          <w:sz w:val="24"/>
          <w:szCs w:val="24"/>
          <w:lang w:val="fr-FR"/>
        </w:rPr>
        <w:t>L’obligation relative à la transparence du classement vient compléter une proposition soumise dans le cadre de la «</w:t>
      </w:r>
      <w:r>
        <w:rPr>
          <w:rFonts w:ascii="Times New Roman" w:hAnsi="Times New Roman"/>
          <w:b/>
          <w:noProof/>
          <w:sz w:val="24"/>
          <w:szCs w:val="24"/>
          <w:lang w:val="fr-FR"/>
        </w:rPr>
        <w:t>nouvelle donne pour les consommateurs</w:t>
      </w:r>
      <w:r>
        <w:rPr>
          <w:rFonts w:ascii="Times New Roman" w:hAnsi="Times New Roman"/>
          <w:noProof/>
          <w:sz w:val="24"/>
          <w:szCs w:val="24"/>
          <w:lang w:val="fr-FR"/>
        </w:rPr>
        <w:t>», prévoyant une obligation d’indiquer clairement aux consommateurs tout résultat de recherche sponsorisé basé sur des paiements, ainsi qu’une obligation d’informer des principaux paramètres déterminant le classement sur les places de marché en ligne</w:t>
      </w:r>
      <w:r>
        <w:rPr>
          <w:rStyle w:val="FootnoteReference"/>
          <w:rFonts w:ascii="Times New Roman" w:hAnsi="Times New Roman" w:cs="Times New Roman"/>
          <w:noProof/>
          <w:sz w:val="24"/>
          <w:szCs w:val="24"/>
          <w:lang w:val="fr-FR"/>
        </w:rPr>
        <w:footnoteReference w:id="33"/>
      </w:r>
      <w:r>
        <w:rPr>
          <w:rFonts w:ascii="Times New Roman" w:hAnsi="Times New Roman"/>
          <w:noProof/>
          <w:sz w:val="24"/>
          <w:szCs w:val="24"/>
          <w:lang w:val="fr-FR"/>
        </w:rPr>
        <w:t xml:space="preserve">. </w:t>
      </w:r>
    </w:p>
    <w:p>
      <w:pPr>
        <w:spacing w:before="240" w:after="120" w:line="240" w:lineRule="auto"/>
        <w:ind w:right="28"/>
        <w:jc w:val="both"/>
        <w:rPr>
          <w:rFonts w:ascii="Times New Roman" w:hAnsi="Times New Roman" w:cs="Times New Roman"/>
          <w:i/>
          <w:noProof/>
          <w:sz w:val="24"/>
          <w:szCs w:val="24"/>
          <w:lang w:val="fr-FR"/>
        </w:rPr>
      </w:pPr>
      <w:r>
        <w:rPr>
          <w:rFonts w:ascii="Times New Roman" w:hAnsi="Times New Roman"/>
          <w:i/>
          <w:noProof/>
          <w:sz w:val="24"/>
          <w:szCs w:val="24"/>
          <w:lang w:val="fr-FR"/>
        </w:rPr>
        <w:t>Investir dans les données, l’intelligence artificielle et le calcul à haute performance</w:t>
      </w:r>
    </w:p>
    <w:p>
      <w:pPr>
        <w:spacing w:after="240" w:line="240" w:lineRule="auto"/>
        <w:ind w:right="28"/>
        <w:jc w:val="both"/>
        <w:rPr>
          <w:rFonts w:ascii="Times New Roman" w:hAnsi="Times New Roman" w:cs="Times New Roman"/>
          <w:noProof/>
          <w:sz w:val="24"/>
          <w:szCs w:val="24"/>
          <w:lang w:val="fr-FR"/>
        </w:rPr>
      </w:pPr>
      <w:r>
        <w:rPr>
          <w:rFonts w:ascii="Times New Roman" w:hAnsi="Times New Roman"/>
          <w:noProof/>
          <w:sz w:val="24"/>
          <w:szCs w:val="24"/>
          <w:lang w:val="fr-FR"/>
        </w:rPr>
        <w:t>Les technologies numériques connectées et les applications de données sont au cœur de l’innovation dans tous les secteurs</w:t>
      </w:r>
      <w:r>
        <w:rPr>
          <w:rStyle w:val="FootnoteReference"/>
          <w:rFonts w:ascii="Times New Roman" w:hAnsi="Times New Roman" w:cs="Times New Roman"/>
          <w:noProof/>
          <w:sz w:val="24"/>
          <w:szCs w:val="24"/>
          <w:lang w:val="fr-FR"/>
        </w:rPr>
        <w:footnoteReference w:id="34"/>
      </w:r>
      <w:r>
        <w:rPr>
          <w:rFonts w:ascii="Times New Roman" w:hAnsi="Times New Roman"/>
          <w:noProof/>
          <w:sz w:val="24"/>
          <w:szCs w:val="24"/>
          <w:lang w:val="fr-FR"/>
        </w:rPr>
        <w:t>. Les règles strictes de l’UE en matière de protection des données, qui s’appliquent à la fois en ligne et hors ligne, constituent l’assise d’un régime réglementaire de premier ordre en matière d’innovation, dans lequel les utilisateurs peuvent avoir confiance et grâce auquel nos entreprises peuvent acquérir des avantages concurrentiels dans l’économie mondiale des données.</w:t>
      </w:r>
    </w:p>
    <w:p>
      <w:pPr>
        <w:spacing w:before="240" w:after="240" w:line="240" w:lineRule="auto"/>
        <w:ind w:right="28"/>
        <w:jc w:val="both"/>
        <w:rPr>
          <w:rFonts w:ascii="Times New Roman" w:hAnsi="Times New Roman" w:cs="Times New Roman"/>
          <w:noProof/>
          <w:sz w:val="24"/>
          <w:szCs w:val="24"/>
          <w:lang w:val="fr-FR"/>
        </w:rPr>
      </w:pPr>
      <w:r>
        <w:rPr>
          <w:rFonts w:ascii="Times New Roman" w:hAnsi="Times New Roman"/>
          <w:noProof/>
          <w:sz w:val="24"/>
          <w:szCs w:val="24"/>
          <w:lang w:val="fr-FR"/>
        </w:rPr>
        <w:t xml:space="preserve">Les données stimuleront l’innovation numérique, à condition qu’en parallèle, des investissements soient consentis dans les capacités numériques nécessaires </w:t>
      </w:r>
      <w:r>
        <w:rPr>
          <w:rStyle w:val="white-space"/>
          <w:rFonts w:ascii="Times New Roman" w:hAnsi="Times New Roman"/>
          <w:noProof/>
          <w:sz w:val="24"/>
          <w:szCs w:val="24"/>
          <w:lang w:val="fr-FR"/>
        </w:rPr>
        <w:t>pour traiter des quantités de données en croissance exponentielle</w:t>
      </w:r>
      <w:r>
        <w:rPr>
          <w:rFonts w:ascii="Times New Roman" w:hAnsi="Times New Roman"/>
          <w:noProof/>
          <w:sz w:val="24"/>
          <w:szCs w:val="24"/>
          <w:lang w:val="fr-FR"/>
        </w:rPr>
        <w:t xml:space="preserve">. Le récent </w:t>
      </w:r>
      <w:r>
        <w:rPr>
          <w:rFonts w:ascii="Times New Roman" w:hAnsi="Times New Roman"/>
          <w:b/>
          <w:noProof/>
          <w:sz w:val="24"/>
          <w:szCs w:val="24"/>
          <w:lang w:val="fr-FR"/>
        </w:rPr>
        <w:t>train de mesures sur les données</w:t>
      </w:r>
      <w:r>
        <w:rPr>
          <w:rFonts w:ascii="Times New Roman" w:hAnsi="Times New Roman"/>
          <w:noProof/>
          <w:sz w:val="24"/>
          <w:szCs w:val="24"/>
          <w:lang w:val="fr-FR"/>
        </w:rPr>
        <w:t xml:space="preserve"> permettra d’exploiter pleinement le potentiel offert par les données publiques et scientifiques et d’ouvrir ces données en vue de permettre leur réutilisation par des jeunes pousses européennes</w:t>
      </w:r>
      <w:r>
        <w:rPr>
          <w:rStyle w:val="FootnoteReference"/>
          <w:rFonts w:ascii="Times New Roman" w:hAnsi="Times New Roman" w:cs="Times New Roman"/>
          <w:noProof/>
          <w:sz w:val="24"/>
          <w:szCs w:val="24"/>
          <w:lang w:val="fr-FR"/>
        </w:rPr>
        <w:footnoteReference w:id="35"/>
      </w:r>
      <w:r>
        <w:rPr>
          <w:rFonts w:ascii="Times New Roman" w:hAnsi="Times New Roman"/>
          <w:noProof/>
          <w:sz w:val="24"/>
          <w:szCs w:val="24"/>
          <w:lang w:val="fr-FR"/>
        </w:rPr>
        <w:t>. Il est essentiel que les données puissent être réutilisées pour les besoins de l'analyse de mégadonnées, ce qui donnera un coup de fouet à la croissance économique, stimulera l’innovation et aidera à répondre à de grands défis sociétaux, notamment dans le domaine des soins de santé et des transports publics. Le train de mesures sur les données contient en outre des orientations supplémentaires concernant le partage des données privées et contribuera à la libération de données déterminantes pour l’innovation. À titre d’exemple, pour pouvoir mettre au point de nouveaux traitements personnalisés, les chercheurs de l’UE doivent avoir accès à un grand nombre de génomes humains</w:t>
      </w:r>
      <w:r>
        <w:rPr>
          <w:rStyle w:val="FootnoteReference"/>
          <w:rFonts w:ascii="Times New Roman" w:hAnsi="Times New Roman" w:cs="Times New Roman"/>
          <w:bCs/>
          <w:noProof/>
          <w:sz w:val="24"/>
          <w:szCs w:val="24"/>
          <w:lang w:val="fr-FR"/>
        </w:rPr>
        <w:footnoteReference w:id="36"/>
      </w:r>
      <w:r>
        <w:rPr>
          <w:rFonts w:ascii="Times New Roman" w:hAnsi="Times New Roman"/>
          <w:noProof/>
          <w:sz w:val="24"/>
          <w:szCs w:val="24"/>
          <w:lang w:val="fr-FR"/>
        </w:rPr>
        <w:t xml:space="preserve"> et de dossiers médicaux individuels</w:t>
      </w:r>
      <w:r>
        <w:rPr>
          <w:rStyle w:val="FootnoteReference"/>
          <w:rFonts w:ascii="Times New Roman" w:hAnsi="Times New Roman" w:cs="Times New Roman"/>
          <w:noProof/>
          <w:sz w:val="24"/>
          <w:szCs w:val="24"/>
          <w:lang w:val="fr-FR"/>
        </w:rPr>
        <w:footnoteReference w:id="37"/>
      </w:r>
      <w:r>
        <w:rPr>
          <w:rFonts w:ascii="Times New Roman" w:hAnsi="Times New Roman"/>
          <w:noProof/>
          <w:sz w:val="24"/>
          <w:szCs w:val="24"/>
          <w:lang w:val="fr-FR"/>
        </w:rPr>
        <w:t>.</w:t>
      </w:r>
    </w:p>
    <w:p>
      <w:pPr>
        <w:spacing w:before="240" w:after="240" w:line="240" w:lineRule="auto"/>
        <w:ind w:right="28"/>
        <w:jc w:val="both"/>
        <w:rPr>
          <w:rFonts w:ascii="Times New Roman" w:hAnsi="Times New Roman" w:cs="Times New Roman"/>
          <w:noProof/>
          <w:sz w:val="24"/>
          <w:szCs w:val="24"/>
          <w:lang w:val="fr-FR"/>
        </w:rPr>
      </w:pPr>
      <w:r>
        <w:rPr>
          <w:rFonts w:ascii="Times New Roman" w:hAnsi="Times New Roman"/>
          <w:noProof/>
          <w:sz w:val="24"/>
          <w:szCs w:val="24"/>
          <w:lang w:val="fr-FR"/>
        </w:rPr>
        <w:t>Les données sont la matière première de l’</w:t>
      </w:r>
      <w:r>
        <w:rPr>
          <w:rFonts w:ascii="Times New Roman" w:hAnsi="Times New Roman"/>
          <w:b/>
          <w:noProof/>
          <w:sz w:val="24"/>
          <w:szCs w:val="24"/>
          <w:lang w:val="fr-FR"/>
        </w:rPr>
        <w:t>intelligence artificielle</w:t>
      </w:r>
      <w:r>
        <w:rPr>
          <w:rFonts w:ascii="Times New Roman" w:hAnsi="Times New Roman"/>
          <w:noProof/>
          <w:sz w:val="24"/>
          <w:szCs w:val="24"/>
          <w:lang w:val="fr-FR"/>
        </w:rPr>
        <w:t xml:space="preserve"> et les algorithmes, les mécanismes par lesquels les applications d’intelligence artificielle utilisent les données et apprennent de nouvelles tâches. La lisibilité par machine et des formats de données communs sont essentiels pour que les applications d’intelligence artificielle puissent se développer et </w:t>
      </w:r>
      <w:r>
        <w:rPr>
          <w:rFonts w:ascii="Times New Roman" w:hAnsi="Times New Roman"/>
          <w:noProof/>
          <w:sz w:val="24"/>
          <w:szCs w:val="24"/>
          <w:lang w:val="fr-FR"/>
        </w:rPr>
        <w:lastRenderedPageBreak/>
        <w:t>auto-organiser les données</w:t>
      </w:r>
      <w:r>
        <w:rPr>
          <w:rStyle w:val="FootnoteReference"/>
          <w:rFonts w:ascii="Times New Roman" w:hAnsi="Times New Roman" w:cs="Times New Roman"/>
          <w:noProof/>
          <w:sz w:val="24"/>
          <w:szCs w:val="24"/>
          <w:lang w:val="fr-FR"/>
        </w:rPr>
        <w:footnoteReference w:id="38"/>
      </w:r>
      <w:r>
        <w:rPr>
          <w:rFonts w:ascii="Times New Roman" w:hAnsi="Times New Roman"/>
          <w:noProof/>
          <w:sz w:val="24"/>
          <w:szCs w:val="24"/>
          <w:lang w:val="fr-FR"/>
        </w:rPr>
        <w:t>. Les valeurs de l’Union, ainsi que la sécurité juridique offerte par le nouveau régime de protection des données, concourent à l’instauration d’un environnement propice au développement dans l’UE des techniques d’apprentissage automatique qui sous-tendent l’intelligence artificielle – un environnement dans lequel les algorithmes et les programmes d’apprentissage du comportement humain tiennent compte des normes élevées en matière de protection des données et des droits fondamentaux, plutôt que de laisser ces innovations à ceux qui se passent de telles normes</w:t>
      </w:r>
      <w:r>
        <w:rPr>
          <w:rStyle w:val="FootnoteReference"/>
          <w:rFonts w:ascii="Times New Roman" w:hAnsi="Times New Roman" w:cs="Times New Roman"/>
          <w:noProof/>
          <w:sz w:val="24"/>
          <w:szCs w:val="24"/>
          <w:lang w:val="fr-FR"/>
        </w:rPr>
        <w:footnoteReference w:id="39"/>
      </w:r>
      <w:r>
        <w:rPr>
          <w:rFonts w:ascii="Times New Roman" w:hAnsi="Times New Roman"/>
          <w:noProof/>
          <w:sz w:val="24"/>
          <w:szCs w:val="24"/>
          <w:lang w:val="fr-FR"/>
        </w:rPr>
        <w:t>. La Commission a présenté un cadre qui permettra à l’Europe de maximiser les avantages de l’intelligence artificielle et proposé un objectif d’investissement par des acteurs privés et publics d’au moins 20 milliards d’EUR par an entre 2020 et 2030, afin de permettre à l’Europe de tirer pleinement parti de cette technologie clé générique</w:t>
      </w:r>
      <w:r>
        <w:rPr>
          <w:rStyle w:val="FootnoteReference"/>
          <w:rFonts w:ascii="Times New Roman" w:hAnsi="Times New Roman" w:cs="Times New Roman"/>
          <w:noProof/>
          <w:sz w:val="24"/>
          <w:szCs w:val="24"/>
          <w:lang w:val="fr-FR"/>
        </w:rPr>
        <w:footnoteReference w:id="40"/>
      </w:r>
      <w:r>
        <w:rPr>
          <w:rFonts w:ascii="Times New Roman" w:hAnsi="Times New Roman"/>
          <w:noProof/>
          <w:sz w:val="24"/>
          <w:szCs w:val="24"/>
          <w:lang w:val="fr-FR"/>
        </w:rPr>
        <w:t>. À elle seule, l’intelligence artificielle devrait apporter à l’économie mondiale jusqu’à 13 000 milliards d’EUR supplémentaires d’ici à la fin de la prochaine décennie; l’UE doit investir si elle entend jouer un rôle de premier plan dans cette croissance</w:t>
      </w:r>
      <w:r>
        <w:rPr>
          <w:rStyle w:val="FootnoteReference"/>
          <w:rFonts w:ascii="Times New Roman" w:hAnsi="Times New Roman" w:cs="Times New Roman"/>
          <w:noProof/>
          <w:sz w:val="24"/>
          <w:szCs w:val="24"/>
          <w:lang w:val="fr-FR"/>
        </w:rPr>
        <w:footnoteReference w:id="41"/>
      </w:r>
      <w:r>
        <w:rPr>
          <w:rFonts w:ascii="Times New Roman" w:hAnsi="Times New Roman"/>
          <w:noProof/>
          <w:sz w:val="24"/>
          <w:szCs w:val="24"/>
          <w:lang w:val="fr-FR"/>
        </w:rPr>
        <w:t xml:space="preserve">. Par ailleurs, les données et services dérivés des </w:t>
      </w:r>
      <w:r>
        <w:rPr>
          <w:rFonts w:ascii="Times New Roman" w:hAnsi="Times New Roman"/>
          <w:b/>
          <w:noProof/>
          <w:sz w:val="24"/>
          <w:szCs w:val="24"/>
          <w:lang w:val="fr-FR"/>
        </w:rPr>
        <w:t>systèmes spatiaux</w:t>
      </w:r>
      <w:r>
        <w:rPr>
          <w:rFonts w:ascii="Times New Roman" w:hAnsi="Times New Roman"/>
          <w:noProof/>
          <w:sz w:val="24"/>
          <w:szCs w:val="24"/>
          <w:lang w:val="fr-FR"/>
        </w:rPr>
        <w:t xml:space="preserve">, dont les données spatiales d'observation de la Terre, les données de géolocalisation et les communications par satellite, peuvent soutenir les approches intelligence artificielle et contribuer à l’ouverture de nombreux débouchés commerciaux dans tous les États membres. </w:t>
      </w:r>
    </w:p>
    <w:p>
      <w:pPr>
        <w:spacing w:before="240" w:after="240" w:line="240" w:lineRule="auto"/>
        <w:ind w:right="28"/>
        <w:jc w:val="both"/>
        <w:rPr>
          <w:rFonts w:ascii="Times New Roman" w:hAnsi="Times New Roman" w:cs="Times New Roman"/>
          <w:noProof/>
          <w:sz w:val="24"/>
          <w:szCs w:val="24"/>
          <w:lang w:val="fr-FR"/>
        </w:rPr>
      </w:pPr>
      <w:r>
        <w:rPr>
          <w:rFonts w:ascii="Times New Roman" w:hAnsi="Times New Roman"/>
          <w:noProof/>
          <w:sz w:val="24"/>
          <w:szCs w:val="24"/>
          <w:lang w:val="fr-FR"/>
        </w:rPr>
        <w:t>La Commission a également présenté une proposition d’</w:t>
      </w:r>
      <w:r>
        <w:rPr>
          <w:rFonts w:ascii="Times New Roman" w:hAnsi="Times New Roman"/>
          <w:b/>
          <w:noProof/>
          <w:sz w:val="24"/>
          <w:szCs w:val="24"/>
          <w:lang w:val="fr-FR"/>
        </w:rPr>
        <w:t>entreprise commune pour le calcul à haute performance</w:t>
      </w:r>
      <w:r>
        <w:rPr>
          <w:rFonts w:ascii="Times New Roman" w:hAnsi="Times New Roman"/>
          <w:noProof/>
          <w:sz w:val="24"/>
          <w:szCs w:val="24"/>
          <w:lang w:val="fr-FR"/>
        </w:rPr>
        <w:t>, en vue de mettre en commun des ressources peu nombreuses et d’acheter les ordinateurs à haute performance qui sont nécessaires si nous voulons continuer à être à la pointe de la recherche et de l’innovation, en particulier dans le domaine de l’intelligence artificielle et d’autres applications de mégadonnées</w:t>
      </w:r>
      <w:r>
        <w:rPr>
          <w:rStyle w:val="FootnoteReference"/>
          <w:rFonts w:ascii="Times New Roman" w:hAnsi="Times New Roman" w:cs="Times New Roman"/>
          <w:noProof/>
          <w:sz w:val="24"/>
          <w:szCs w:val="24"/>
          <w:lang w:val="fr-FR"/>
        </w:rPr>
        <w:footnoteReference w:id="42"/>
      </w:r>
      <w:r>
        <w:rPr>
          <w:rFonts w:ascii="Times New Roman" w:hAnsi="Times New Roman"/>
          <w:noProof/>
          <w:sz w:val="24"/>
          <w:szCs w:val="24"/>
          <w:lang w:val="fr-FR"/>
        </w:rPr>
        <w:t>. Cet instrument devra être approuvé de manière définitive par le Conseil en septembre 2018 pour que les procédures de passation de marché puissent commencer le 1</w:t>
      </w:r>
      <w:r>
        <w:rPr>
          <w:rFonts w:ascii="Times New Roman" w:hAnsi="Times New Roman"/>
          <w:noProof/>
          <w:sz w:val="24"/>
          <w:szCs w:val="24"/>
          <w:vertAlign w:val="superscript"/>
          <w:lang w:val="fr-FR"/>
        </w:rPr>
        <w:t>er</w:t>
      </w:r>
      <w:r>
        <w:rPr>
          <w:rFonts w:ascii="Times New Roman" w:hAnsi="Times New Roman"/>
          <w:noProof/>
          <w:sz w:val="24"/>
          <w:szCs w:val="24"/>
          <w:lang w:val="fr-FR"/>
        </w:rPr>
        <w:t> janvier 2019. Tout retard dans l’adoption de la proposition placerait nos concurrents mondiaux en meilleure position pour mettre sur le marché des innovations radicales.</w:t>
      </w:r>
    </w:p>
    <w:p>
      <w:pPr>
        <w:spacing w:line="240" w:lineRule="auto"/>
        <w:jc w:val="both"/>
        <w:rPr>
          <w:rFonts w:ascii="Times New Roman" w:hAnsi="Times New Roman" w:cs="Times New Roman"/>
          <w:noProof/>
          <w:sz w:val="24"/>
          <w:szCs w:val="24"/>
          <w:lang w:val="fr-FR"/>
        </w:rPr>
      </w:pPr>
      <w:r>
        <w:rPr>
          <w:rFonts w:ascii="Times New Roman" w:hAnsi="Times New Roman"/>
          <w:noProof/>
          <w:sz w:val="24"/>
          <w:szCs w:val="24"/>
          <w:lang w:val="fr-FR"/>
        </w:rPr>
        <w:t xml:space="preserve">L’Union souffre aussi d'un déficit majeur d’investissements dans les </w:t>
      </w:r>
      <w:r>
        <w:rPr>
          <w:rFonts w:ascii="Times New Roman" w:hAnsi="Times New Roman"/>
          <w:b/>
          <w:noProof/>
          <w:sz w:val="24"/>
          <w:szCs w:val="24"/>
          <w:lang w:val="fr-FR"/>
        </w:rPr>
        <w:t>compétences</w:t>
      </w:r>
      <w:r>
        <w:rPr>
          <w:rFonts w:ascii="Times New Roman" w:hAnsi="Times New Roman"/>
          <w:noProof/>
          <w:sz w:val="24"/>
          <w:szCs w:val="24"/>
          <w:lang w:val="fr-FR"/>
        </w:rPr>
        <w:t xml:space="preserve"> et la </w:t>
      </w:r>
      <w:r>
        <w:rPr>
          <w:rFonts w:ascii="Times New Roman" w:hAnsi="Times New Roman"/>
          <w:b/>
          <w:noProof/>
          <w:sz w:val="24"/>
          <w:szCs w:val="24"/>
          <w:lang w:val="fr-FR"/>
        </w:rPr>
        <w:t>connectivité numérique</w:t>
      </w:r>
      <w:r>
        <w:rPr>
          <w:rFonts w:ascii="Times New Roman" w:hAnsi="Times New Roman"/>
          <w:noProof/>
          <w:sz w:val="24"/>
          <w:szCs w:val="24"/>
          <w:lang w:val="fr-FR"/>
        </w:rPr>
        <w:t>, notamment pour exploiter pleinement les possibilités de l’</w:t>
      </w:r>
      <w:r>
        <w:rPr>
          <w:rFonts w:ascii="Times New Roman" w:hAnsi="Times New Roman"/>
          <w:b/>
          <w:noProof/>
          <w:sz w:val="24"/>
          <w:szCs w:val="24"/>
          <w:lang w:val="fr-FR"/>
        </w:rPr>
        <w:t>internet des objets</w:t>
      </w:r>
      <w:r>
        <w:rPr>
          <w:rStyle w:val="FootnoteReference"/>
          <w:rFonts w:ascii="Times New Roman" w:hAnsi="Times New Roman" w:cs="Times New Roman"/>
          <w:noProof/>
          <w:sz w:val="24"/>
          <w:szCs w:val="24"/>
          <w:lang w:val="fr-FR"/>
        </w:rPr>
        <w:footnoteReference w:id="43"/>
      </w:r>
      <w:r>
        <w:rPr>
          <w:rFonts w:ascii="Times New Roman" w:hAnsi="Times New Roman"/>
          <w:noProof/>
          <w:sz w:val="24"/>
          <w:szCs w:val="24"/>
          <w:lang w:val="fr-FR"/>
        </w:rPr>
        <w:t>, une lacune qu’il conviendra de combler activement dans les années à venir. Au vu des tendances en matière d’investissement, le déficit d’investissements combinés publics et privés pour atteindre nos objectifs en matière de connectivité à l’horizon 2025 s’élève actuellement à 155 milliards d’EUR. L’Europe pâtit en outre de pénuries et d’inadéquations flagrantes des compétences, puisque près de 40 % de sa main-d’œuvre a besoin d'une mise à niveau numérique</w:t>
      </w:r>
      <w:r>
        <w:rPr>
          <w:rStyle w:val="FootnoteReference"/>
          <w:rFonts w:ascii="Times New Roman" w:hAnsi="Times New Roman" w:cs="Times New Roman"/>
          <w:noProof/>
          <w:sz w:val="24"/>
          <w:szCs w:val="24"/>
          <w:lang w:val="fr-FR"/>
        </w:rPr>
        <w:footnoteReference w:id="44"/>
      </w:r>
      <w:r>
        <w:rPr>
          <w:rFonts w:ascii="Times New Roman" w:hAnsi="Times New Roman"/>
          <w:noProof/>
          <w:sz w:val="24"/>
          <w:szCs w:val="24"/>
          <w:lang w:val="fr-FR"/>
        </w:rPr>
        <w:t xml:space="preserve"> et que 70 millions d’Européens ne possèdent pas les compétences de base en lecture, en écriture et en calcul</w:t>
      </w:r>
      <w:r>
        <w:rPr>
          <w:rStyle w:val="FootnoteReference"/>
          <w:rFonts w:ascii="Times New Roman" w:hAnsi="Times New Roman" w:cs="Times New Roman"/>
          <w:noProof/>
          <w:sz w:val="24"/>
          <w:szCs w:val="24"/>
          <w:lang w:val="fr-FR"/>
        </w:rPr>
        <w:footnoteReference w:id="45"/>
      </w:r>
      <w:r>
        <w:rPr>
          <w:rFonts w:ascii="Times New Roman" w:hAnsi="Times New Roman"/>
          <w:noProof/>
          <w:sz w:val="24"/>
          <w:szCs w:val="24"/>
          <w:lang w:val="fr-FR"/>
        </w:rPr>
        <w:t xml:space="preserve">. Qui plus est, 40 % des entreprises cherchant à recruter </w:t>
      </w:r>
      <w:r>
        <w:rPr>
          <w:rFonts w:ascii="Times New Roman" w:hAnsi="Times New Roman"/>
          <w:noProof/>
          <w:sz w:val="24"/>
          <w:szCs w:val="24"/>
          <w:lang w:val="fr-FR"/>
        </w:rPr>
        <w:lastRenderedPageBreak/>
        <w:t>des spécialistes du numérique éprouvent des difficultés à les trouver (les spécialistes des technologies de l’information et des communications sont une profession en pénurie dans 24 États membres de l’Union). On s’attend par ailleurs à ce que la demande de spécialistes des technologies de l’information et des communications augmente de près de 10 % entre 2015 et 2025, ce qui devrait entraîner la création d’environ 400 000 emplois</w:t>
      </w:r>
      <w:r>
        <w:rPr>
          <w:rStyle w:val="FootnoteReference"/>
          <w:rFonts w:ascii="Times New Roman" w:hAnsi="Times New Roman" w:cs="Times New Roman"/>
          <w:noProof/>
          <w:sz w:val="24"/>
          <w:szCs w:val="24"/>
          <w:lang w:val="fr-FR"/>
        </w:rPr>
        <w:footnoteReference w:id="46"/>
      </w:r>
      <w:r>
        <w:rPr>
          <w:rFonts w:ascii="Times New Roman" w:hAnsi="Times New Roman"/>
          <w:noProof/>
          <w:sz w:val="24"/>
          <w:szCs w:val="24"/>
          <w:lang w:val="fr-FR"/>
        </w:rPr>
        <w:t>.</w:t>
      </w:r>
    </w:p>
    <w:p>
      <w:pPr>
        <w:spacing w:line="240" w:lineRule="auto"/>
        <w:jc w:val="both"/>
        <w:rPr>
          <w:rFonts w:ascii="Times New Roman" w:hAnsi="Times New Roman" w:cs="Times New Roman"/>
          <w:noProof/>
          <w:sz w:val="24"/>
          <w:szCs w:val="24"/>
          <w:lang w:val="fr-FR"/>
        </w:rPr>
      </w:pPr>
      <w:r>
        <w:rPr>
          <w:rFonts w:ascii="Times New Roman" w:hAnsi="Times New Roman"/>
          <w:noProof/>
          <w:sz w:val="24"/>
          <w:szCs w:val="24"/>
          <w:lang w:val="fr-FR"/>
        </w:rPr>
        <w:t xml:space="preserve">En réponse à ces besoins d’investissements, dans sa proposition de </w:t>
      </w:r>
      <w:r>
        <w:rPr>
          <w:rFonts w:ascii="Times New Roman" w:hAnsi="Times New Roman"/>
          <w:b/>
          <w:noProof/>
          <w:sz w:val="24"/>
          <w:szCs w:val="24"/>
          <w:lang w:val="fr-FR"/>
        </w:rPr>
        <w:t>cadre financier pluriannuel</w:t>
      </w:r>
      <w:r>
        <w:rPr>
          <w:rFonts w:ascii="Times New Roman" w:hAnsi="Times New Roman"/>
          <w:noProof/>
          <w:sz w:val="24"/>
          <w:szCs w:val="24"/>
          <w:lang w:val="fr-FR"/>
        </w:rPr>
        <w:t xml:space="preserve"> pour la période 2021-2027, la Commission a fortement relevé le niveau d’ambition en faveur des priorités numériques au niveau de l’UE en proposant le nouveau programme pour une Europe numérique, ainsi que des contributions essentielles à l’économie numérique dans des domaines d’action tels que la recherche et l’innovation, la politique de cohésion et le mécanisme pour l’interconnexion en Europe</w:t>
      </w:r>
      <w:r>
        <w:rPr>
          <w:rStyle w:val="FootnoteReference"/>
          <w:rFonts w:ascii="Times New Roman" w:hAnsi="Times New Roman" w:cs="Times New Roman"/>
          <w:noProof/>
          <w:sz w:val="24"/>
          <w:szCs w:val="24"/>
          <w:lang w:val="fr-FR"/>
        </w:rPr>
        <w:footnoteReference w:id="47"/>
      </w:r>
      <w:r>
        <w:rPr>
          <w:rFonts w:ascii="Times New Roman" w:hAnsi="Times New Roman"/>
          <w:noProof/>
          <w:sz w:val="24"/>
          <w:szCs w:val="24"/>
          <w:lang w:val="fr-FR"/>
        </w:rPr>
        <w:t>. Toutefois, cet effort supplémentaire consenti sur le budget de l’UE doit se doubler d’investissements accrus de la part des États membres et d'une mobilisation du secteur privé, de façon à assurer la compétitivité de l’économie européenne et la mise à niveau des compétences des travailleurs européens, deux éléments indispensables.</w:t>
      </w:r>
    </w:p>
    <w:p>
      <w:pPr>
        <w:spacing w:after="360" w:line="240" w:lineRule="auto"/>
        <w:jc w:val="both"/>
        <w:rPr>
          <w:rFonts w:ascii="Times New Roman" w:hAnsi="Times New Roman" w:cs="Times New Roman"/>
          <w:noProof/>
          <w:sz w:val="24"/>
          <w:szCs w:val="24"/>
          <w:lang w:val="fr-FR"/>
        </w:rPr>
      </w:pPr>
      <w:r>
        <w:rPr>
          <w:rFonts w:ascii="Times New Roman" w:hAnsi="Times New Roman"/>
          <w:b/>
          <w:i/>
          <w:noProof/>
          <w:sz w:val="24"/>
          <w:szCs w:val="24"/>
          <w:lang w:val="fr-FR"/>
        </w:rPr>
        <w:t>Avec le train de propositions du 25 avril 2018, la Commission a achevé les dernières mesures pour le marché unique numérique et présenté un cadre pour l’avenir de l’intelligence artificielle. La Commission demande instamment l’approbation et l’examen prioritaire de ces propositions afin de garantir l’adoption rapide des actes législatifs correspondants.</w:t>
      </w:r>
    </w:p>
    <w:p>
      <w:pPr>
        <w:pStyle w:val="ListParagraph"/>
        <w:numPr>
          <w:ilvl w:val="0"/>
          <w:numId w:val="4"/>
        </w:numPr>
        <w:spacing w:after="240" w:line="240" w:lineRule="auto"/>
        <w:jc w:val="both"/>
        <w:rPr>
          <w:rFonts w:ascii="Times New Roman" w:hAnsi="Times New Roman" w:cs="Times New Roman"/>
          <w:b/>
          <w:noProof/>
          <w:sz w:val="24"/>
          <w:szCs w:val="24"/>
          <w:lang w:val="fr-FR"/>
        </w:rPr>
      </w:pPr>
      <w:r>
        <w:rPr>
          <w:rFonts w:ascii="Times New Roman" w:hAnsi="Times New Roman"/>
          <w:b/>
          <w:noProof/>
          <w:sz w:val="24"/>
          <w:szCs w:val="24"/>
          <w:lang w:val="fr-FR"/>
        </w:rPr>
        <w:t>Conclusion</w:t>
      </w:r>
    </w:p>
    <w:p>
      <w:pPr>
        <w:spacing w:before="240" w:line="240" w:lineRule="auto"/>
        <w:jc w:val="both"/>
        <w:rPr>
          <w:rFonts w:ascii="Times New Roman" w:hAnsi="Times New Roman" w:cs="Times New Roman"/>
          <w:noProof/>
          <w:sz w:val="24"/>
          <w:szCs w:val="24"/>
          <w:lang w:val="fr-FR"/>
        </w:rPr>
      </w:pPr>
      <w:r>
        <w:rPr>
          <w:rFonts w:ascii="Times New Roman" w:hAnsi="Times New Roman"/>
          <w:noProof/>
          <w:sz w:val="24"/>
          <w:szCs w:val="24"/>
          <w:lang w:val="fr-FR"/>
        </w:rPr>
        <w:t xml:space="preserve">Les citoyens et entreprises de l’UE tirent progressivement les avantages du marché unique numérique. Un ultime effort s'impose pour achever les négociations sur les dernières propositions en suspens et répondre ainsi à l’objectif du Conseil européen de conclure la stratégie pour un marché unique numérique avant la fin de 2018. </w:t>
      </w:r>
    </w:p>
    <w:p>
      <w:pPr>
        <w:spacing w:before="240" w:line="240" w:lineRule="auto"/>
        <w:jc w:val="both"/>
        <w:rPr>
          <w:rFonts w:ascii="Times New Roman" w:hAnsi="Times New Roman" w:cs="Times New Roman"/>
          <w:noProof/>
          <w:sz w:val="24"/>
          <w:szCs w:val="24"/>
          <w:lang w:val="fr-FR"/>
        </w:rPr>
      </w:pPr>
      <w:r>
        <w:rPr>
          <w:rFonts w:ascii="Times New Roman" w:hAnsi="Times New Roman"/>
          <w:noProof/>
          <w:sz w:val="24"/>
          <w:szCs w:val="24"/>
          <w:lang w:val="fr-FR"/>
        </w:rPr>
        <w:t>L’UE dispose d’ores et déjà d'un bon arsenal de règles pour relever efficacement les nouveaux défis liés aux données, à condition que toutes les parties prenantes travaillent de concert à la mise en œuvre et l’application effectives des nouveaux instruments destinés à protéger le droit des personnes au respect de leur vie privée et à la protection de leurs données mais aussi, plus généralement, à la préservation des fondements mêmes de nos démocraties, à savoir des élections libres, le respect de la liberté d’expression et un débat ouvert et varié comme remède à la désinformation.</w:t>
      </w:r>
    </w:p>
    <w:p>
      <w:pPr>
        <w:spacing w:before="240" w:after="240" w:line="240" w:lineRule="auto"/>
        <w:jc w:val="both"/>
        <w:rPr>
          <w:rFonts w:ascii="Times New Roman" w:hAnsi="Times New Roman"/>
          <w:noProof/>
          <w:sz w:val="24"/>
          <w:lang w:val="fr-FR"/>
        </w:rPr>
      </w:pPr>
      <w:r>
        <w:rPr>
          <w:rFonts w:ascii="Times New Roman" w:hAnsi="Times New Roman"/>
          <w:noProof/>
          <w:sz w:val="24"/>
          <w:lang w:val="fr-FR"/>
        </w:rPr>
        <w:t>Compte tenu de l’importance stratégique du règlement général sur la protection des données pour la souveraineté des données de l’Union européenne, tous les États membres devraient faciliter son application immédiate et directe à partir du 25 mai 2018, notamment en prenant toutes les dispositions nécessaires. Il importe de conclure au plus vite les négociations sur le règlement «vie privée et communications électroniques» et sur la mise à jour du règlement relatif à la protection des personnes physiques à l’égard du traitement des données à caractère personnel par les institutions, organes et organismes de l’Union et à la libre circulation de ces données.</w:t>
      </w:r>
    </w:p>
    <w:p>
      <w:pPr>
        <w:spacing w:before="240" w:line="240" w:lineRule="auto"/>
        <w:jc w:val="both"/>
        <w:rPr>
          <w:rFonts w:ascii="Times New Roman" w:hAnsi="Times New Roman" w:cs="Times New Roman"/>
          <w:noProof/>
          <w:sz w:val="24"/>
          <w:szCs w:val="24"/>
          <w:lang w:val="fr-FR"/>
        </w:rPr>
      </w:pPr>
      <w:r>
        <w:rPr>
          <w:rFonts w:ascii="Times New Roman" w:hAnsi="Times New Roman"/>
          <w:noProof/>
          <w:sz w:val="24"/>
          <w:szCs w:val="24"/>
          <w:lang w:val="fr-FR"/>
        </w:rPr>
        <w:lastRenderedPageBreak/>
        <w:t xml:space="preserve">À l'heure où nous réalisons notre transition numérique, il est important que nous restions attachés à une vision véritablement européenne, fondée sur nos valeurs fondamentales, en évitant tout nivellement autodestructeur par le bas. L’environnement réglementaire doit être conçu de telle manière que les personnes physiques et les créateurs bénéficient de la même protection dans l’environnement en ligne et hors ligne. C’est ainsi que l’UE pourra devenir la référence mondiale en matière de protection des données personnelles, de cybersécurité, de neutralité de l’internet, mais aussi de loyauté et de responsabilité dans l’économie des plateformes. Elle pourra aussi faire figure de modèle dans la mise en pratique de ces principes, grâce à des services numériques et une innovation inspirant confiance. </w:t>
      </w:r>
    </w:p>
    <w:p>
      <w:pPr>
        <w:spacing w:before="240" w:line="240" w:lineRule="auto"/>
        <w:jc w:val="both"/>
        <w:rPr>
          <w:rFonts w:ascii="Times New Roman" w:hAnsi="Times New Roman" w:cs="Times New Roman"/>
          <w:noProof/>
          <w:sz w:val="24"/>
          <w:szCs w:val="24"/>
          <w:lang w:val="fr-FR"/>
        </w:rPr>
      </w:pPr>
      <w:r>
        <w:rPr>
          <w:rFonts w:ascii="Times New Roman" w:hAnsi="Times New Roman"/>
          <w:noProof/>
          <w:sz w:val="24"/>
          <w:szCs w:val="24"/>
          <w:lang w:val="fr-FR"/>
        </w:rPr>
        <w:t>Toutefois, la mise en place de ce cadre réglementaire ne suffira pas en soi à faire de l’UE un acteur de premier plan dans l’économie numérique. Pour cela, il est essentiel que les gouvernements et les entreprises – grandes et petites – des États membres investissent dans des technologies telles que l’intelligence artificielle et les mégadonnées et en exploitent les immenses possibilités, et qu'ils se servent du marché unique numérique comme d’un tremplin pour lancer des solutions compétitives dans le contexte de l’économie mondiale des données.</w:t>
      </w:r>
    </w:p>
    <w:p>
      <w:pPr>
        <w:spacing w:before="240" w:after="360" w:line="240" w:lineRule="auto"/>
        <w:jc w:val="both"/>
        <w:rPr>
          <w:rFonts w:ascii="Times New Roman" w:hAnsi="Times New Roman" w:cs="Times New Roman"/>
          <w:noProof/>
          <w:sz w:val="24"/>
          <w:szCs w:val="24"/>
          <w:lang w:val="fr-FR"/>
        </w:rPr>
      </w:pPr>
      <w:r>
        <w:rPr>
          <w:rFonts w:ascii="Times New Roman" w:hAnsi="Times New Roman"/>
          <w:noProof/>
          <w:sz w:val="24"/>
          <w:szCs w:val="24"/>
          <w:lang w:val="fr-FR"/>
        </w:rPr>
        <w:t>La Commission invite les dirigeants à discuter et proposer des orientations stratégiques sur les grandes priorités d’action exposées ci-avant, de manière à faire aboutir le marché unique numérique avant la fin de l’année et à garantir une protection solide des données pouvant servir de base à la construction d’une Europe numérique dynamique.</w:t>
      </w:r>
    </w:p>
    <w:p>
      <w:pPr>
        <w:pBdr>
          <w:top w:val="single" w:sz="4" w:space="1" w:color="auto"/>
          <w:left w:val="single" w:sz="4" w:space="4" w:color="auto"/>
          <w:bottom w:val="single" w:sz="4" w:space="1" w:color="auto"/>
          <w:right w:val="single" w:sz="4" w:space="4" w:color="auto"/>
        </w:pBdr>
        <w:spacing w:line="264" w:lineRule="auto"/>
        <w:jc w:val="both"/>
        <w:rPr>
          <w:rFonts w:ascii="Times New Roman" w:hAnsi="Times New Roman" w:cs="Times New Roman"/>
          <w:i/>
          <w:noProof/>
          <w:sz w:val="24"/>
          <w:szCs w:val="24"/>
          <w:lang w:val="fr-FR"/>
        </w:rPr>
      </w:pPr>
      <w:r>
        <w:rPr>
          <w:rFonts w:ascii="Times New Roman" w:hAnsi="Times New Roman"/>
          <w:i/>
          <w:noProof/>
          <w:sz w:val="24"/>
          <w:szCs w:val="24"/>
          <w:lang w:val="fr-FR"/>
        </w:rPr>
        <w:t xml:space="preserve">La Commission invite les dirigeants à discuter et proposer des orientations stratégiques, en vue: </w:t>
      </w:r>
    </w:p>
    <w:p>
      <w:pPr>
        <w:pStyle w:val="ListParagraph"/>
        <w:numPr>
          <w:ilvl w:val="0"/>
          <w:numId w:val="20"/>
        </w:numPr>
        <w:pBdr>
          <w:top w:val="single" w:sz="4" w:space="1" w:color="auto"/>
          <w:left w:val="single" w:sz="4" w:space="4" w:color="auto"/>
          <w:bottom w:val="single" w:sz="4" w:space="1" w:color="auto"/>
          <w:right w:val="single" w:sz="4" w:space="4" w:color="auto"/>
        </w:pBdr>
        <w:spacing w:after="0" w:line="264" w:lineRule="auto"/>
        <w:jc w:val="both"/>
        <w:rPr>
          <w:rFonts w:ascii="Times New Roman" w:hAnsi="Times New Roman" w:cs="Times New Roman"/>
          <w:i/>
          <w:noProof/>
          <w:sz w:val="24"/>
          <w:szCs w:val="24"/>
          <w:lang w:val="fr-FR"/>
        </w:rPr>
      </w:pPr>
      <w:r>
        <w:rPr>
          <w:rFonts w:ascii="Times New Roman" w:hAnsi="Times New Roman"/>
          <w:i/>
          <w:noProof/>
          <w:sz w:val="24"/>
          <w:szCs w:val="24"/>
          <w:lang w:val="fr-FR"/>
        </w:rPr>
        <w:t>de mettre en place de toute urgence toutes les mesures encore nécessaires pour se préparer à l’application du règlement général sur la protection des données dans l’ensemble des États membres;</w:t>
      </w:r>
    </w:p>
    <w:p>
      <w:pPr>
        <w:pStyle w:val="ListParagraph"/>
        <w:numPr>
          <w:ilvl w:val="0"/>
          <w:numId w:val="20"/>
        </w:numPr>
        <w:pBdr>
          <w:top w:val="single" w:sz="4" w:space="1" w:color="auto"/>
          <w:left w:val="single" w:sz="4" w:space="4" w:color="auto"/>
          <w:bottom w:val="single" w:sz="4" w:space="1" w:color="auto"/>
          <w:right w:val="single" w:sz="4" w:space="4" w:color="auto"/>
        </w:pBdr>
        <w:spacing w:after="0" w:line="264" w:lineRule="auto"/>
        <w:jc w:val="both"/>
        <w:rPr>
          <w:rFonts w:ascii="Times New Roman" w:hAnsi="Times New Roman" w:cs="Times New Roman"/>
          <w:i/>
          <w:noProof/>
          <w:sz w:val="24"/>
          <w:szCs w:val="24"/>
          <w:lang w:val="fr-FR"/>
        </w:rPr>
      </w:pPr>
      <w:r>
        <w:rPr>
          <w:rFonts w:ascii="Times New Roman" w:hAnsi="Times New Roman"/>
          <w:i/>
          <w:noProof/>
          <w:sz w:val="24"/>
          <w:szCs w:val="24"/>
          <w:lang w:val="fr-FR"/>
        </w:rPr>
        <w:t>d’appeler le Conseil à arrêter dans les meilleurs délais sa position de négociation sur le règlement «vie privée et communications électroniques» visant à garantir la confidentialité des communications électroniques, de sorte que les négociations puissent commencer en juin 2018, pour une adoption du règlement avant la fin de l’année;</w:t>
      </w:r>
    </w:p>
    <w:p>
      <w:pPr>
        <w:pStyle w:val="ListParagraph"/>
        <w:numPr>
          <w:ilvl w:val="0"/>
          <w:numId w:val="20"/>
        </w:numPr>
        <w:pBdr>
          <w:top w:val="single" w:sz="4" w:space="1" w:color="auto"/>
          <w:left w:val="single" w:sz="4" w:space="4" w:color="auto"/>
          <w:bottom w:val="single" w:sz="4" w:space="1" w:color="auto"/>
          <w:right w:val="single" w:sz="4" w:space="4" w:color="auto"/>
        </w:pBdr>
        <w:spacing w:after="0" w:line="264" w:lineRule="auto"/>
        <w:jc w:val="both"/>
        <w:rPr>
          <w:rFonts w:ascii="Times New Roman" w:hAnsi="Times New Roman" w:cs="Times New Roman"/>
          <w:i/>
          <w:noProof/>
          <w:sz w:val="24"/>
          <w:szCs w:val="24"/>
          <w:lang w:val="fr-FR"/>
        </w:rPr>
      </w:pPr>
      <w:r>
        <w:rPr>
          <w:rFonts w:ascii="Times New Roman" w:hAnsi="Times New Roman"/>
          <w:i/>
          <w:noProof/>
          <w:sz w:val="24"/>
          <w:szCs w:val="24"/>
          <w:lang w:val="fr-FR"/>
        </w:rPr>
        <w:t>de veiller à ce que le code des communications électroniques et le règlement sur la libre circulation des données à caractère non personnel soient approuvés par les colégislateurs avant juin 2018, et d’ici la fin de 2018 pour toutes les autres propositions en suspens relatives au marché unique numérique, conformément au vœu formulé par le Conseil européen en octobre 2017;</w:t>
      </w:r>
    </w:p>
    <w:p>
      <w:pPr>
        <w:pStyle w:val="ListParagraph"/>
        <w:numPr>
          <w:ilvl w:val="0"/>
          <w:numId w:val="20"/>
        </w:numPr>
        <w:pBdr>
          <w:top w:val="single" w:sz="4" w:space="1" w:color="auto"/>
          <w:left w:val="single" w:sz="4" w:space="4" w:color="auto"/>
          <w:bottom w:val="single" w:sz="4" w:space="1" w:color="auto"/>
          <w:right w:val="single" w:sz="4" w:space="4" w:color="auto"/>
        </w:pBdr>
        <w:spacing w:after="0" w:line="264" w:lineRule="auto"/>
        <w:jc w:val="both"/>
        <w:rPr>
          <w:rFonts w:ascii="Times New Roman" w:hAnsi="Times New Roman" w:cs="Times New Roman"/>
          <w:i/>
          <w:noProof/>
          <w:sz w:val="24"/>
          <w:szCs w:val="24"/>
          <w:lang w:val="fr-FR"/>
        </w:rPr>
      </w:pPr>
      <w:r>
        <w:rPr>
          <w:rFonts w:ascii="Times New Roman" w:hAnsi="Times New Roman"/>
          <w:i/>
          <w:noProof/>
          <w:sz w:val="24"/>
          <w:szCs w:val="24"/>
          <w:lang w:val="fr-FR"/>
        </w:rPr>
        <w:t>de mobiliser les investissements publics et privés nécessaires pour permettre aux entreprises et au secteur public d’engager des actions dans le domaine de l’intelligence artificielle, de la cybersécurité, des réseaux de connectivité 5G, du calcul à haute performance et d’autres nouvelles technologies numériques, et pour favoriser les compétences numériques, qui sont à la fois essentielles pour stimuler l’innovation et indispensables pour assurer notre compétitivité future dans l’économie mondiale des données.</w:t>
      </w:r>
    </w:p>
    <w:p>
      <w:pPr>
        <w:rPr>
          <w:rFonts w:ascii="Times New Roman" w:hAnsi="Times New Roman" w:cs="Times New Roman"/>
          <w:b/>
          <w:noProof/>
          <w:sz w:val="24"/>
          <w:szCs w:val="24"/>
          <w:lang w:val="fr-FR"/>
        </w:rPr>
      </w:pPr>
    </w:p>
    <w:p>
      <w:pPr>
        <w:pStyle w:val="Default"/>
        <w:jc w:val="right"/>
        <w:rPr>
          <w:b/>
          <w:noProof/>
          <w:lang w:val="fr-FR"/>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charset w:val="00"/>
    <w:family w:val="roman"/>
    <w:pitch w:val="default"/>
  </w:font>
  <w:font w:name="EC Square Sans Pro">
    <w:altName w:val="Segoe UI"/>
    <w:charset w:val="00"/>
    <w:family w:val="swiss"/>
    <w:pitch w:val="variable"/>
    <w:sig w:usb0="00000001" w:usb1="5000E0FB" w:usb2="00000000" w:usb3="00000000" w:csb0="0000019F" w:csb1="00000000"/>
  </w:font>
  <w:font w:name="Charter ITC Std">
    <w:altName w:val="Charter ITC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607524"/>
      <w:docPartObj>
        <w:docPartGallery w:val="Page Numbers (Bottom of Page)"/>
        <w:docPartUnique/>
      </w:docPartObj>
    </w:sdtPr>
    <w:sdtEndPr>
      <w:rPr>
        <w:rFonts w:ascii="Times New Roman" w:hAnsi="Times New Roman"/>
      </w:rPr>
    </w:sdtEndPr>
    <w:sdtContent>
      <w:p>
        <w:pPr>
          <w:pStyle w:val="Footer"/>
          <w:jc w:val="right"/>
        </w:pPr>
        <w:r>
          <w:rPr>
            <w:rFonts w:ascii="Times New Roman" w:hAnsi="Times New Roman"/>
          </w:rPr>
          <w:fldChar w:fldCharType="begin"/>
        </w:r>
        <w:r>
          <w:rPr>
            <w:rFonts w:ascii="Times New Roman" w:hAnsi="Times New Roman" w:cs="Times New Roman"/>
          </w:rPr>
          <w:instrText xml:space="preserve"> PAGE   \* MERGEFORMAT </w:instrText>
        </w:r>
        <w:r>
          <w:rPr>
            <w:rFonts w:ascii="Times New Roman" w:hAnsi="Times New Roman"/>
          </w:rPr>
          <w:fldChar w:fldCharType="separate"/>
        </w:r>
        <w:r>
          <w:rPr>
            <w:rFonts w:ascii="Times New Roman" w:hAnsi="Times New Roman" w:cs="Times New Roman"/>
            <w:noProof/>
          </w:rPr>
          <w:t>1</w:t>
        </w:r>
        <w:r>
          <w:rPr>
            <w:rFonts w:ascii="Times New Roman" w:hAnsi="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284" w:hanging="284"/>
        <w:jc w:val="both"/>
        <w:rPr>
          <w:rFonts w:ascii="Times New Roman" w:hAnsi="Times New Roman" w:cs="Times New Roman"/>
          <w:sz w:val="18"/>
          <w:szCs w:val="18"/>
          <w:lang w:val="fr-FR"/>
        </w:rPr>
      </w:pPr>
      <w:r>
        <w:rPr>
          <w:rStyle w:val="FootnoteReference"/>
          <w:rFonts w:ascii="Times New Roman" w:hAnsi="Times New Roman" w:cs="Times New Roman"/>
          <w:sz w:val="18"/>
          <w:szCs w:val="18"/>
          <w:lang w:val="fr-FR"/>
        </w:rPr>
        <w:footnoteRef/>
      </w:r>
      <w:r>
        <w:rPr>
          <w:rFonts w:ascii="Times New Roman" w:hAnsi="Times New Roman"/>
          <w:sz w:val="18"/>
          <w:szCs w:val="18"/>
          <w:lang w:val="fr-FR"/>
        </w:rPr>
        <w:t xml:space="preserve"> </w:t>
      </w:r>
      <w:r>
        <w:rPr>
          <w:rFonts w:ascii="Times New Roman" w:hAnsi="Times New Roman"/>
          <w:sz w:val="18"/>
          <w:szCs w:val="18"/>
          <w:lang w:val="fr-FR"/>
        </w:rPr>
        <w:tab/>
        <w:t>Conclusions du Conseil européen du 22 mars 2018.</w:t>
      </w:r>
    </w:p>
  </w:footnote>
  <w:footnote w:id="3">
    <w:p>
      <w:pPr>
        <w:pStyle w:val="FootnoteText"/>
        <w:ind w:left="284" w:hanging="284"/>
        <w:jc w:val="both"/>
        <w:rPr>
          <w:rFonts w:ascii="Times New Roman" w:hAnsi="Times New Roman"/>
          <w:sz w:val="18"/>
          <w:szCs w:val="18"/>
          <w:lang w:val="fr-FR"/>
        </w:rPr>
      </w:pPr>
      <w:r>
        <w:rPr>
          <w:rStyle w:val="FootnoteReference"/>
          <w:rFonts w:ascii="Times New Roman" w:hAnsi="Times New Roman"/>
          <w:sz w:val="18"/>
          <w:szCs w:val="18"/>
          <w:lang w:val="fr-FR"/>
        </w:rPr>
        <w:footnoteRef/>
      </w:r>
      <w:r>
        <w:rPr>
          <w:rFonts w:ascii="Times New Roman" w:hAnsi="Times New Roman"/>
          <w:sz w:val="18"/>
          <w:szCs w:val="18"/>
          <w:lang w:val="fr-FR"/>
        </w:rPr>
        <w:t xml:space="preserve">   </w:t>
      </w:r>
      <w:r>
        <w:rPr>
          <w:rFonts w:ascii="Times New Roman" w:hAnsi="Times New Roman"/>
          <w:sz w:val="18"/>
          <w:szCs w:val="18"/>
          <w:lang w:val="fr-FR"/>
        </w:rPr>
        <w:tab/>
        <w:t xml:space="preserve">Communication «Une stratégie pour un marché unique numérique en Europe», COM(2015) 192 du 6 mai 2015. </w:t>
      </w:r>
    </w:p>
  </w:footnote>
  <w:footnote w:id="4">
    <w:p>
      <w:pPr>
        <w:pStyle w:val="FootnoteText"/>
        <w:ind w:left="284" w:hanging="284"/>
        <w:jc w:val="both"/>
        <w:rPr>
          <w:rFonts w:ascii="Times New Roman" w:hAnsi="Times New Roman" w:cs="Times New Roman"/>
          <w:sz w:val="18"/>
          <w:szCs w:val="18"/>
          <w:lang w:val="fr-FR"/>
        </w:rPr>
      </w:pPr>
      <w:r>
        <w:rPr>
          <w:rStyle w:val="FootnoteReference"/>
          <w:rFonts w:ascii="Times New Roman" w:hAnsi="Times New Roman" w:cs="Times New Roman"/>
          <w:sz w:val="18"/>
          <w:szCs w:val="18"/>
          <w:lang w:val="fr-FR"/>
        </w:rPr>
        <w:footnoteRef/>
      </w:r>
      <w:r>
        <w:rPr>
          <w:rFonts w:ascii="Times New Roman" w:hAnsi="Times New Roman"/>
          <w:sz w:val="18"/>
          <w:szCs w:val="18"/>
          <w:lang w:val="fr-FR"/>
        </w:rPr>
        <w:t xml:space="preserve"> </w:t>
      </w:r>
      <w:r>
        <w:rPr>
          <w:rFonts w:ascii="Times New Roman" w:hAnsi="Times New Roman"/>
          <w:sz w:val="18"/>
          <w:szCs w:val="18"/>
          <w:lang w:val="fr-FR"/>
        </w:rPr>
        <w:tab/>
        <w:t xml:space="preserve">Voir l’annexe.  </w:t>
      </w:r>
    </w:p>
  </w:footnote>
  <w:footnote w:id="5">
    <w:p>
      <w:pPr>
        <w:pStyle w:val="FootnoteText"/>
        <w:ind w:left="284" w:hanging="284"/>
        <w:jc w:val="both"/>
        <w:rPr>
          <w:rFonts w:ascii="Times New Roman" w:hAnsi="Times New Roman"/>
          <w:sz w:val="18"/>
          <w:szCs w:val="18"/>
          <w:lang w:val="fr-FR"/>
        </w:rPr>
      </w:pPr>
      <w:r>
        <w:rPr>
          <w:rStyle w:val="FootnoteReference"/>
          <w:rFonts w:ascii="Times New Roman" w:hAnsi="Times New Roman"/>
          <w:sz w:val="18"/>
          <w:szCs w:val="18"/>
          <w:lang w:val="fr-FR"/>
        </w:rPr>
        <w:footnoteRef/>
      </w:r>
      <w:r>
        <w:rPr>
          <w:rFonts w:ascii="Times New Roman" w:hAnsi="Times New Roman"/>
          <w:sz w:val="18"/>
          <w:szCs w:val="18"/>
          <w:lang w:val="fr-FR"/>
        </w:rPr>
        <w:t xml:space="preserve"> </w:t>
      </w:r>
      <w:r>
        <w:rPr>
          <w:rFonts w:ascii="Times New Roman" w:hAnsi="Times New Roman"/>
          <w:sz w:val="18"/>
          <w:szCs w:val="18"/>
          <w:lang w:val="fr-FR"/>
        </w:rPr>
        <w:tab/>
        <w:t>COM(2018) 306, «Un agenda européen renouvelé dans le domaine de la recherche et de l’innovation»; COM(2018) 267-272, «Construire une Europe plus forte: le rôle des politiques en faveur de la jeunesse, de l’éducation et de la culture».</w:t>
      </w:r>
    </w:p>
  </w:footnote>
  <w:footnote w:id="6">
    <w:p>
      <w:pPr>
        <w:pStyle w:val="FootnoteText"/>
        <w:ind w:left="284" w:hanging="284"/>
        <w:jc w:val="both"/>
        <w:rPr>
          <w:rFonts w:ascii="Times New Roman" w:hAnsi="Times New Roman" w:cs="Times New Roman"/>
          <w:sz w:val="18"/>
          <w:szCs w:val="18"/>
          <w:lang w:val="fr-FR"/>
        </w:rPr>
      </w:pPr>
      <w:r>
        <w:rPr>
          <w:rStyle w:val="FootnoteReference"/>
          <w:rFonts w:ascii="Times New Roman" w:hAnsi="Times New Roman" w:cs="Times New Roman"/>
          <w:sz w:val="18"/>
          <w:szCs w:val="18"/>
          <w:lang w:val="fr-FR"/>
        </w:rPr>
        <w:footnoteRef/>
      </w:r>
      <w:r>
        <w:rPr>
          <w:rFonts w:ascii="Times New Roman" w:hAnsi="Times New Roman"/>
          <w:sz w:val="18"/>
          <w:szCs w:val="18"/>
          <w:lang w:val="fr-FR"/>
        </w:rPr>
        <w:t xml:space="preserve"> </w:t>
      </w:r>
      <w:r>
        <w:rPr>
          <w:rFonts w:ascii="Times New Roman" w:hAnsi="Times New Roman"/>
          <w:sz w:val="18"/>
          <w:szCs w:val="18"/>
          <w:lang w:val="fr-FR"/>
        </w:rPr>
        <w:tab/>
        <w:t>Articles 7 et 8 de la Charte des droits fondamentaux de l’UE.</w:t>
      </w:r>
    </w:p>
  </w:footnote>
  <w:footnote w:id="7">
    <w:p>
      <w:pPr>
        <w:pStyle w:val="FootnoteText"/>
        <w:ind w:left="284" w:hanging="284"/>
        <w:jc w:val="both"/>
        <w:rPr>
          <w:rFonts w:ascii="Times New Roman" w:hAnsi="Times New Roman" w:cs="Times New Roman"/>
          <w:sz w:val="18"/>
          <w:szCs w:val="18"/>
          <w:lang w:val="fr-FR"/>
        </w:rPr>
      </w:pPr>
      <w:r>
        <w:rPr>
          <w:rStyle w:val="FootnoteReference"/>
          <w:rFonts w:ascii="Times New Roman" w:hAnsi="Times New Roman" w:cs="Times New Roman"/>
          <w:sz w:val="18"/>
          <w:szCs w:val="18"/>
          <w:lang w:val="fr-FR"/>
        </w:rPr>
        <w:footnoteRef/>
      </w:r>
      <w:r>
        <w:rPr>
          <w:rFonts w:ascii="Times New Roman" w:hAnsi="Times New Roman"/>
          <w:sz w:val="18"/>
          <w:szCs w:val="18"/>
          <w:lang w:val="fr-FR"/>
        </w:rPr>
        <w:t xml:space="preserve"> </w:t>
      </w:r>
      <w:r>
        <w:rPr>
          <w:rFonts w:ascii="Times New Roman" w:hAnsi="Times New Roman"/>
          <w:sz w:val="18"/>
          <w:szCs w:val="18"/>
          <w:lang w:val="fr-FR"/>
        </w:rPr>
        <w:tab/>
        <w:t>Communication sur l'examen à mi-parcours de la mise en œuvre de la stratégie pour le marché unique numérique, COM(2017) 228 du 10 mai 2017.</w:t>
      </w:r>
    </w:p>
  </w:footnote>
  <w:footnote w:id="8">
    <w:p>
      <w:pPr>
        <w:pStyle w:val="FootnoteText"/>
        <w:ind w:left="284" w:hanging="284"/>
        <w:jc w:val="both"/>
        <w:rPr>
          <w:rFonts w:ascii="Times New Roman" w:hAnsi="Times New Roman" w:cs="Times New Roman"/>
          <w:sz w:val="18"/>
          <w:szCs w:val="18"/>
          <w:lang w:val="fr-FR"/>
        </w:rPr>
      </w:pPr>
      <w:r>
        <w:rPr>
          <w:rStyle w:val="FootnoteReference"/>
          <w:rFonts w:ascii="Times New Roman" w:hAnsi="Times New Roman" w:cs="Times New Roman"/>
          <w:sz w:val="18"/>
          <w:szCs w:val="18"/>
          <w:lang w:val="fr-FR"/>
        </w:rPr>
        <w:footnoteRef/>
      </w:r>
      <w:r>
        <w:rPr>
          <w:rFonts w:ascii="Times New Roman" w:hAnsi="Times New Roman"/>
          <w:sz w:val="18"/>
          <w:szCs w:val="18"/>
          <w:lang w:val="fr-FR"/>
        </w:rPr>
        <w:t xml:space="preserve"> </w:t>
      </w:r>
      <w:r>
        <w:rPr>
          <w:rFonts w:ascii="Times New Roman" w:hAnsi="Times New Roman"/>
          <w:sz w:val="18"/>
          <w:szCs w:val="18"/>
          <w:lang w:val="fr-FR"/>
        </w:rPr>
        <w:tab/>
        <w:t>Eurobaromètre spécial 431 sur la protection des données, juin 2015.</w:t>
      </w:r>
    </w:p>
  </w:footnote>
  <w:footnote w:id="9">
    <w:p>
      <w:pPr>
        <w:pStyle w:val="FootnoteText"/>
        <w:ind w:left="284" w:hanging="284"/>
        <w:jc w:val="both"/>
        <w:rPr>
          <w:rFonts w:ascii="Times New Roman" w:hAnsi="Times New Roman" w:cs="Times New Roman"/>
          <w:sz w:val="18"/>
          <w:szCs w:val="18"/>
          <w:lang w:val="fr-FR"/>
        </w:rPr>
      </w:pPr>
      <w:r>
        <w:rPr>
          <w:rStyle w:val="FootnoteReference"/>
          <w:rFonts w:ascii="Times New Roman" w:hAnsi="Times New Roman" w:cs="Times New Roman"/>
          <w:sz w:val="18"/>
          <w:szCs w:val="18"/>
          <w:lang w:val="fr-FR"/>
        </w:rPr>
        <w:footnoteRef/>
      </w:r>
      <w:r>
        <w:rPr>
          <w:rFonts w:ascii="Times New Roman" w:hAnsi="Times New Roman"/>
          <w:sz w:val="18"/>
          <w:szCs w:val="18"/>
          <w:lang w:val="fr-FR"/>
        </w:rPr>
        <w:t xml:space="preserve"> </w:t>
      </w:r>
      <w:r>
        <w:rPr>
          <w:rFonts w:ascii="Times New Roman" w:hAnsi="Times New Roman"/>
          <w:sz w:val="18"/>
          <w:szCs w:val="18"/>
          <w:lang w:val="fr-FR"/>
        </w:rPr>
        <w:tab/>
        <w:t>Règlement (UE) 2016/679.</w:t>
      </w:r>
    </w:p>
  </w:footnote>
  <w:footnote w:id="10">
    <w:p>
      <w:pPr>
        <w:pStyle w:val="FootnoteText"/>
        <w:ind w:left="284" w:hanging="284"/>
        <w:jc w:val="both"/>
        <w:rPr>
          <w:rStyle w:val="FootnoteReference"/>
          <w:rFonts w:ascii="Times New Roman" w:hAnsi="Times New Roman" w:cs="Times New Roman"/>
          <w:sz w:val="18"/>
          <w:szCs w:val="18"/>
          <w:lang w:val="fr-FR"/>
        </w:rPr>
      </w:pPr>
      <w:r>
        <w:rPr>
          <w:rStyle w:val="FootnoteReference"/>
          <w:rFonts w:ascii="Times New Roman" w:hAnsi="Times New Roman" w:cs="Times New Roman"/>
          <w:sz w:val="18"/>
          <w:szCs w:val="18"/>
          <w:lang w:val="fr-FR"/>
        </w:rPr>
        <w:footnoteRef/>
      </w:r>
      <w:r>
        <w:rPr>
          <w:rStyle w:val="FootnoteReference"/>
          <w:rFonts w:ascii="Times New Roman" w:hAnsi="Times New Roman" w:cs="Times New Roman"/>
          <w:sz w:val="18"/>
          <w:szCs w:val="18"/>
          <w:lang w:val="fr-FR"/>
        </w:rPr>
        <w:t xml:space="preserve"> </w:t>
      </w:r>
      <w:r>
        <w:rPr>
          <w:rStyle w:val="FootnoteReference"/>
          <w:rFonts w:ascii="Times New Roman" w:hAnsi="Times New Roman" w:cs="Times New Roman"/>
          <w:sz w:val="18"/>
          <w:szCs w:val="18"/>
          <w:lang w:val="fr-FR"/>
        </w:rPr>
        <w:tab/>
      </w:r>
      <w:r>
        <w:rPr>
          <w:rFonts w:ascii="Times New Roman" w:hAnsi="Times New Roman"/>
          <w:sz w:val="18"/>
          <w:szCs w:val="18"/>
          <w:lang w:val="fr-FR"/>
        </w:rPr>
        <w:t xml:space="preserve">Article 6 «Licéité du traitement» du règlement général sur la protection des données [règlement (UE) 2016/679].  </w:t>
      </w:r>
    </w:p>
  </w:footnote>
  <w:footnote w:id="11">
    <w:p>
      <w:pPr>
        <w:pStyle w:val="FootnoteText"/>
        <w:ind w:left="284" w:hanging="284"/>
        <w:rPr>
          <w:rFonts w:ascii="Times New Roman" w:hAnsi="Times New Roman" w:cs="Times New Roman"/>
          <w:sz w:val="18"/>
          <w:szCs w:val="18"/>
          <w:lang w:val="fr-FR"/>
        </w:rPr>
      </w:pPr>
      <w:r>
        <w:rPr>
          <w:rStyle w:val="FootnoteReference"/>
          <w:rFonts w:ascii="Times New Roman" w:hAnsi="Times New Roman" w:cs="Times New Roman"/>
          <w:sz w:val="18"/>
          <w:szCs w:val="18"/>
          <w:lang w:val="fr-FR"/>
        </w:rPr>
        <w:footnoteRef/>
      </w:r>
      <w:r>
        <w:rPr>
          <w:rFonts w:ascii="Times New Roman" w:hAnsi="Times New Roman"/>
          <w:sz w:val="18"/>
          <w:szCs w:val="18"/>
          <w:lang w:val="fr-FR"/>
        </w:rPr>
        <w:t xml:space="preserve"> </w:t>
      </w:r>
      <w:r>
        <w:rPr>
          <w:rFonts w:ascii="Times New Roman" w:hAnsi="Times New Roman"/>
          <w:sz w:val="18"/>
          <w:szCs w:val="18"/>
          <w:lang w:val="fr-FR"/>
        </w:rPr>
        <w:tab/>
        <w:t>COM(2018) 237 du 26 avril 2018.</w:t>
      </w:r>
    </w:p>
  </w:footnote>
  <w:footnote w:id="12">
    <w:p>
      <w:pPr>
        <w:pStyle w:val="FootnoteText"/>
        <w:ind w:left="284" w:hanging="284"/>
        <w:jc w:val="both"/>
        <w:rPr>
          <w:rFonts w:ascii="Times New Roman" w:hAnsi="Times New Roman" w:cs="Times New Roman"/>
          <w:sz w:val="18"/>
          <w:szCs w:val="18"/>
          <w:lang w:val="fr-FR"/>
        </w:rPr>
      </w:pPr>
      <w:r>
        <w:rPr>
          <w:rStyle w:val="FootnoteReference"/>
          <w:rFonts w:ascii="Times New Roman" w:hAnsi="Times New Roman"/>
          <w:sz w:val="18"/>
          <w:szCs w:val="18"/>
          <w:lang w:val="fr-FR"/>
        </w:rPr>
        <w:footnoteRef/>
      </w:r>
      <w:r>
        <w:rPr>
          <w:rFonts w:ascii="Times New Roman" w:hAnsi="Times New Roman"/>
          <w:sz w:val="18"/>
          <w:szCs w:val="18"/>
          <w:lang w:val="fr-FR"/>
        </w:rPr>
        <w:t xml:space="preserve"> </w:t>
      </w:r>
      <w:r>
        <w:rPr>
          <w:rFonts w:ascii="Times New Roman" w:hAnsi="Times New Roman"/>
          <w:sz w:val="18"/>
          <w:szCs w:val="18"/>
          <w:lang w:val="fr-FR"/>
        </w:rPr>
        <w:tab/>
        <w:t>Communication «Vers un espace européen commun des données», COM(2018) 232 du 25 avril 2018; communication «Créer une économie européenne fondée sur les données», COM(2017) 9 du 10 janvier 2017.</w:t>
      </w:r>
    </w:p>
  </w:footnote>
  <w:footnote w:id="13">
    <w:p>
      <w:pPr>
        <w:pStyle w:val="FootnoteText"/>
        <w:ind w:left="284" w:hanging="284"/>
        <w:jc w:val="both"/>
        <w:rPr>
          <w:rFonts w:ascii="Times New Roman" w:hAnsi="Times New Roman" w:cs="Times New Roman"/>
          <w:sz w:val="18"/>
          <w:szCs w:val="18"/>
          <w:lang w:val="fr-FR"/>
        </w:rPr>
      </w:pPr>
      <w:r>
        <w:rPr>
          <w:rStyle w:val="FootnoteReference"/>
          <w:rFonts w:ascii="Times New Roman" w:hAnsi="Times New Roman" w:cs="Times New Roman"/>
          <w:sz w:val="18"/>
          <w:szCs w:val="18"/>
          <w:lang w:val="fr-FR"/>
        </w:rPr>
        <w:footnoteRef/>
      </w:r>
      <w:r>
        <w:rPr>
          <w:rFonts w:ascii="Times New Roman" w:hAnsi="Times New Roman"/>
          <w:sz w:val="18"/>
          <w:szCs w:val="18"/>
          <w:lang w:val="fr-FR"/>
        </w:rPr>
        <w:t xml:space="preserve"> </w:t>
      </w:r>
      <w:r>
        <w:rPr>
          <w:rFonts w:ascii="Times New Roman" w:hAnsi="Times New Roman"/>
          <w:sz w:val="18"/>
          <w:szCs w:val="18"/>
          <w:lang w:val="fr-FR"/>
        </w:rPr>
        <w:tab/>
        <w:t xml:space="preserve">Proposition de règlement concernant un cadre applicable à la libre circulation des données à caractère non personnel, COM(2017) 495 du 13 septembre 2017. </w:t>
      </w:r>
    </w:p>
  </w:footnote>
  <w:footnote w:id="14">
    <w:p>
      <w:pPr>
        <w:pStyle w:val="FootnoteText"/>
        <w:ind w:left="284" w:hanging="284"/>
        <w:jc w:val="both"/>
        <w:rPr>
          <w:rFonts w:ascii="Times New Roman" w:hAnsi="Times New Roman" w:cs="Times New Roman"/>
          <w:sz w:val="18"/>
          <w:szCs w:val="18"/>
          <w:lang w:val="fr-FR"/>
        </w:rPr>
      </w:pPr>
      <w:r>
        <w:rPr>
          <w:rStyle w:val="FootnoteReference"/>
          <w:rFonts w:ascii="Times New Roman" w:hAnsi="Times New Roman" w:cs="Times New Roman"/>
          <w:sz w:val="18"/>
          <w:szCs w:val="18"/>
          <w:lang w:val="fr-FR"/>
        </w:rPr>
        <w:footnoteRef/>
      </w:r>
      <w:r>
        <w:rPr>
          <w:rFonts w:ascii="Times New Roman" w:hAnsi="Times New Roman"/>
          <w:sz w:val="18"/>
          <w:szCs w:val="18"/>
          <w:lang w:val="fr-FR"/>
        </w:rPr>
        <w:t xml:space="preserve"> </w:t>
      </w:r>
      <w:r>
        <w:rPr>
          <w:rFonts w:ascii="Times New Roman" w:hAnsi="Times New Roman"/>
          <w:sz w:val="18"/>
          <w:szCs w:val="18"/>
          <w:lang w:val="fr-FR"/>
        </w:rPr>
        <w:tab/>
        <w:t>COM(2018) 43, «Une meilleure protection et de nouvelles perspectives – Orientations de la Commission relatives à l’application directe du règlement général sur la protection des données à partir du 25 mai 2018».</w:t>
      </w:r>
    </w:p>
  </w:footnote>
  <w:footnote w:id="15">
    <w:p>
      <w:pPr>
        <w:pStyle w:val="FootnoteText"/>
        <w:ind w:left="284" w:hanging="284"/>
        <w:jc w:val="both"/>
        <w:rPr>
          <w:rFonts w:ascii="Times New Roman" w:hAnsi="Times New Roman" w:cs="Times New Roman"/>
          <w:sz w:val="18"/>
          <w:szCs w:val="18"/>
          <w:lang w:val="fr-FR"/>
        </w:rPr>
      </w:pPr>
      <w:r>
        <w:rPr>
          <w:rStyle w:val="FootnoteReference"/>
          <w:rFonts w:ascii="Times New Roman" w:hAnsi="Times New Roman" w:cs="Times New Roman"/>
          <w:sz w:val="18"/>
          <w:szCs w:val="18"/>
          <w:lang w:val="fr-FR"/>
        </w:rPr>
        <w:footnoteRef/>
      </w:r>
      <w:r>
        <w:rPr>
          <w:rFonts w:ascii="Times New Roman" w:hAnsi="Times New Roman"/>
          <w:sz w:val="18"/>
          <w:szCs w:val="18"/>
          <w:lang w:val="fr-FR"/>
        </w:rPr>
        <w:t xml:space="preserve"> </w:t>
      </w:r>
      <w:r>
        <w:rPr>
          <w:rFonts w:ascii="Times New Roman" w:hAnsi="Times New Roman"/>
          <w:sz w:val="18"/>
          <w:szCs w:val="18"/>
          <w:lang w:val="fr-FR"/>
        </w:rPr>
        <w:tab/>
        <w:t>Le droit de communiquer de manière confidentielle, à la fois en ligne et hors ligne, est inscrit à l’article 7 de la Charte des droits fondamentaux de l’UE; le droit au respect de la vie privée et à la confidentialité des communications n’est pas expressément traité dans le règlement général sur la protection des données.</w:t>
      </w:r>
    </w:p>
  </w:footnote>
  <w:footnote w:id="16">
    <w:p>
      <w:pPr>
        <w:pStyle w:val="FootnoteText"/>
        <w:ind w:left="284" w:hanging="284"/>
        <w:jc w:val="both"/>
        <w:rPr>
          <w:rFonts w:ascii="Times New Roman" w:hAnsi="Times New Roman" w:cs="Times New Roman"/>
          <w:sz w:val="18"/>
          <w:szCs w:val="18"/>
          <w:lang w:val="fr-FR"/>
        </w:rPr>
      </w:pPr>
      <w:r>
        <w:rPr>
          <w:rStyle w:val="FootnoteReference"/>
          <w:rFonts w:ascii="Times New Roman" w:hAnsi="Times New Roman" w:cs="Times New Roman"/>
          <w:sz w:val="18"/>
          <w:szCs w:val="18"/>
          <w:lang w:val="fr-FR"/>
        </w:rPr>
        <w:footnoteRef/>
      </w:r>
      <w:r>
        <w:rPr>
          <w:rFonts w:ascii="Times New Roman" w:hAnsi="Times New Roman"/>
          <w:sz w:val="18"/>
          <w:szCs w:val="18"/>
          <w:lang w:val="fr-FR"/>
        </w:rPr>
        <w:t xml:space="preserve"> </w:t>
      </w:r>
      <w:r>
        <w:rPr>
          <w:rFonts w:ascii="Times New Roman" w:hAnsi="Times New Roman"/>
          <w:sz w:val="18"/>
          <w:szCs w:val="18"/>
          <w:lang w:val="fr-FR"/>
        </w:rPr>
        <w:tab/>
        <w:t xml:space="preserve">COM(2017) 10. En attendant cette approbation, à partir du 25 mai 2018, date à laquelle le règlement général sur la protection des données deviendra applicable, toute référence au consentement dans le cadre juridique en vigueur sur la vie privée et les communications électroniques (directive 2002/58/CE) devra s’entendre comme faite au consentement tel que défini dans le règlement général sur la protection des données. </w:t>
      </w:r>
    </w:p>
  </w:footnote>
  <w:footnote w:id="17">
    <w:p>
      <w:pPr>
        <w:pStyle w:val="Default"/>
        <w:ind w:left="284" w:hanging="284"/>
        <w:jc w:val="both"/>
        <w:rPr>
          <w:sz w:val="18"/>
          <w:szCs w:val="18"/>
          <w:lang w:val="fr-FR"/>
        </w:rPr>
      </w:pPr>
      <w:r>
        <w:rPr>
          <w:rStyle w:val="FootnoteReference"/>
          <w:sz w:val="18"/>
          <w:szCs w:val="18"/>
          <w:lang w:val="fr-FR"/>
        </w:rPr>
        <w:footnoteRef/>
      </w:r>
      <w:r>
        <w:rPr>
          <w:sz w:val="18"/>
          <w:szCs w:val="18"/>
          <w:lang w:val="fr-FR"/>
        </w:rPr>
        <w:t xml:space="preserve"> </w:t>
      </w:r>
      <w:r>
        <w:rPr>
          <w:sz w:val="18"/>
          <w:szCs w:val="18"/>
          <w:lang w:val="fr-FR"/>
        </w:rPr>
        <w:tab/>
        <w:t>Rapport sur le premier examen annuel du fonctionnement du bouclier de protection des données UE-États-Unis, COM(2017) 611 du 18 octobre 2017.</w:t>
      </w:r>
    </w:p>
  </w:footnote>
  <w:footnote w:id="18">
    <w:p>
      <w:pPr>
        <w:pStyle w:val="Default"/>
        <w:ind w:left="284" w:hanging="284"/>
        <w:jc w:val="both"/>
        <w:rPr>
          <w:sz w:val="18"/>
          <w:szCs w:val="18"/>
          <w:lang w:val="fr-FR"/>
        </w:rPr>
      </w:pPr>
      <w:r>
        <w:rPr>
          <w:rStyle w:val="FootnoteReference"/>
          <w:sz w:val="18"/>
          <w:szCs w:val="18"/>
          <w:lang w:val="fr-FR"/>
        </w:rPr>
        <w:footnoteRef/>
      </w:r>
      <w:r>
        <w:rPr>
          <w:sz w:val="18"/>
          <w:szCs w:val="18"/>
          <w:lang w:val="fr-FR"/>
        </w:rPr>
        <w:t xml:space="preserve"> </w:t>
      </w:r>
      <w:r>
        <w:rPr>
          <w:sz w:val="18"/>
          <w:szCs w:val="18"/>
          <w:lang w:val="fr-FR"/>
        </w:rPr>
        <w:tab/>
        <w:t>COM(2015) 192 du 6 mai 2015.</w:t>
      </w:r>
    </w:p>
  </w:footnote>
  <w:footnote w:id="19">
    <w:p>
      <w:pPr>
        <w:pStyle w:val="FootnoteText"/>
        <w:ind w:left="284" w:hanging="284"/>
        <w:jc w:val="both"/>
        <w:rPr>
          <w:rFonts w:ascii="Times New Roman" w:hAnsi="Times New Roman" w:cs="Times New Roman"/>
          <w:sz w:val="18"/>
          <w:szCs w:val="18"/>
          <w:lang w:val="fr-FR"/>
        </w:rPr>
      </w:pPr>
      <w:r>
        <w:rPr>
          <w:rStyle w:val="FootnoteReference"/>
          <w:rFonts w:ascii="Times New Roman" w:hAnsi="Times New Roman" w:cs="Times New Roman"/>
          <w:sz w:val="18"/>
          <w:szCs w:val="18"/>
          <w:lang w:val="fr-FR"/>
        </w:rPr>
        <w:footnoteRef/>
      </w:r>
      <w:r>
        <w:rPr>
          <w:rFonts w:ascii="Times New Roman" w:hAnsi="Times New Roman"/>
          <w:sz w:val="18"/>
          <w:szCs w:val="18"/>
          <w:lang w:val="fr-FR"/>
        </w:rPr>
        <w:t xml:space="preserve"> </w:t>
      </w:r>
      <w:r>
        <w:rPr>
          <w:rFonts w:ascii="Times New Roman" w:hAnsi="Times New Roman"/>
          <w:sz w:val="18"/>
          <w:szCs w:val="18"/>
          <w:lang w:val="fr-FR"/>
        </w:rPr>
        <w:tab/>
        <w:t xml:space="preserve">Voir l’annexe. </w:t>
      </w:r>
    </w:p>
  </w:footnote>
  <w:footnote w:id="20">
    <w:p>
      <w:pPr>
        <w:pStyle w:val="FootnoteText"/>
        <w:ind w:left="284" w:hanging="284"/>
        <w:jc w:val="both"/>
        <w:rPr>
          <w:rFonts w:ascii="Times New Roman" w:hAnsi="Times New Roman" w:cs="Times New Roman"/>
          <w:sz w:val="18"/>
          <w:szCs w:val="18"/>
          <w:lang w:val="fr-FR"/>
        </w:rPr>
      </w:pPr>
      <w:r>
        <w:rPr>
          <w:rStyle w:val="FootnoteReference"/>
          <w:rFonts w:ascii="Times New Roman" w:hAnsi="Times New Roman" w:cs="Times New Roman"/>
          <w:sz w:val="18"/>
          <w:szCs w:val="18"/>
          <w:lang w:val="fr-FR"/>
        </w:rPr>
        <w:footnoteRef/>
      </w:r>
      <w:r>
        <w:rPr>
          <w:rFonts w:ascii="Times New Roman" w:hAnsi="Times New Roman"/>
          <w:sz w:val="18"/>
          <w:szCs w:val="18"/>
          <w:lang w:val="fr-FR"/>
        </w:rPr>
        <w:t xml:space="preserve"> </w:t>
      </w:r>
      <w:r>
        <w:rPr>
          <w:rFonts w:ascii="Times New Roman" w:hAnsi="Times New Roman"/>
          <w:sz w:val="18"/>
          <w:szCs w:val="18"/>
          <w:lang w:val="fr-FR"/>
        </w:rPr>
        <w:tab/>
        <w:t>International Roaming BEREC Benchmark Data Report (Rapport d'analyse comparative de l'ORECE sur les données relatives à l'itinérance internationale), avril-septembre 2017.</w:t>
      </w:r>
    </w:p>
  </w:footnote>
  <w:footnote w:id="21">
    <w:p>
      <w:pPr>
        <w:pStyle w:val="FootnoteText"/>
        <w:tabs>
          <w:tab w:val="left" w:pos="426"/>
        </w:tabs>
        <w:ind w:left="284" w:hanging="284"/>
        <w:jc w:val="both"/>
        <w:rPr>
          <w:rFonts w:ascii="Times New Roman" w:hAnsi="Times New Roman" w:cs="Times New Roman"/>
          <w:sz w:val="18"/>
          <w:szCs w:val="18"/>
          <w:lang w:val="fr-FR"/>
        </w:rPr>
      </w:pPr>
      <w:r>
        <w:rPr>
          <w:rStyle w:val="FootnoteReference"/>
          <w:rFonts w:ascii="Times New Roman" w:hAnsi="Times New Roman" w:cs="Times New Roman"/>
          <w:sz w:val="18"/>
          <w:szCs w:val="18"/>
          <w:lang w:val="fr-FR"/>
        </w:rPr>
        <w:footnoteRef/>
      </w:r>
      <w:r>
        <w:rPr>
          <w:rFonts w:ascii="Times New Roman" w:hAnsi="Times New Roman"/>
          <w:sz w:val="18"/>
          <w:szCs w:val="18"/>
          <w:lang w:val="fr-FR"/>
        </w:rPr>
        <w:tab/>
        <w:t xml:space="preserve">Directive 2016/1148 du Parlement européen et du Conseil du 6 juillet 2016 concernant des mesures destinées à assurer un niveau élevé commun de sécurité des réseaux et des systèmes d’information dans l’Union. </w:t>
      </w:r>
    </w:p>
  </w:footnote>
  <w:footnote w:id="22">
    <w:p>
      <w:pPr>
        <w:pStyle w:val="FootnoteText"/>
        <w:ind w:left="284" w:hanging="284"/>
        <w:jc w:val="both"/>
        <w:rPr>
          <w:rFonts w:ascii="Times New Roman" w:hAnsi="Times New Roman" w:cs="Times New Roman"/>
          <w:sz w:val="18"/>
          <w:szCs w:val="18"/>
          <w:lang w:val="fr-FR"/>
        </w:rPr>
      </w:pPr>
      <w:r>
        <w:rPr>
          <w:rStyle w:val="FootnoteReference"/>
          <w:rFonts w:ascii="Times New Roman" w:hAnsi="Times New Roman" w:cs="Times New Roman"/>
          <w:sz w:val="18"/>
          <w:szCs w:val="18"/>
          <w:lang w:val="fr-FR"/>
        </w:rPr>
        <w:footnoteRef/>
      </w:r>
      <w:r>
        <w:rPr>
          <w:rFonts w:ascii="Times New Roman" w:hAnsi="Times New Roman"/>
          <w:sz w:val="18"/>
          <w:szCs w:val="18"/>
          <w:lang w:val="fr-FR"/>
        </w:rPr>
        <w:t xml:space="preserve"> </w:t>
      </w:r>
      <w:r>
        <w:rPr>
          <w:rFonts w:ascii="Times New Roman" w:hAnsi="Times New Roman"/>
          <w:sz w:val="18"/>
          <w:szCs w:val="18"/>
          <w:lang w:val="fr-FR"/>
        </w:rPr>
        <w:tab/>
        <w:t>COM(2017) 477 du 13 septembre 2017.</w:t>
      </w:r>
    </w:p>
  </w:footnote>
  <w:footnote w:id="23">
    <w:p>
      <w:pPr>
        <w:pStyle w:val="Default"/>
        <w:tabs>
          <w:tab w:val="left" w:pos="3828"/>
        </w:tabs>
        <w:ind w:left="284" w:hanging="284"/>
        <w:jc w:val="both"/>
        <w:rPr>
          <w:sz w:val="18"/>
          <w:szCs w:val="18"/>
          <w:lang w:val="fr-FR"/>
        </w:rPr>
      </w:pPr>
      <w:r>
        <w:rPr>
          <w:rStyle w:val="FootnoteReference"/>
          <w:sz w:val="18"/>
          <w:szCs w:val="18"/>
          <w:lang w:val="fr-FR"/>
        </w:rPr>
        <w:footnoteRef/>
      </w:r>
      <w:r>
        <w:rPr>
          <w:sz w:val="18"/>
          <w:szCs w:val="18"/>
          <w:lang w:val="fr-FR"/>
        </w:rPr>
        <w:t xml:space="preserve"> </w:t>
      </w:r>
      <w:r>
        <w:rPr>
          <w:sz w:val="18"/>
          <w:szCs w:val="18"/>
          <w:lang w:val="fr-FR"/>
        </w:rPr>
        <w:tab/>
        <w:t>COM(2017) 489 du 13 septembre 2017.</w:t>
      </w:r>
    </w:p>
  </w:footnote>
  <w:footnote w:id="24">
    <w:p>
      <w:pPr>
        <w:pStyle w:val="Default"/>
        <w:ind w:left="284" w:hanging="284"/>
        <w:jc w:val="both"/>
        <w:rPr>
          <w:color w:val="auto"/>
          <w:sz w:val="18"/>
          <w:szCs w:val="18"/>
          <w:lang w:val="fr-FR"/>
        </w:rPr>
      </w:pPr>
      <w:r>
        <w:rPr>
          <w:rStyle w:val="FootnoteReference"/>
          <w:color w:val="auto"/>
          <w:sz w:val="18"/>
          <w:szCs w:val="18"/>
          <w:lang w:val="fr-FR"/>
        </w:rPr>
        <w:footnoteRef/>
      </w:r>
      <w:r>
        <w:rPr>
          <w:color w:val="auto"/>
          <w:sz w:val="18"/>
          <w:szCs w:val="18"/>
          <w:lang w:val="fr-FR"/>
        </w:rPr>
        <w:t xml:space="preserve"> </w:t>
      </w:r>
      <w:r>
        <w:rPr>
          <w:color w:val="auto"/>
          <w:sz w:val="18"/>
          <w:szCs w:val="18"/>
          <w:lang w:val="fr-FR"/>
        </w:rPr>
        <w:tab/>
        <w:t>Règlement (UE) nº 910/2014 sur l’identification électronique et les services de confiance pour les transactions électroniques au sein du marché intérieur (règlement eIDAS).</w:t>
      </w:r>
    </w:p>
  </w:footnote>
  <w:footnote w:id="25">
    <w:p>
      <w:pPr>
        <w:pStyle w:val="FootnoteText"/>
        <w:ind w:left="284" w:hanging="284"/>
        <w:jc w:val="both"/>
        <w:rPr>
          <w:rFonts w:ascii="Times New Roman" w:hAnsi="Times New Roman" w:cs="Times New Roman"/>
          <w:sz w:val="18"/>
          <w:szCs w:val="18"/>
          <w:lang w:val="fr-FR"/>
        </w:rPr>
      </w:pPr>
      <w:r>
        <w:rPr>
          <w:rStyle w:val="FootnoteReference"/>
          <w:rFonts w:ascii="Times New Roman" w:hAnsi="Times New Roman" w:cs="Times New Roman"/>
          <w:sz w:val="18"/>
          <w:szCs w:val="18"/>
          <w:lang w:val="fr-FR"/>
        </w:rPr>
        <w:footnoteRef/>
      </w:r>
      <w:r>
        <w:rPr>
          <w:rFonts w:ascii="Times New Roman" w:hAnsi="Times New Roman"/>
          <w:sz w:val="18"/>
          <w:szCs w:val="18"/>
          <w:lang w:val="fr-FR"/>
        </w:rPr>
        <w:t xml:space="preserve"> </w:t>
      </w:r>
      <w:r>
        <w:rPr>
          <w:rFonts w:ascii="Times New Roman" w:hAnsi="Times New Roman"/>
          <w:sz w:val="18"/>
          <w:szCs w:val="18"/>
          <w:lang w:val="fr-FR"/>
        </w:rPr>
        <w:tab/>
        <w:t>COM(2016) 590 du 14 septembre 2016.</w:t>
      </w:r>
    </w:p>
  </w:footnote>
  <w:footnote w:id="26">
    <w:p>
      <w:pPr>
        <w:pStyle w:val="Default"/>
        <w:tabs>
          <w:tab w:val="left" w:pos="3828"/>
        </w:tabs>
        <w:ind w:left="284" w:hanging="284"/>
        <w:jc w:val="both"/>
        <w:rPr>
          <w:color w:val="auto"/>
          <w:sz w:val="18"/>
          <w:szCs w:val="18"/>
          <w:lang w:val="fr-FR"/>
        </w:rPr>
      </w:pPr>
      <w:r>
        <w:rPr>
          <w:rStyle w:val="FootnoteReference"/>
          <w:color w:val="auto"/>
          <w:sz w:val="18"/>
          <w:szCs w:val="18"/>
          <w:lang w:val="fr-FR"/>
        </w:rPr>
        <w:footnoteRef/>
      </w:r>
      <w:r>
        <w:rPr>
          <w:color w:val="auto"/>
          <w:sz w:val="18"/>
          <w:szCs w:val="18"/>
          <w:lang w:val="fr-FR"/>
        </w:rPr>
        <w:t xml:space="preserve"> </w:t>
      </w:r>
      <w:r>
        <w:rPr>
          <w:color w:val="auto"/>
          <w:sz w:val="18"/>
          <w:szCs w:val="18"/>
          <w:lang w:val="fr-FR"/>
        </w:rPr>
        <w:tab/>
        <w:t xml:space="preserve">Communication «Connectivité pour un marché unique numérique compétitif – Vers une société européenne du gigabit», COM(2016) 587 du 14 septembre 2016; communication «Un plan d'action pour la 5G en Europe», COM(2016) 588 du 14 septembre 2016; communication «En route vers la mobilité automatisée: une stratégie de l’UE pour la mobilité du futur», COM(2018) 283 du 16 mai 2018; </w:t>
      </w:r>
      <w:r>
        <w:rPr>
          <w:sz w:val="18"/>
          <w:szCs w:val="18"/>
          <w:lang w:val="fr-FR"/>
        </w:rPr>
        <w:t>communication sur la santé et les soins numériques, COM(2018) 233 du 25 avril 2018.</w:t>
      </w:r>
    </w:p>
  </w:footnote>
  <w:footnote w:id="27">
    <w:p>
      <w:pPr>
        <w:pStyle w:val="FootnoteText"/>
        <w:ind w:left="284" w:hanging="284"/>
        <w:jc w:val="both"/>
        <w:rPr>
          <w:rFonts w:ascii="Times New Roman" w:hAnsi="Times New Roman" w:cs="Times New Roman"/>
          <w:sz w:val="18"/>
          <w:szCs w:val="18"/>
          <w:lang w:val="fr-FR"/>
        </w:rPr>
      </w:pPr>
      <w:r>
        <w:rPr>
          <w:rStyle w:val="FootnoteReference"/>
          <w:rFonts w:ascii="Times New Roman" w:hAnsi="Times New Roman" w:cs="Times New Roman"/>
          <w:sz w:val="18"/>
          <w:szCs w:val="18"/>
          <w:lang w:val="fr-FR"/>
        </w:rPr>
        <w:footnoteRef/>
      </w:r>
      <w:r>
        <w:rPr>
          <w:rFonts w:ascii="Times New Roman" w:hAnsi="Times New Roman"/>
          <w:sz w:val="18"/>
          <w:szCs w:val="18"/>
          <w:lang w:val="fr-FR"/>
        </w:rPr>
        <w:t xml:space="preserve"> </w:t>
      </w:r>
      <w:r>
        <w:rPr>
          <w:rFonts w:ascii="Times New Roman" w:hAnsi="Times New Roman"/>
          <w:sz w:val="18"/>
          <w:szCs w:val="18"/>
          <w:lang w:val="fr-FR"/>
        </w:rPr>
        <w:tab/>
        <w:t>COM(2016) 593 et COM(2016) 594 du 14 septembre 2016.</w:t>
      </w:r>
    </w:p>
  </w:footnote>
  <w:footnote w:id="28">
    <w:p>
      <w:pPr>
        <w:pStyle w:val="FootnoteText"/>
        <w:ind w:left="284" w:hanging="284"/>
        <w:jc w:val="both"/>
        <w:rPr>
          <w:rFonts w:ascii="Times New Roman" w:hAnsi="Times New Roman" w:cs="Times New Roman"/>
          <w:sz w:val="18"/>
          <w:szCs w:val="18"/>
          <w:lang w:val="fr-FR"/>
        </w:rPr>
      </w:pPr>
      <w:r>
        <w:rPr>
          <w:rStyle w:val="FootnoteReference"/>
          <w:rFonts w:ascii="Times New Roman" w:hAnsi="Times New Roman" w:cs="Times New Roman"/>
          <w:sz w:val="18"/>
          <w:szCs w:val="18"/>
          <w:lang w:val="fr-FR"/>
        </w:rPr>
        <w:footnoteRef/>
      </w:r>
      <w:r>
        <w:rPr>
          <w:rFonts w:ascii="Times New Roman" w:hAnsi="Times New Roman"/>
          <w:sz w:val="18"/>
          <w:szCs w:val="18"/>
          <w:lang w:val="fr-FR"/>
        </w:rPr>
        <w:t xml:space="preserve"> </w:t>
      </w:r>
      <w:r>
        <w:rPr>
          <w:rFonts w:ascii="Times New Roman" w:hAnsi="Times New Roman"/>
          <w:sz w:val="18"/>
          <w:szCs w:val="18"/>
          <w:lang w:val="fr-FR"/>
        </w:rPr>
        <w:tab/>
        <w:t>Commission européenne, tableau de bord numérique – 2017.</w:t>
      </w:r>
    </w:p>
  </w:footnote>
  <w:footnote w:id="29">
    <w:p>
      <w:pPr>
        <w:pStyle w:val="Default"/>
        <w:ind w:left="284" w:hanging="284"/>
        <w:jc w:val="both"/>
        <w:rPr>
          <w:sz w:val="18"/>
          <w:szCs w:val="18"/>
          <w:lang w:val="fr-FR"/>
        </w:rPr>
      </w:pPr>
      <w:r>
        <w:rPr>
          <w:rStyle w:val="FootnoteReference"/>
          <w:sz w:val="18"/>
          <w:szCs w:val="18"/>
          <w:lang w:val="fr-FR"/>
        </w:rPr>
        <w:footnoteRef/>
      </w:r>
      <w:r>
        <w:rPr>
          <w:sz w:val="18"/>
          <w:szCs w:val="18"/>
          <w:lang w:val="fr-FR"/>
        </w:rPr>
        <w:t xml:space="preserve"> </w:t>
      </w:r>
      <w:r>
        <w:rPr>
          <w:sz w:val="18"/>
          <w:szCs w:val="18"/>
          <w:lang w:val="fr-FR"/>
        </w:rPr>
        <w:tab/>
        <w:t>Communication «Lutte contre la désinformation en ligne: une approche européenne», COM(2018) 236 du 26 avril 2018.</w:t>
      </w:r>
    </w:p>
  </w:footnote>
  <w:footnote w:id="30">
    <w:p>
      <w:pPr>
        <w:pStyle w:val="FootnoteText"/>
        <w:tabs>
          <w:tab w:val="left" w:pos="426"/>
        </w:tabs>
        <w:ind w:left="284" w:hanging="284"/>
        <w:jc w:val="both"/>
        <w:rPr>
          <w:rFonts w:ascii="Times New Roman" w:hAnsi="Times New Roman" w:cs="Times New Roman"/>
          <w:sz w:val="18"/>
          <w:szCs w:val="18"/>
          <w:lang w:val="fr-FR"/>
        </w:rPr>
      </w:pPr>
      <w:r>
        <w:rPr>
          <w:rStyle w:val="FootnoteReference"/>
          <w:rFonts w:ascii="Times New Roman" w:hAnsi="Times New Roman" w:cs="Times New Roman"/>
          <w:sz w:val="18"/>
          <w:szCs w:val="18"/>
          <w:lang w:val="fr-FR"/>
        </w:rPr>
        <w:footnoteRef/>
      </w:r>
      <w:r>
        <w:rPr>
          <w:rFonts w:ascii="Times New Roman" w:hAnsi="Times New Roman"/>
          <w:sz w:val="18"/>
          <w:szCs w:val="18"/>
          <w:lang w:val="fr-FR"/>
        </w:rPr>
        <w:t xml:space="preserve"> </w:t>
      </w:r>
      <w:r>
        <w:rPr>
          <w:rFonts w:ascii="Times New Roman" w:hAnsi="Times New Roman"/>
          <w:sz w:val="18"/>
          <w:szCs w:val="18"/>
          <w:lang w:val="fr-FR"/>
        </w:rPr>
        <w:tab/>
        <w:t>C(2018) 1177 du 1</w:t>
      </w:r>
      <w:r>
        <w:rPr>
          <w:rFonts w:ascii="Times New Roman" w:hAnsi="Times New Roman"/>
          <w:sz w:val="18"/>
          <w:szCs w:val="18"/>
          <w:vertAlign w:val="superscript"/>
          <w:lang w:val="fr-FR"/>
        </w:rPr>
        <w:t>er</w:t>
      </w:r>
      <w:r>
        <w:rPr>
          <w:rFonts w:ascii="Times New Roman" w:hAnsi="Times New Roman"/>
          <w:sz w:val="18"/>
          <w:szCs w:val="18"/>
          <w:lang w:val="fr-FR"/>
        </w:rPr>
        <w:t xml:space="preserve"> mars 2018. </w:t>
      </w:r>
    </w:p>
  </w:footnote>
  <w:footnote w:id="31">
    <w:p>
      <w:pPr>
        <w:pStyle w:val="FootnoteText"/>
        <w:ind w:left="284" w:hanging="284"/>
        <w:jc w:val="both"/>
        <w:rPr>
          <w:rFonts w:ascii="Times New Roman" w:hAnsi="Times New Roman" w:cs="Times New Roman"/>
          <w:sz w:val="18"/>
          <w:szCs w:val="18"/>
          <w:lang w:val="fr-FR"/>
        </w:rPr>
      </w:pPr>
      <w:r>
        <w:rPr>
          <w:rStyle w:val="FootnoteReference"/>
          <w:rFonts w:ascii="Times New Roman" w:hAnsi="Times New Roman" w:cs="Times New Roman"/>
          <w:sz w:val="18"/>
          <w:szCs w:val="18"/>
          <w:lang w:val="fr-FR"/>
        </w:rPr>
        <w:footnoteRef/>
      </w:r>
      <w:r>
        <w:rPr>
          <w:rFonts w:ascii="Times New Roman" w:hAnsi="Times New Roman"/>
          <w:sz w:val="18"/>
          <w:szCs w:val="18"/>
          <w:lang w:val="fr-FR"/>
        </w:rPr>
        <w:t xml:space="preserve"> </w:t>
      </w:r>
      <w:r>
        <w:rPr>
          <w:rFonts w:ascii="Times New Roman" w:hAnsi="Times New Roman"/>
          <w:sz w:val="18"/>
          <w:szCs w:val="18"/>
          <w:lang w:val="fr-FR"/>
        </w:rPr>
        <w:tab/>
        <w:t>Il s’agirait, par exemple, d’empêcher la radiation du classement des entreprises sans préavis ni motivation claire ainsi que les conditions non transparentes d’accès aux données, ou encore d’éviter que les plateformes donnent une meilleure visibilité à leurs propres produits qu’à ceux des autres entreprises utilisant leurs services d’intermédiation en ligne.</w:t>
      </w:r>
    </w:p>
  </w:footnote>
  <w:footnote w:id="32">
    <w:p>
      <w:pPr>
        <w:pStyle w:val="FootnoteText"/>
        <w:ind w:left="284" w:hanging="284"/>
        <w:jc w:val="both"/>
        <w:rPr>
          <w:rStyle w:val="FootnoteReference"/>
          <w:rFonts w:ascii="Times New Roman" w:hAnsi="Times New Roman" w:cs="Times New Roman"/>
          <w:sz w:val="18"/>
          <w:szCs w:val="18"/>
          <w:vertAlign w:val="baseline"/>
          <w:lang w:val="fr-FR"/>
        </w:rPr>
      </w:pPr>
      <w:r>
        <w:rPr>
          <w:rStyle w:val="FootnoteReference"/>
          <w:rFonts w:ascii="Times New Roman" w:hAnsi="Times New Roman" w:cs="Times New Roman"/>
          <w:sz w:val="18"/>
          <w:szCs w:val="18"/>
          <w:lang w:val="fr-FR"/>
        </w:rPr>
        <w:footnoteRef/>
      </w:r>
      <w:r>
        <w:rPr>
          <w:rStyle w:val="FootnoteReference"/>
          <w:rFonts w:ascii="Times New Roman" w:hAnsi="Times New Roman" w:cs="Times New Roman"/>
          <w:sz w:val="18"/>
          <w:szCs w:val="18"/>
          <w:lang w:val="fr-FR"/>
        </w:rPr>
        <w:t xml:space="preserve"> </w:t>
      </w:r>
      <w:r>
        <w:rPr>
          <w:rStyle w:val="FootnoteReference"/>
          <w:rFonts w:ascii="Times New Roman" w:hAnsi="Times New Roman" w:cs="Times New Roman"/>
          <w:sz w:val="18"/>
          <w:szCs w:val="18"/>
          <w:lang w:val="fr-FR"/>
        </w:rPr>
        <w:tab/>
      </w:r>
      <w:r>
        <w:rPr>
          <w:rFonts w:ascii="Times New Roman" w:hAnsi="Times New Roman"/>
          <w:sz w:val="18"/>
          <w:szCs w:val="18"/>
          <w:lang w:val="fr-FR"/>
        </w:rPr>
        <w:t>Règlement du 26 avril 2018 promouvant l’équité et la transparence pour les entreprises utilisatrices des services d’intermédiation en ligne.</w:t>
      </w:r>
    </w:p>
  </w:footnote>
  <w:footnote w:id="33">
    <w:p>
      <w:pPr>
        <w:pStyle w:val="FootnoteText"/>
        <w:ind w:left="284" w:hanging="284"/>
        <w:jc w:val="both"/>
        <w:rPr>
          <w:rFonts w:ascii="Times New Roman" w:hAnsi="Times New Roman" w:cs="Times New Roman"/>
          <w:sz w:val="18"/>
          <w:szCs w:val="18"/>
          <w:lang w:val="fr-FR"/>
        </w:rPr>
      </w:pPr>
      <w:r>
        <w:rPr>
          <w:rStyle w:val="FootnoteReference"/>
          <w:rFonts w:ascii="Times New Roman" w:hAnsi="Times New Roman" w:cs="Times New Roman"/>
          <w:sz w:val="18"/>
          <w:szCs w:val="18"/>
          <w:lang w:val="fr-FR"/>
        </w:rPr>
        <w:footnoteRef/>
      </w:r>
      <w:r>
        <w:rPr>
          <w:rFonts w:ascii="Times New Roman" w:hAnsi="Times New Roman"/>
          <w:sz w:val="18"/>
          <w:szCs w:val="18"/>
          <w:lang w:val="fr-FR"/>
        </w:rPr>
        <w:t xml:space="preserve"> </w:t>
      </w:r>
      <w:r>
        <w:rPr>
          <w:rFonts w:ascii="Times New Roman" w:hAnsi="Times New Roman"/>
          <w:sz w:val="18"/>
          <w:szCs w:val="18"/>
          <w:lang w:val="fr-FR"/>
        </w:rPr>
        <w:tab/>
        <w:t xml:space="preserve">COM(2018) 185 du 11 avril 2018.  </w:t>
      </w:r>
    </w:p>
  </w:footnote>
  <w:footnote w:id="34">
    <w:p>
      <w:pPr>
        <w:pStyle w:val="FootnoteText"/>
        <w:ind w:left="284" w:hanging="284"/>
        <w:jc w:val="both"/>
        <w:rPr>
          <w:rFonts w:ascii="Times New Roman" w:hAnsi="Times New Roman" w:cs="Times New Roman"/>
          <w:sz w:val="18"/>
          <w:szCs w:val="18"/>
          <w:lang w:val="fr-FR"/>
        </w:rPr>
      </w:pPr>
      <w:r>
        <w:rPr>
          <w:rStyle w:val="FootnoteReference"/>
          <w:rFonts w:ascii="Times New Roman" w:hAnsi="Times New Roman" w:cs="Times New Roman"/>
          <w:sz w:val="18"/>
          <w:szCs w:val="18"/>
          <w:lang w:val="fr-FR"/>
        </w:rPr>
        <w:footnoteRef/>
      </w:r>
      <w:r>
        <w:rPr>
          <w:rFonts w:ascii="Times New Roman" w:hAnsi="Times New Roman"/>
          <w:sz w:val="18"/>
          <w:szCs w:val="18"/>
          <w:lang w:val="fr-FR"/>
        </w:rPr>
        <w:t xml:space="preserve"> </w:t>
      </w:r>
      <w:r>
        <w:rPr>
          <w:rFonts w:ascii="Times New Roman" w:hAnsi="Times New Roman"/>
          <w:sz w:val="18"/>
          <w:szCs w:val="18"/>
          <w:lang w:val="fr-FR"/>
        </w:rPr>
        <w:tab/>
        <w:t>COM(2018) 306, «Un agenda européen renouvelé dans le domaine de la recherche et de l’innovation – L’occasion pour l’Europe de façonner son avenir».</w:t>
      </w:r>
    </w:p>
  </w:footnote>
  <w:footnote w:id="35">
    <w:p>
      <w:pPr>
        <w:pStyle w:val="FootnoteText"/>
        <w:ind w:left="284" w:hanging="284"/>
        <w:jc w:val="both"/>
        <w:rPr>
          <w:rFonts w:ascii="Times New Roman" w:hAnsi="Times New Roman"/>
          <w:sz w:val="18"/>
          <w:szCs w:val="18"/>
          <w:lang w:val="fr-FR"/>
        </w:rPr>
      </w:pPr>
      <w:r>
        <w:rPr>
          <w:rStyle w:val="FootnoteReference"/>
          <w:rFonts w:ascii="Times New Roman" w:hAnsi="Times New Roman"/>
          <w:sz w:val="18"/>
          <w:szCs w:val="18"/>
          <w:lang w:val="fr-FR"/>
        </w:rPr>
        <w:footnoteRef/>
      </w:r>
      <w:r>
        <w:rPr>
          <w:rFonts w:ascii="Times New Roman" w:hAnsi="Times New Roman"/>
          <w:sz w:val="18"/>
          <w:szCs w:val="18"/>
          <w:lang w:val="fr-FR"/>
        </w:rPr>
        <w:t xml:space="preserve"> </w:t>
      </w:r>
      <w:r>
        <w:rPr>
          <w:rFonts w:ascii="Times New Roman" w:hAnsi="Times New Roman"/>
          <w:sz w:val="18"/>
          <w:szCs w:val="18"/>
          <w:lang w:val="fr-FR"/>
        </w:rPr>
        <w:tab/>
        <w:t>Communication «Vers un espace européen commun des données», COM(2018) 232 du 25 avril 2018 et dispositif de mesures y afférent.</w:t>
      </w:r>
    </w:p>
  </w:footnote>
  <w:footnote w:id="36">
    <w:p>
      <w:pPr>
        <w:pStyle w:val="FootnoteText"/>
        <w:ind w:left="284" w:hanging="284"/>
        <w:jc w:val="both"/>
        <w:rPr>
          <w:rFonts w:ascii="Times New Roman" w:hAnsi="Times New Roman" w:cs="Times New Roman"/>
          <w:sz w:val="18"/>
          <w:szCs w:val="18"/>
          <w:lang w:val="fr-FR"/>
        </w:rPr>
      </w:pPr>
      <w:r>
        <w:rPr>
          <w:rStyle w:val="FootnoteReference"/>
          <w:rFonts w:ascii="Times New Roman" w:hAnsi="Times New Roman" w:cs="Times New Roman"/>
          <w:sz w:val="18"/>
          <w:szCs w:val="18"/>
          <w:lang w:val="fr-FR"/>
        </w:rPr>
        <w:footnoteRef/>
      </w:r>
      <w:r>
        <w:rPr>
          <w:rFonts w:ascii="Times New Roman" w:hAnsi="Times New Roman"/>
          <w:sz w:val="18"/>
          <w:szCs w:val="18"/>
          <w:lang w:val="fr-FR"/>
        </w:rPr>
        <w:t xml:space="preserve"> </w:t>
      </w:r>
      <w:r>
        <w:rPr>
          <w:rFonts w:ascii="Times New Roman" w:hAnsi="Times New Roman"/>
          <w:sz w:val="18"/>
          <w:szCs w:val="18"/>
          <w:lang w:val="fr-FR"/>
        </w:rPr>
        <w:tab/>
      </w:r>
      <w:r>
        <w:rPr>
          <w:rFonts w:ascii="Times New Roman" w:hAnsi="Times New Roman"/>
          <w:sz w:val="18"/>
          <w:lang w:val="fr-FR"/>
        </w:rPr>
        <w:t>En tout, 14 États membres ont signé la déclaration de coopération intitulée «Towards access to at least 1 million sequenced genomes in the European Union by 2022» (vers l’accès à 1 million au moins de génomes séquencés dans l’Union européenne d’ici à 2022):</w:t>
      </w:r>
      <w:r>
        <w:rPr>
          <w:rFonts w:ascii="Times New Roman" w:hAnsi="Times New Roman"/>
          <w:color w:val="000000"/>
          <w:sz w:val="18"/>
          <w:szCs w:val="18"/>
          <w:lang w:val="fr-FR"/>
        </w:rPr>
        <w:t xml:space="preserve"> </w:t>
      </w:r>
      <w:hyperlink r:id="rId1" w:history="1">
        <w:r>
          <w:rPr>
            <w:rStyle w:val="Hyperlink"/>
            <w:rFonts w:ascii="Times New Roman" w:hAnsi="Times New Roman"/>
            <w:sz w:val="18"/>
            <w:szCs w:val="18"/>
            <w:lang w:val="fr-FR"/>
          </w:rPr>
          <w:t>https://ec.europa.eu/digital-single-market/en/news/eu-countries-will-cooperate-linking-genomic-databases-across-borders</w:t>
        </w:r>
      </w:hyperlink>
      <w:r>
        <w:rPr>
          <w:rFonts w:ascii="Times New Roman" w:hAnsi="Times New Roman"/>
          <w:color w:val="000000"/>
          <w:sz w:val="18"/>
          <w:szCs w:val="18"/>
          <w:lang w:val="fr-FR"/>
        </w:rPr>
        <w:t>.</w:t>
      </w:r>
    </w:p>
  </w:footnote>
  <w:footnote w:id="37">
    <w:p>
      <w:pPr>
        <w:pStyle w:val="FootnoteText"/>
        <w:ind w:left="284" w:hanging="284"/>
        <w:jc w:val="both"/>
        <w:rPr>
          <w:rFonts w:ascii="Times New Roman" w:hAnsi="Times New Roman" w:cs="Times New Roman"/>
          <w:sz w:val="18"/>
          <w:szCs w:val="18"/>
          <w:lang w:val="fr-FR"/>
        </w:rPr>
      </w:pPr>
      <w:r>
        <w:rPr>
          <w:rStyle w:val="FootnoteReference"/>
          <w:rFonts w:ascii="Times New Roman" w:hAnsi="Times New Roman" w:cs="Times New Roman"/>
          <w:sz w:val="18"/>
          <w:szCs w:val="18"/>
          <w:lang w:val="fr-FR"/>
        </w:rPr>
        <w:footnoteRef/>
      </w:r>
      <w:r>
        <w:rPr>
          <w:rFonts w:ascii="Times New Roman" w:hAnsi="Times New Roman"/>
          <w:sz w:val="18"/>
          <w:szCs w:val="18"/>
          <w:lang w:val="fr-FR"/>
        </w:rPr>
        <w:t>Communication «Permettre la transformation numérique des services de santé et de soins dans le marché unique numérique; donner aux citoyens les moyens d'agir et construire une société plus saine», COM(2018) 233 du 25 avril 2018.</w:t>
      </w:r>
    </w:p>
  </w:footnote>
  <w:footnote w:id="38">
    <w:p>
      <w:pPr>
        <w:pStyle w:val="FootnoteText"/>
        <w:ind w:left="284" w:hanging="284"/>
        <w:jc w:val="both"/>
        <w:rPr>
          <w:rFonts w:ascii="Times New Roman" w:hAnsi="Times New Roman" w:cs="Times New Roman"/>
          <w:sz w:val="18"/>
          <w:szCs w:val="18"/>
          <w:lang w:val="fr-FR"/>
        </w:rPr>
      </w:pPr>
      <w:r>
        <w:rPr>
          <w:rStyle w:val="FootnoteReference"/>
          <w:rFonts w:ascii="Times New Roman" w:hAnsi="Times New Roman" w:cs="Times New Roman"/>
          <w:sz w:val="18"/>
          <w:szCs w:val="18"/>
          <w:lang w:val="fr-FR"/>
        </w:rPr>
        <w:footnoteRef/>
      </w:r>
      <w:r>
        <w:rPr>
          <w:rFonts w:ascii="Times New Roman" w:hAnsi="Times New Roman"/>
          <w:sz w:val="18"/>
          <w:szCs w:val="18"/>
          <w:lang w:val="fr-FR"/>
        </w:rPr>
        <w:t xml:space="preserve"> </w:t>
      </w:r>
      <w:r>
        <w:rPr>
          <w:rFonts w:ascii="Times New Roman" w:hAnsi="Times New Roman"/>
          <w:sz w:val="18"/>
          <w:szCs w:val="18"/>
          <w:lang w:val="fr-FR"/>
        </w:rPr>
        <w:tab/>
        <w:t>Par exemple, les personnes physiques ont le droit, en vertu du règlement général sur la protection des données, de ne pas être soumises à une décision prise sur le seul fondement d’un traitement automatisé et qui produit des effets juridiques les concernant ou qui, de façon similaire, les affecte de manière significative. Certaines exceptions s’appliquent néanmoins.</w:t>
      </w:r>
    </w:p>
  </w:footnote>
  <w:footnote w:id="39">
    <w:p>
      <w:pPr>
        <w:pStyle w:val="FootnoteText"/>
        <w:ind w:left="284" w:hanging="284"/>
        <w:jc w:val="both"/>
        <w:rPr>
          <w:rFonts w:ascii="Times New Roman" w:hAnsi="Times New Roman" w:cs="Times New Roman"/>
          <w:sz w:val="18"/>
          <w:szCs w:val="18"/>
          <w:lang w:val="fr-FR"/>
        </w:rPr>
      </w:pPr>
      <w:r>
        <w:rPr>
          <w:rStyle w:val="FootnoteReference"/>
          <w:rFonts w:ascii="Times New Roman" w:hAnsi="Times New Roman" w:cs="Times New Roman"/>
          <w:sz w:val="18"/>
          <w:szCs w:val="18"/>
          <w:lang w:val="fr-FR"/>
        </w:rPr>
        <w:footnoteRef/>
      </w:r>
      <w:r>
        <w:rPr>
          <w:rFonts w:ascii="Times New Roman" w:hAnsi="Times New Roman"/>
          <w:sz w:val="18"/>
          <w:szCs w:val="18"/>
          <w:lang w:val="fr-FR"/>
        </w:rPr>
        <w:t xml:space="preserve"> </w:t>
      </w:r>
      <w:r>
        <w:rPr>
          <w:rFonts w:ascii="Times New Roman" w:hAnsi="Times New Roman"/>
          <w:sz w:val="18"/>
          <w:szCs w:val="18"/>
          <w:lang w:val="fr-FR"/>
        </w:rPr>
        <w:tab/>
        <w:t>Les mesures prises à cet égard sont décrites dans la communication sur l’intelligence artificielle pour l’Europe, COM(2018) 237 du 26 avril 2018.</w:t>
      </w:r>
    </w:p>
  </w:footnote>
  <w:footnote w:id="40">
    <w:p>
      <w:pPr>
        <w:pStyle w:val="Default"/>
        <w:ind w:left="284" w:hanging="284"/>
        <w:jc w:val="both"/>
        <w:rPr>
          <w:sz w:val="18"/>
          <w:szCs w:val="18"/>
          <w:lang w:val="fr-FR"/>
        </w:rPr>
      </w:pPr>
      <w:r>
        <w:rPr>
          <w:rStyle w:val="FootnoteReference"/>
          <w:sz w:val="18"/>
          <w:szCs w:val="18"/>
          <w:lang w:val="fr-FR"/>
        </w:rPr>
        <w:footnoteRef/>
      </w:r>
      <w:r>
        <w:rPr>
          <w:sz w:val="18"/>
          <w:szCs w:val="18"/>
          <w:lang w:val="fr-FR"/>
        </w:rPr>
        <w:t xml:space="preserve"> </w:t>
      </w:r>
      <w:r>
        <w:rPr>
          <w:sz w:val="18"/>
          <w:szCs w:val="18"/>
          <w:lang w:val="fr-FR"/>
        </w:rPr>
        <w:tab/>
        <w:t>Communication, «L'intelligence artificielle pour l'Europe», COM(2018) 237 du 26 avril 2018.</w:t>
      </w:r>
    </w:p>
  </w:footnote>
  <w:footnote w:id="41">
    <w:p>
      <w:pPr>
        <w:pStyle w:val="Pa0"/>
        <w:spacing w:line="240" w:lineRule="auto"/>
        <w:ind w:left="284" w:hanging="284"/>
        <w:jc w:val="both"/>
        <w:rPr>
          <w:rFonts w:ascii="Times New Roman" w:hAnsi="Times New Roman" w:cs="Times New Roman"/>
          <w:sz w:val="18"/>
          <w:szCs w:val="18"/>
          <w:lang w:val="fr-FR"/>
        </w:rPr>
      </w:pPr>
      <w:r>
        <w:rPr>
          <w:rStyle w:val="FootnoteReference"/>
          <w:rFonts w:ascii="Times New Roman" w:hAnsi="Times New Roman" w:cs="Times New Roman"/>
          <w:sz w:val="18"/>
          <w:szCs w:val="18"/>
          <w:lang w:val="fr-FR"/>
        </w:rPr>
        <w:footnoteRef/>
      </w:r>
      <w:r>
        <w:rPr>
          <w:rFonts w:ascii="Times New Roman" w:hAnsi="Times New Roman"/>
          <w:sz w:val="18"/>
          <w:szCs w:val="18"/>
          <w:lang w:val="fr-FR"/>
        </w:rPr>
        <w:t xml:space="preserve"> </w:t>
      </w:r>
      <w:r>
        <w:rPr>
          <w:rFonts w:ascii="Times New Roman" w:hAnsi="Times New Roman"/>
          <w:sz w:val="18"/>
          <w:szCs w:val="18"/>
          <w:lang w:val="fr-FR"/>
        </w:rPr>
        <w:tab/>
        <w:t>Soit 14 % du produit intérieur brut mondial. Rapport de Price Waterhouse Cooper, «Sizing the prize:</w:t>
      </w:r>
      <w:r>
        <w:rPr>
          <w:rFonts w:ascii="Times New Roman" w:hAnsi="Times New Roman"/>
          <w:bCs/>
          <w:iCs/>
          <w:color w:val="000000"/>
          <w:sz w:val="18"/>
          <w:szCs w:val="18"/>
          <w:lang w:val="fr-FR"/>
        </w:rPr>
        <w:t xml:space="preserve"> </w:t>
      </w:r>
      <w:r>
        <w:rPr>
          <w:rFonts w:ascii="Times New Roman" w:hAnsi="Times New Roman"/>
          <w:color w:val="000000"/>
          <w:sz w:val="18"/>
          <w:szCs w:val="18"/>
          <w:lang w:val="fr-FR"/>
        </w:rPr>
        <w:t>What’s the real value of AI» (2017).</w:t>
      </w:r>
    </w:p>
  </w:footnote>
  <w:footnote w:id="42">
    <w:p>
      <w:pPr>
        <w:pStyle w:val="FootnoteText"/>
        <w:ind w:left="284" w:hanging="284"/>
        <w:jc w:val="both"/>
        <w:rPr>
          <w:rFonts w:ascii="Times New Roman" w:hAnsi="Times New Roman" w:cs="Times New Roman"/>
          <w:sz w:val="18"/>
          <w:szCs w:val="18"/>
          <w:lang w:val="fr-FR"/>
        </w:rPr>
      </w:pPr>
      <w:r>
        <w:rPr>
          <w:rStyle w:val="FootnoteReference"/>
          <w:rFonts w:ascii="Times New Roman" w:hAnsi="Times New Roman" w:cs="Times New Roman"/>
          <w:sz w:val="18"/>
          <w:szCs w:val="18"/>
          <w:lang w:val="fr-FR"/>
        </w:rPr>
        <w:footnoteRef/>
      </w:r>
      <w:r>
        <w:rPr>
          <w:rFonts w:ascii="Times New Roman" w:hAnsi="Times New Roman"/>
          <w:sz w:val="18"/>
          <w:szCs w:val="18"/>
          <w:lang w:val="fr-FR"/>
        </w:rPr>
        <w:t xml:space="preserve"> </w:t>
      </w:r>
      <w:r>
        <w:rPr>
          <w:rFonts w:ascii="Times New Roman" w:hAnsi="Times New Roman"/>
          <w:sz w:val="18"/>
          <w:szCs w:val="18"/>
          <w:lang w:val="fr-FR"/>
        </w:rPr>
        <w:tab/>
        <w:t>COM(2018) 8 du 11 janvier 2018.</w:t>
      </w:r>
    </w:p>
  </w:footnote>
  <w:footnote w:id="43">
    <w:p>
      <w:pPr>
        <w:pStyle w:val="FootnoteText"/>
        <w:ind w:left="284" w:hanging="284"/>
        <w:jc w:val="both"/>
        <w:rPr>
          <w:rFonts w:ascii="Times New Roman" w:hAnsi="Times New Roman" w:cs="Times New Roman"/>
          <w:sz w:val="18"/>
          <w:szCs w:val="18"/>
          <w:lang w:val="fr-FR"/>
        </w:rPr>
      </w:pPr>
      <w:r>
        <w:rPr>
          <w:rStyle w:val="FootnoteReference"/>
          <w:rFonts w:ascii="Times New Roman" w:hAnsi="Times New Roman" w:cs="Times New Roman"/>
          <w:sz w:val="18"/>
          <w:szCs w:val="18"/>
          <w:lang w:val="fr-FR"/>
        </w:rPr>
        <w:footnoteRef/>
      </w:r>
      <w:r>
        <w:rPr>
          <w:rFonts w:ascii="Times New Roman" w:hAnsi="Times New Roman"/>
          <w:sz w:val="18"/>
          <w:szCs w:val="18"/>
          <w:lang w:val="fr-FR"/>
        </w:rPr>
        <w:t xml:space="preserve"> </w:t>
      </w:r>
      <w:r>
        <w:rPr>
          <w:rFonts w:ascii="Times New Roman" w:hAnsi="Times New Roman"/>
          <w:sz w:val="18"/>
          <w:szCs w:val="18"/>
          <w:lang w:val="fr-FR"/>
        </w:rPr>
        <w:tab/>
        <w:t>Dans ce contexte, la Commission a récemment présenté une initiative sur les brevets essentiels à des normes, établissant un cadre plus clair pour encourager le développement de technologies stratégiques. COM(2017) 712 du 29 novembre 2017.</w:t>
      </w:r>
    </w:p>
  </w:footnote>
  <w:footnote w:id="44">
    <w:p>
      <w:pPr>
        <w:pStyle w:val="FootnoteText"/>
        <w:ind w:left="284" w:hanging="284"/>
        <w:jc w:val="both"/>
        <w:rPr>
          <w:rFonts w:ascii="Times New Roman" w:hAnsi="Times New Roman" w:cs="Times New Roman"/>
          <w:sz w:val="18"/>
          <w:szCs w:val="18"/>
          <w:lang w:val="fr-FR"/>
        </w:rPr>
      </w:pPr>
      <w:r>
        <w:rPr>
          <w:rStyle w:val="FootnoteReference"/>
          <w:rFonts w:ascii="Times New Roman" w:hAnsi="Times New Roman" w:cs="Times New Roman"/>
          <w:sz w:val="18"/>
          <w:szCs w:val="18"/>
          <w:lang w:val="fr-FR"/>
        </w:rPr>
        <w:footnoteRef/>
      </w:r>
      <w:r>
        <w:rPr>
          <w:rFonts w:ascii="Times New Roman" w:hAnsi="Times New Roman"/>
          <w:sz w:val="18"/>
          <w:szCs w:val="18"/>
          <w:lang w:val="fr-FR"/>
        </w:rPr>
        <w:t xml:space="preserve"> </w:t>
      </w:r>
      <w:r>
        <w:rPr>
          <w:rFonts w:ascii="Times New Roman" w:hAnsi="Times New Roman"/>
          <w:sz w:val="18"/>
          <w:szCs w:val="18"/>
          <w:lang w:val="fr-FR"/>
        </w:rPr>
        <w:tab/>
        <w:t>COM(2018) 306, «Un agenda européen renouvelé dans le domaine de la recherche et de l’innovation – L’occasion pour l’Europe de façonner son avenir».</w:t>
      </w:r>
    </w:p>
  </w:footnote>
  <w:footnote w:id="45">
    <w:p>
      <w:pPr>
        <w:pStyle w:val="FootnoteText"/>
        <w:ind w:left="284" w:hanging="284"/>
        <w:rPr>
          <w:lang w:val="fr-FR"/>
        </w:rPr>
      </w:pPr>
      <w:r>
        <w:rPr>
          <w:rStyle w:val="FootnoteReference"/>
          <w:lang w:val="fr-FR"/>
        </w:rPr>
        <w:footnoteRef/>
      </w:r>
      <w:r>
        <w:rPr>
          <w:lang w:val="fr-FR"/>
        </w:rPr>
        <w:t xml:space="preserve"> </w:t>
      </w:r>
      <w:r>
        <w:rPr>
          <w:lang w:val="fr-FR"/>
        </w:rPr>
        <w:tab/>
      </w:r>
      <w:r>
        <w:rPr>
          <w:rFonts w:ascii="Times New Roman" w:hAnsi="Times New Roman"/>
          <w:sz w:val="18"/>
          <w:szCs w:val="24"/>
          <w:lang w:val="fr-FR"/>
        </w:rPr>
        <w:t>Communication sur une nouvelle stratégie en matière de compétences pour l’Europe, COM(2016) 381 du 10 juin 2016.</w:t>
      </w:r>
    </w:p>
  </w:footnote>
  <w:footnote w:id="46">
    <w:p>
      <w:pPr>
        <w:pStyle w:val="FootnoteText"/>
        <w:ind w:left="284" w:hanging="284"/>
        <w:rPr>
          <w:lang w:val="fr-FR"/>
        </w:rPr>
      </w:pPr>
      <w:r>
        <w:rPr>
          <w:rStyle w:val="FootnoteReference"/>
          <w:lang w:val="fr-FR"/>
        </w:rPr>
        <w:footnoteRef/>
      </w:r>
      <w:r>
        <w:rPr>
          <w:lang w:val="fr-FR"/>
        </w:rPr>
        <w:t xml:space="preserve"> </w:t>
      </w:r>
      <w:r>
        <w:rPr>
          <w:lang w:val="fr-FR"/>
        </w:rPr>
        <w:tab/>
      </w:r>
      <w:r>
        <w:rPr>
          <w:rFonts w:ascii="Times New Roman" w:hAnsi="Times New Roman"/>
          <w:sz w:val="18"/>
          <w:szCs w:val="18"/>
          <w:lang w:val="fr-FR"/>
        </w:rPr>
        <w:t>Cedefop Skills Panorama (2016), Information and Communications Technology (ICT) professionals: skills opportunities and challenges.</w:t>
      </w:r>
    </w:p>
  </w:footnote>
  <w:footnote w:id="47">
    <w:p>
      <w:pPr>
        <w:pStyle w:val="FootnoteText"/>
        <w:ind w:left="284" w:hanging="284"/>
        <w:jc w:val="both"/>
        <w:rPr>
          <w:rFonts w:ascii="Times New Roman" w:hAnsi="Times New Roman" w:cs="Times New Roman"/>
          <w:sz w:val="18"/>
          <w:szCs w:val="18"/>
          <w:lang w:val="fr-FR"/>
        </w:rPr>
      </w:pPr>
      <w:r>
        <w:rPr>
          <w:rStyle w:val="FootnoteReference"/>
          <w:rFonts w:ascii="Times New Roman" w:hAnsi="Times New Roman" w:cs="Times New Roman"/>
          <w:sz w:val="18"/>
          <w:szCs w:val="18"/>
          <w:lang w:val="fr-FR"/>
        </w:rPr>
        <w:footnoteRef/>
      </w:r>
      <w:r>
        <w:rPr>
          <w:rFonts w:ascii="Times New Roman" w:hAnsi="Times New Roman"/>
          <w:sz w:val="18"/>
          <w:szCs w:val="18"/>
          <w:lang w:val="fr-FR"/>
        </w:rPr>
        <w:t xml:space="preserve"> </w:t>
      </w:r>
      <w:r>
        <w:rPr>
          <w:rFonts w:ascii="Times New Roman" w:hAnsi="Times New Roman"/>
          <w:sz w:val="18"/>
          <w:szCs w:val="18"/>
          <w:lang w:val="fr-FR"/>
        </w:rPr>
        <w:tab/>
        <w:t>COM(2018) 321 du 2 mai 2018, «Un budget moderne pour une Union qui protège, qui donne les moyens d’agir et qui défend — Cadre financier pluriannuel 2021-2027».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29D"/>
    <w:multiLevelType w:val="hybridMultilevel"/>
    <w:tmpl w:val="F2A09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CB5556"/>
    <w:multiLevelType w:val="hybridMultilevel"/>
    <w:tmpl w:val="15721C8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7C11E06"/>
    <w:multiLevelType w:val="hybridMultilevel"/>
    <w:tmpl w:val="269A357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6A902F7"/>
    <w:multiLevelType w:val="hybridMultilevel"/>
    <w:tmpl w:val="18CA56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1E6C4A1E"/>
    <w:multiLevelType w:val="hybridMultilevel"/>
    <w:tmpl w:val="4350E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68183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8353279"/>
    <w:multiLevelType w:val="hybridMultilevel"/>
    <w:tmpl w:val="2F367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85614E3"/>
    <w:multiLevelType w:val="hybridMultilevel"/>
    <w:tmpl w:val="F32A3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64E7BB7"/>
    <w:multiLevelType w:val="multilevel"/>
    <w:tmpl w:val="08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9">
    <w:nsid w:val="38B66512"/>
    <w:multiLevelType w:val="hybridMultilevel"/>
    <w:tmpl w:val="3AF08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7730C4"/>
    <w:multiLevelType w:val="singleLevel"/>
    <w:tmpl w:val="456C96DE"/>
    <w:lvl w:ilvl="0">
      <w:start w:val="1"/>
      <w:numFmt w:val="bullet"/>
      <w:pStyle w:val="ListBullet1"/>
      <w:lvlText w:val=""/>
      <w:lvlJc w:val="left"/>
      <w:pPr>
        <w:tabs>
          <w:tab w:val="num" w:pos="765"/>
        </w:tabs>
        <w:ind w:left="765" w:hanging="283"/>
      </w:pPr>
      <w:rPr>
        <w:rFonts w:ascii="Symbol" w:hAnsi="Symbol" w:cs="Symbol"/>
      </w:rPr>
    </w:lvl>
  </w:abstractNum>
  <w:abstractNum w:abstractNumId="11">
    <w:nsid w:val="3D966040"/>
    <w:multiLevelType w:val="hybridMultilevel"/>
    <w:tmpl w:val="9B48B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45D7790"/>
    <w:multiLevelType w:val="hybridMultilevel"/>
    <w:tmpl w:val="2E34C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94D5DA4"/>
    <w:multiLevelType w:val="hybridMultilevel"/>
    <w:tmpl w:val="5E740E3A"/>
    <w:lvl w:ilvl="0" w:tplc="7706A79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772D59"/>
    <w:multiLevelType w:val="hybridMultilevel"/>
    <w:tmpl w:val="CAE0ABA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4EC392D"/>
    <w:multiLevelType w:val="hybridMultilevel"/>
    <w:tmpl w:val="6B4E1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D3200D"/>
    <w:multiLevelType w:val="hybridMultilevel"/>
    <w:tmpl w:val="01E6524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7237E91"/>
    <w:multiLevelType w:val="hybridMultilevel"/>
    <w:tmpl w:val="ACD60A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BF01C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0C16851"/>
    <w:multiLevelType w:val="hybridMultilevel"/>
    <w:tmpl w:val="1A884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33349FF"/>
    <w:multiLevelType w:val="hybridMultilevel"/>
    <w:tmpl w:val="1E0CF21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33926E5"/>
    <w:multiLevelType w:val="hybridMultilevel"/>
    <w:tmpl w:val="B5A4D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6F11BC"/>
    <w:multiLevelType w:val="multilevel"/>
    <w:tmpl w:val="111A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66A2469"/>
    <w:multiLevelType w:val="hybridMultilevel"/>
    <w:tmpl w:val="1706949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9B30D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C1871CC"/>
    <w:multiLevelType w:val="hybridMultilevel"/>
    <w:tmpl w:val="21483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EE130A"/>
    <w:multiLevelType w:val="hybridMultilevel"/>
    <w:tmpl w:val="42DC8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1"/>
  </w:num>
  <w:num w:numId="4">
    <w:abstractNumId w:val="18"/>
  </w:num>
  <w:num w:numId="5">
    <w:abstractNumId w:val="4"/>
  </w:num>
  <w:num w:numId="6">
    <w:abstractNumId w:val="25"/>
  </w:num>
  <w:num w:numId="7">
    <w:abstractNumId w:val="13"/>
  </w:num>
  <w:num w:numId="8">
    <w:abstractNumId w:val="24"/>
  </w:num>
  <w:num w:numId="9">
    <w:abstractNumId w:val="8"/>
  </w:num>
  <w:num w:numId="10">
    <w:abstractNumId w:val="5"/>
  </w:num>
  <w:num w:numId="11">
    <w:abstractNumId w:val="26"/>
  </w:num>
  <w:num w:numId="12">
    <w:abstractNumId w:val="9"/>
  </w:num>
  <w:num w:numId="13">
    <w:abstractNumId w:val="17"/>
  </w:num>
  <w:num w:numId="14">
    <w:abstractNumId w:val="7"/>
  </w:num>
  <w:num w:numId="15">
    <w:abstractNumId w:val="15"/>
  </w:num>
  <w:num w:numId="16">
    <w:abstractNumId w:val="11"/>
  </w:num>
  <w:num w:numId="17">
    <w:abstractNumId w:val="12"/>
  </w:num>
  <w:num w:numId="18">
    <w:abstractNumId w:val="19"/>
  </w:num>
  <w:num w:numId="19">
    <w:abstractNumId w:val="22"/>
  </w:num>
  <w:num w:numId="20">
    <w:abstractNumId w:val="14"/>
  </w:num>
  <w:num w:numId="21">
    <w:abstractNumId w:val="6"/>
  </w:num>
  <w:num w:numId="22">
    <w:abstractNumId w:val="16"/>
  </w:num>
  <w:num w:numId="23">
    <w:abstractNumId w:val="23"/>
  </w:num>
  <w:num w:numId="24">
    <w:abstractNumId w:val="2"/>
  </w:num>
  <w:num w:numId="25">
    <w:abstractNumId w:val="20"/>
  </w:num>
  <w:num w:numId="26">
    <w:abstractNumId w:val="1"/>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rgen gren">
    <w15:presenceInfo w15:providerId="Windows Live" w15:userId="84f0a6b26ed707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hideSpellingErrors/>
  <w:hideGrammaticalErrors/>
  <w:revisionView w:markup="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229AA58-0F76-4C02-AB29-10CE04D680E4"/>
    <w:docVar w:name="LW_COVERPAGE_TYPE" w:val="1"/>
    <w:docVar w:name="LW_CROSSREFERENCE" w:val="&lt;UNUSED&gt;"/>
    <w:docVar w:name="LW_DocType" w:val="NORMAL"/>
    <w:docVar w:name="LW_EMISSION" w:val="15.5.2018"/>
    <w:docVar w:name="LW_EMISSION_ISODATE" w:val="2018-05-15"/>
    <w:docVar w:name="LW_EMISSION_LOCATION" w:val="BRX"/>
    <w:docVar w:name="LW_EMISSION_PREFIX" w:val="Bruxelles, le "/>
    <w:docVar w:name="LW_EMISSION_SUFFIX" w:val="&lt;EMPTY&gt;"/>
    <w:docVar w:name="LW_ID_DOCTYPE_NONLW" w:val="CP-009"/>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18) 32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Achever un marché unique numérique inspirant confiance pour tous_x000b__x000b_Contribution de la Commission européenne à la réunion informelle des dirigeants de l'Union européenne sur la protection des données et le marché unique numérique à Sofia le 16 mai 2018"/>
    <w:docVar w:name="LW_TYPE.DOC.CP" w:val="COMMUNICATION DE LA COMMISSION"/>
    <w:docVar w:name="LW_TYPE.DOC.CP.USERTEXT" w:val="AU PARLEMENT EUROPÉEN, AU CONSEIL EUROPÉEN, AU CONSEIL, AU COMITÉ ÉCONOMIQUE ET SOCIAL EUROPÉEN ET AU COMITÉ DES RÉGIONS"/>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Char,Footnote tex,ft"/>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qFormat/>
    <w:rPr>
      <w:sz w:val="20"/>
      <w:szCs w:val="20"/>
    </w:rPr>
  </w:style>
  <w:style w:type="paragraph" w:styleId="ListParagraph">
    <w:name w:val="List Paragraph"/>
    <w:aliases w:val="Fiche List Paragraph,Task Body,Viñetas (Inicio Parrafo),3 Txt tabla,Zerrenda-paragrafoa,Lista multicolor - Énfasis 11,Paragrafo elenco"/>
    <w:basedOn w:val="Normal"/>
    <w:link w:val="ListParagraphChar"/>
    <w:uiPriority w:val="34"/>
    <w:qFormat/>
    <w:pPr>
      <w:ind w:left="720"/>
      <w:contextualSpacing/>
    </w:pPr>
  </w:style>
  <w:style w:type="character" w:styleId="FootnoteReference">
    <w:name w:val="footnote reference"/>
    <w:aliases w:val="Footnote Reference Superscript,BVI fnr,Footnote symbol,Footnote reference number,Times 10 Point,Exposant 3 Point,EN Footnote Reference,note TESI,SUPERS,Nota,Footnote number,Char1,Ref,de nota al pie,E..,Footnote,fr, BVI fnr,number,styl"/>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vertAlign w:val="superscript"/>
    </w:rPr>
  </w:style>
  <w:style w:type="character" w:customStyle="1" w:styleId="white-space">
    <w:name w:val="white-space"/>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xmsonormal">
    <w:name w:val="x_msonormal"/>
    <w:basedOn w:val="Normal"/>
    <w:pPr>
      <w:spacing w:before="100" w:beforeAutospacing="1" w:after="100" w:afterAutospacing="1" w:line="240" w:lineRule="auto"/>
    </w:pPr>
    <w:rPr>
      <w:rFonts w:ascii="Times" w:eastAsiaTheme="minorEastAsia" w:hAnsi="Times"/>
      <w:sz w:val="20"/>
      <w:szCs w:val="20"/>
      <w:lang w:val="fr-FR"/>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Pr>
      <w:color w:val="0000FF" w:themeColor="hyperlink"/>
      <w:u w:val="single"/>
    </w:rPr>
  </w:style>
  <w:style w:type="character" w:customStyle="1" w:styleId="iceouttxt38">
    <w:name w:val="iceouttxt38"/>
    <w:basedOn w:val="DefaultParagraphFont"/>
    <w:rPr>
      <w:sz w:val="24"/>
      <w:szCs w:val="24"/>
      <w:bdr w:val="none" w:sz="0" w:space="0" w:color="auto" w:frame="1"/>
      <w:vertAlign w:val="baseline"/>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Pa14">
    <w:name w:val="Pa14"/>
    <w:basedOn w:val="Default"/>
    <w:next w:val="Default"/>
    <w:uiPriority w:val="99"/>
    <w:pPr>
      <w:spacing w:line="241" w:lineRule="atLeast"/>
    </w:pPr>
    <w:rPr>
      <w:rFonts w:ascii="EC Square Sans Pro" w:hAnsi="EC Square Sans Pro" w:cstheme="minorBidi"/>
      <w:color w:val="auto"/>
    </w:rPr>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pPr>
      <w:autoSpaceDE w:val="0"/>
      <w:autoSpaceDN w:val="0"/>
      <w:adjustRightInd w:val="0"/>
      <w:spacing w:after="0" w:line="661" w:lineRule="atLeast"/>
    </w:pPr>
    <w:rPr>
      <w:rFonts w:ascii="Charter ITC Std" w:hAnsi="Charter ITC Std"/>
      <w:sz w:val="24"/>
      <w:szCs w:val="24"/>
    </w:rPr>
  </w:style>
  <w:style w:type="character" w:customStyle="1" w:styleId="Nessuno">
    <w:name w:val="Nessuno"/>
    <w:rPr>
      <w:lang w:val="en-US"/>
    </w:rPr>
  </w:style>
  <w:style w:type="paragraph" w:styleId="NormalWeb">
    <w:name w:val="Normal (Web)"/>
    <w:basedOn w:val="Normal"/>
    <w:uiPriority w:val="99"/>
    <w:semiHidden/>
    <w:unhideWhenUsed/>
    <w:pPr>
      <w:spacing w:after="192"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Fiche List Paragraph Char,Task Body Char,Viñetas (Inicio Parrafo) Char,3 Txt tabla Char,Zerrenda-paragrafoa Char,Lista multicolor - Énfasis 11 Char,Paragrafo elenco Char"/>
    <w:link w:val="ListParagraph"/>
    <w:uiPriority w:val="34"/>
    <w:locked/>
  </w:style>
  <w:style w:type="paragraph" w:customStyle="1" w:styleId="CM4">
    <w:name w:val="CM4"/>
    <w:basedOn w:val="Default"/>
    <w:next w:val="Default"/>
    <w:uiPriority w:val="99"/>
    <w:rPr>
      <w:rFonts w:ascii="EUAlbertina" w:hAnsi="EUAlbertina" w:cstheme="minorBidi"/>
      <w:color w:val="auto"/>
    </w:rPr>
  </w:style>
  <w:style w:type="paragraph" w:customStyle="1" w:styleId="Sous-titreobjetPagedecouverture">
    <w:name w:val="Sous-titre objet (Page de couverture)"/>
    <w:basedOn w:val="Normal"/>
    <w:pPr>
      <w:spacing w:after="0" w:line="240" w:lineRule="auto"/>
      <w:jc w:val="center"/>
    </w:pPr>
    <w:rPr>
      <w:rFonts w:ascii="Times New Roman" w:hAnsi="Times New Roman" w:cs="Times New Roman"/>
      <w:b/>
      <w:sz w:val="24"/>
    </w:rPr>
  </w:style>
  <w:style w:type="paragraph" w:customStyle="1" w:styleId="Annexetitre">
    <w:name w:val="Annexe titre"/>
    <w:basedOn w:val="Normal"/>
    <w:next w:val="Normal"/>
    <w:pPr>
      <w:spacing w:before="120" w:after="120" w:line="240" w:lineRule="auto"/>
      <w:jc w:val="center"/>
    </w:pPr>
    <w:rPr>
      <w:rFonts w:ascii="Times New Roman" w:hAnsi="Times New Roman" w:cs="Times New Roman"/>
      <w:b/>
      <w:sz w:val="24"/>
      <w:u w:val="single"/>
    </w:rPr>
  </w:style>
  <w:style w:type="paragraph" w:customStyle="1" w:styleId="ListBullet1">
    <w:name w:val="List Bullet 1"/>
    <w:basedOn w:val="Normal"/>
    <w:pPr>
      <w:numPr>
        <w:numId w:val="27"/>
      </w:numPr>
      <w:spacing w:after="240" w:line="240" w:lineRule="auto"/>
      <w:jc w:val="both"/>
    </w:pPr>
    <w:rPr>
      <w:rFonts w:ascii="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Char,Footnote tex,ft"/>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qFormat/>
    <w:rPr>
      <w:sz w:val="20"/>
      <w:szCs w:val="20"/>
    </w:rPr>
  </w:style>
  <w:style w:type="paragraph" w:styleId="ListParagraph">
    <w:name w:val="List Paragraph"/>
    <w:aliases w:val="Fiche List Paragraph,Task Body,Viñetas (Inicio Parrafo),3 Txt tabla,Zerrenda-paragrafoa,Lista multicolor - Énfasis 11,Paragrafo elenco"/>
    <w:basedOn w:val="Normal"/>
    <w:link w:val="ListParagraphChar"/>
    <w:uiPriority w:val="34"/>
    <w:qFormat/>
    <w:pPr>
      <w:ind w:left="720"/>
      <w:contextualSpacing/>
    </w:pPr>
  </w:style>
  <w:style w:type="character" w:styleId="FootnoteReference">
    <w:name w:val="footnote reference"/>
    <w:aliases w:val="Footnote Reference Superscript,BVI fnr,Footnote symbol,Footnote reference number,Times 10 Point,Exposant 3 Point,EN Footnote Reference,note TESI,SUPERS,Nota,Footnote number,Char1,Ref,de nota al pie,E..,Footnote,fr, BVI fnr,number,styl"/>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vertAlign w:val="superscript"/>
    </w:rPr>
  </w:style>
  <w:style w:type="character" w:customStyle="1" w:styleId="white-space">
    <w:name w:val="white-space"/>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xmsonormal">
    <w:name w:val="x_msonormal"/>
    <w:basedOn w:val="Normal"/>
    <w:pPr>
      <w:spacing w:before="100" w:beforeAutospacing="1" w:after="100" w:afterAutospacing="1" w:line="240" w:lineRule="auto"/>
    </w:pPr>
    <w:rPr>
      <w:rFonts w:ascii="Times" w:eastAsiaTheme="minorEastAsia" w:hAnsi="Times"/>
      <w:sz w:val="20"/>
      <w:szCs w:val="20"/>
      <w:lang w:val="fr-FR"/>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Pr>
      <w:color w:val="0000FF" w:themeColor="hyperlink"/>
      <w:u w:val="single"/>
    </w:rPr>
  </w:style>
  <w:style w:type="character" w:customStyle="1" w:styleId="iceouttxt38">
    <w:name w:val="iceouttxt38"/>
    <w:basedOn w:val="DefaultParagraphFont"/>
    <w:rPr>
      <w:sz w:val="24"/>
      <w:szCs w:val="24"/>
      <w:bdr w:val="none" w:sz="0" w:space="0" w:color="auto" w:frame="1"/>
      <w:vertAlign w:val="baseline"/>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Pa14">
    <w:name w:val="Pa14"/>
    <w:basedOn w:val="Default"/>
    <w:next w:val="Default"/>
    <w:uiPriority w:val="99"/>
    <w:pPr>
      <w:spacing w:line="241" w:lineRule="atLeast"/>
    </w:pPr>
    <w:rPr>
      <w:rFonts w:ascii="EC Square Sans Pro" w:hAnsi="EC Square Sans Pro" w:cstheme="minorBidi"/>
      <w:color w:val="auto"/>
    </w:rPr>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pPr>
      <w:autoSpaceDE w:val="0"/>
      <w:autoSpaceDN w:val="0"/>
      <w:adjustRightInd w:val="0"/>
      <w:spacing w:after="0" w:line="661" w:lineRule="atLeast"/>
    </w:pPr>
    <w:rPr>
      <w:rFonts w:ascii="Charter ITC Std" w:hAnsi="Charter ITC Std"/>
      <w:sz w:val="24"/>
      <w:szCs w:val="24"/>
    </w:rPr>
  </w:style>
  <w:style w:type="character" w:customStyle="1" w:styleId="Nessuno">
    <w:name w:val="Nessuno"/>
    <w:rPr>
      <w:lang w:val="en-US"/>
    </w:rPr>
  </w:style>
  <w:style w:type="paragraph" w:styleId="NormalWeb">
    <w:name w:val="Normal (Web)"/>
    <w:basedOn w:val="Normal"/>
    <w:uiPriority w:val="99"/>
    <w:semiHidden/>
    <w:unhideWhenUsed/>
    <w:pPr>
      <w:spacing w:after="192"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Fiche List Paragraph Char,Task Body Char,Viñetas (Inicio Parrafo) Char,3 Txt tabla Char,Zerrenda-paragrafoa Char,Lista multicolor - Énfasis 11 Char,Paragrafo elenco Char"/>
    <w:link w:val="ListParagraph"/>
    <w:uiPriority w:val="34"/>
    <w:locked/>
  </w:style>
  <w:style w:type="paragraph" w:customStyle="1" w:styleId="CM4">
    <w:name w:val="CM4"/>
    <w:basedOn w:val="Default"/>
    <w:next w:val="Default"/>
    <w:uiPriority w:val="99"/>
    <w:rPr>
      <w:rFonts w:ascii="EUAlbertina" w:hAnsi="EUAlbertina" w:cstheme="minorBidi"/>
      <w:color w:val="auto"/>
    </w:rPr>
  </w:style>
  <w:style w:type="paragraph" w:customStyle="1" w:styleId="Sous-titreobjetPagedecouverture">
    <w:name w:val="Sous-titre objet (Page de couverture)"/>
    <w:basedOn w:val="Normal"/>
    <w:pPr>
      <w:spacing w:after="0" w:line="240" w:lineRule="auto"/>
      <w:jc w:val="center"/>
    </w:pPr>
    <w:rPr>
      <w:rFonts w:ascii="Times New Roman" w:hAnsi="Times New Roman" w:cs="Times New Roman"/>
      <w:b/>
      <w:sz w:val="24"/>
    </w:rPr>
  </w:style>
  <w:style w:type="paragraph" w:customStyle="1" w:styleId="Annexetitre">
    <w:name w:val="Annexe titre"/>
    <w:basedOn w:val="Normal"/>
    <w:next w:val="Normal"/>
    <w:pPr>
      <w:spacing w:before="120" w:after="120" w:line="240" w:lineRule="auto"/>
      <w:jc w:val="center"/>
    </w:pPr>
    <w:rPr>
      <w:rFonts w:ascii="Times New Roman" w:hAnsi="Times New Roman" w:cs="Times New Roman"/>
      <w:b/>
      <w:sz w:val="24"/>
      <w:u w:val="single"/>
    </w:rPr>
  </w:style>
  <w:style w:type="paragraph" w:customStyle="1" w:styleId="ListBullet1">
    <w:name w:val="List Bullet 1"/>
    <w:basedOn w:val="Normal"/>
    <w:pPr>
      <w:numPr>
        <w:numId w:val="27"/>
      </w:numPr>
      <w:spacing w:after="240" w:line="240" w:lineRule="auto"/>
      <w:jc w:val="both"/>
    </w:pPr>
    <w:rPr>
      <w:rFonts w:ascii="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4578">
      <w:bodyDiv w:val="1"/>
      <w:marLeft w:val="0"/>
      <w:marRight w:val="0"/>
      <w:marTop w:val="0"/>
      <w:marBottom w:val="0"/>
      <w:divBdr>
        <w:top w:val="none" w:sz="0" w:space="0" w:color="auto"/>
        <w:left w:val="none" w:sz="0" w:space="0" w:color="auto"/>
        <w:bottom w:val="none" w:sz="0" w:space="0" w:color="auto"/>
        <w:right w:val="none" w:sz="0" w:space="0" w:color="auto"/>
      </w:divBdr>
    </w:div>
    <w:div w:id="98919093">
      <w:bodyDiv w:val="1"/>
      <w:marLeft w:val="0"/>
      <w:marRight w:val="0"/>
      <w:marTop w:val="0"/>
      <w:marBottom w:val="0"/>
      <w:divBdr>
        <w:top w:val="none" w:sz="0" w:space="0" w:color="auto"/>
        <w:left w:val="none" w:sz="0" w:space="0" w:color="auto"/>
        <w:bottom w:val="none" w:sz="0" w:space="0" w:color="auto"/>
        <w:right w:val="none" w:sz="0" w:space="0" w:color="auto"/>
      </w:divBdr>
    </w:div>
    <w:div w:id="110631746">
      <w:bodyDiv w:val="1"/>
      <w:marLeft w:val="0"/>
      <w:marRight w:val="0"/>
      <w:marTop w:val="0"/>
      <w:marBottom w:val="0"/>
      <w:divBdr>
        <w:top w:val="none" w:sz="0" w:space="0" w:color="auto"/>
        <w:left w:val="none" w:sz="0" w:space="0" w:color="auto"/>
        <w:bottom w:val="none" w:sz="0" w:space="0" w:color="auto"/>
        <w:right w:val="none" w:sz="0" w:space="0" w:color="auto"/>
      </w:divBdr>
    </w:div>
    <w:div w:id="126053455">
      <w:bodyDiv w:val="1"/>
      <w:marLeft w:val="0"/>
      <w:marRight w:val="0"/>
      <w:marTop w:val="0"/>
      <w:marBottom w:val="0"/>
      <w:divBdr>
        <w:top w:val="none" w:sz="0" w:space="0" w:color="auto"/>
        <w:left w:val="none" w:sz="0" w:space="0" w:color="auto"/>
        <w:bottom w:val="none" w:sz="0" w:space="0" w:color="auto"/>
        <w:right w:val="none" w:sz="0" w:space="0" w:color="auto"/>
      </w:divBdr>
    </w:div>
    <w:div w:id="141653435">
      <w:bodyDiv w:val="1"/>
      <w:marLeft w:val="0"/>
      <w:marRight w:val="0"/>
      <w:marTop w:val="0"/>
      <w:marBottom w:val="0"/>
      <w:divBdr>
        <w:top w:val="none" w:sz="0" w:space="0" w:color="auto"/>
        <w:left w:val="none" w:sz="0" w:space="0" w:color="auto"/>
        <w:bottom w:val="none" w:sz="0" w:space="0" w:color="auto"/>
        <w:right w:val="none" w:sz="0" w:space="0" w:color="auto"/>
      </w:divBdr>
    </w:div>
    <w:div w:id="351759899">
      <w:bodyDiv w:val="1"/>
      <w:marLeft w:val="0"/>
      <w:marRight w:val="0"/>
      <w:marTop w:val="0"/>
      <w:marBottom w:val="0"/>
      <w:divBdr>
        <w:top w:val="none" w:sz="0" w:space="0" w:color="auto"/>
        <w:left w:val="none" w:sz="0" w:space="0" w:color="auto"/>
        <w:bottom w:val="none" w:sz="0" w:space="0" w:color="auto"/>
        <w:right w:val="none" w:sz="0" w:space="0" w:color="auto"/>
      </w:divBdr>
    </w:div>
    <w:div w:id="1225870121">
      <w:bodyDiv w:val="1"/>
      <w:marLeft w:val="0"/>
      <w:marRight w:val="0"/>
      <w:marTop w:val="0"/>
      <w:marBottom w:val="0"/>
      <w:divBdr>
        <w:top w:val="none" w:sz="0" w:space="0" w:color="auto"/>
        <w:left w:val="none" w:sz="0" w:space="0" w:color="auto"/>
        <w:bottom w:val="none" w:sz="0" w:space="0" w:color="auto"/>
        <w:right w:val="none" w:sz="0" w:space="0" w:color="auto"/>
      </w:divBdr>
      <w:divsChild>
        <w:div w:id="486166382">
          <w:marLeft w:val="0"/>
          <w:marRight w:val="0"/>
          <w:marTop w:val="0"/>
          <w:marBottom w:val="0"/>
          <w:divBdr>
            <w:top w:val="none" w:sz="0" w:space="0" w:color="auto"/>
            <w:left w:val="none" w:sz="0" w:space="0" w:color="auto"/>
            <w:bottom w:val="none" w:sz="0" w:space="0" w:color="auto"/>
            <w:right w:val="none" w:sz="0" w:space="0" w:color="auto"/>
          </w:divBdr>
          <w:divsChild>
            <w:div w:id="1188374561">
              <w:marLeft w:val="0"/>
              <w:marRight w:val="0"/>
              <w:marTop w:val="0"/>
              <w:marBottom w:val="0"/>
              <w:divBdr>
                <w:top w:val="none" w:sz="0" w:space="0" w:color="auto"/>
                <w:left w:val="none" w:sz="0" w:space="0" w:color="auto"/>
                <w:bottom w:val="none" w:sz="0" w:space="0" w:color="auto"/>
                <w:right w:val="none" w:sz="0" w:space="0" w:color="auto"/>
              </w:divBdr>
              <w:divsChild>
                <w:div w:id="34503076">
                  <w:marLeft w:val="0"/>
                  <w:marRight w:val="0"/>
                  <w:marTop w:val="0"/>
                  <w:marBottom w:val="0"/>
                  <w:divBdr>
                    <w:top w:val="none" w:sz="0" w:space="0" w:color="auto"/>
                    <w:left w:val="none" w:sz="0" w:space="0" w:color="auto"/>
                    <w:bottom w:val="none" w:sz="0" w:space="0" w:color="auto"/>
                    <w:right w:val="none" w:sz="0" w:space="0" w:color="auto"/>
                  </w:divBdr>
                  <w:divsChild>
                    <w:div w:id="2079858026">
                      <w:marLeft w:val="0"/>
                      <w:marRight w:val="0"/>
                      <w:marTop w:val="0"/>
                      <w:marBottom w:val="0"/>
                      <w:divBdr>
                        <w:top w:val="none" w:sz="0" w:space="0" w:color="auto"/>
                        <w:left w:val="none" w:sz="0" w:space="0" w:color="auto"/>
                        <w:bottom w:val="none" w:sz="0" w:space="0" w:color="auto"/>
                        <w:right w:val="none" w:sz="0" w:space="0" w:color="auto"/>
                      </w:divBdr>
                      <w:divsChild>
                        <w:div w:id="65299963">
                          <w:marLeft w:val="0"/>
                          <w:marRight w:val="0"/>
                          <w:marTop w:val="0"/>
                          <w:marBottom w:val="0"/>
                          <w:divBdr>
                            <w:top w:val="none" w:sz="0" w:space="0" w:color="auto"/>
                            <w:left w:val="none" w:sz="0" w:space="0" w:color="auto"/>
                            <w:bottom w:val="none" w:sz="0" w:space="0" w:color="auto"/>
                            <w:right w:val="none" w:sz="0" w:space="0" w:color="auto"/>
                          </w:divBdr>
                          <w:divsChild>
                            <w:div w:id="791558742">
                              <w:marLeft w:val="-225"/>
                              <w:marRight w:val="-225"/>
                              <w:marTop w:val="0"/>
                              <w:marBottom w:val="0"/>
                              <w:divBdr>
                                <w:top w:val="none" w:sz="0" w:space="0" w:color="auto"/>
                                <w:left w:val="none" w:sz="0" w:space="0" w:color="auto"/>
                                <w:bottom w:val="none" w:sz="0" w:space="0" w:color="auto"/>
                                <w:right w:val="none" w:sz="0" w:space="0" w:color="auto"/>
                              </w:divBdr>
                              <w:divsChild>
                                <w:div w:id="433669039">
                                  <w:marLeft w:val="0"/>
                                  <w:marRight w:val="0"/>
                                  <w:marTop w:val="0"/>
                                  <w:marBottom w:val="0"/>
                                  <w:divBdr>
                                    <w:top w:val="none" w:sz="0" w:space="0" w:color="auto"/>
                                    <w:left w:val="none" w:sz="0" w:space="0" w:color="auto"/>
                                    <w:bottom w:val="none" w:sz="0" w:space="0" w:color="auto"/>
                                    <w:right w:val="none" w:sz="0" w:space="0" w:color="auto"/>
                                  </w:divBdr>
                                  <w:divsChild>
                                    <w:div w:id="830409049">
                                      <w:marLeft w:val="0"/>
                                      <w:marRight w:val="0"/>
                                      <w:marTop w:val="0"/>
                                      <w:marBottom w:val="133"/>
                                      <w:divBdr>
                                        <w:top w:val="none" w:sz="0" w:space="0" w:color="auto"/>
                                        <w:left w:val="none" w:sz="0" w:space="0" w:color="auto"/>
                                        <w:bottom w:val="none" w:sz="0" w:space="0" w:color="auto"/>
                                        <w:right w:val="none" w:sz="0" w:space="0" w:color="auto"/>
                                      </w:divBdr>
                                      <w:divsChild>
                                        <w:div w:id="10099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2664156">
      <w:bodyDiv w:val="1"/>
      <w:marLeft w:val="0"/>
      <w:marRight w:val="0"/>
      <w:marTop w:val="0"/>
      <w:marBottom w:val="0"/>
      <w:divBdr>
        <w:top w:val="none" w:sz="0" w:space="0" w:color="auto"/>
        <w:left w:val="none" w:sz="0" w:space="0" w:color="auto"/>
        <w:bottom w:val="none" w:sz="0" w:space="0" w:color="auto"/>
        <w:right w:val="none" w:sz="0" w:space="0" w:color="auto"/>
      </w:divBdr>
    </w:div>
    <w:div w:id="1488549092">
      <w:bodyDiv w:val="1"/>
      <w:marLeft w:val="0"/>
      <w:marRight w:val="0"/>
      <w:marTop w:val="0"/>
      <w:marBottom w:val="0"/>
      <w:divBdr>
        <w:top w:val="none" w:sz="0" w:space="0" w:color="auto"/>
        <w:left w:val="none" w:sz="0" w:space="0" w:color="auto"/>
        <w:bottom w:val="none" w:sz="0" w:space="0" w:color="auto"/>
        <w:right w:val="none" w:sz="0" w:space="0" w:color="auto"/>
      </w:divBdr>
    </w:div>
    <w:div w:id="174452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digital-single-market/en/news/eu-countries-will-cooperate-linking-genomic-databases-across-bor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14D15-7B3A-4D17-94B1-937C1D97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15</Pages>
  <Words>6321</Words>
  <Characters>36032</Characters>
  <Application>Microsoft Office Word</Application>
  <DocSecurity>0</DocSecurity>
  <Lines>522</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42264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DIGIT/A3</cp:lastModifiedBy>
  <cp:revision>25</cp:revision>
  <cp:lastPrinted>2018-05-04T07:51:00Z</cp:lastPrinted>
  <dcterms:created xsi:type="dcterms:W3CDTF">2018-05-14T16:13:00Z</dcterms:created>
  <dcterms:modified xsi:type="dcterms:W3CDTF">2018-05-15T10:17:00Z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