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5C029EEF-0EB5-4236-8C0E-A5DE741F63E1" style="width:450.75pt;height:434.2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1" w:name="_GoBack"/>
      <w:bookmarkEnd w:id="1"/>
      <w:r>
        <w:rPr>
          <w:noProof/>
        </w:rPr>
        <w:lastRenderedPageBreak/>
        <w:t>PRILOG – Zakonodavne inicijative o jedinstvenom digitalnom tržištu 2015.-2018.</w:t>
      </w:r>
    </w:p>
    <w:p>
      <w:pPr>
        <w:pStyle w:val="Default"/>
        <w:spacing w:after="240"/>
        <w:jc w:val="both"/>
        <w:rPr>
          <w:noProof/>
        </w:rPr>
      </w:pPr>
      <w:r>
        <w:rPr>
          <w:noProof/>
        </w:rPr>
        <w:t>Ovaj Prilog sadržava pregled napretka legislativnih inicijativa predloženih u okviru Strategije o jedinstvenom digitalnom tržištu</w:t>
      </w:r>
    </w:p>
    <w:tbl>
      <w:tblPr>
        <w:tblStyle w:val="TableGrid"/>
        <w:tblW w:w="9499" w:type="dxa"/>
        <w:tblLayout w:type="fixed"/>
        <w:tblLook w:val="04A0" w:firstRow="1" w:lastRow="0" w:firstColumn="1" w:lastColumn="0" w:noHBand="0" w:noVBand="1"/>
      </w:tblPr>
      <w:tblGrid>
        <w:gridCol w:w="1101"/>
        <w:gridCol w:w="4605"/>
        <w:gridCol w:w="1559"/>
        <w:gridCol w:w="2234"/>
      </w:tblGrid>
      <w:tr>
        <w:tc>
          <w:tcPr>
            <w:tcW w:w="1101" w:type="dxa"/>
            <w:shd w:val="clear" w:color="auto" w:fill="D9D9D9" w:themeFill="background1" w:themeFillShade="D9"/>
          </w:tcPr>
          <w:p>
            <w:pPr>
              <w:pStyle w:val="Sous-titreobjetPagedecouverture"/>
              <w:spacing w:before="120" w:after="120"/>
              <w:jc w:val="left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Br.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>
            <w:pPr>
              <w:pStyle w:val="Sous-titreobjetPagedecouverture"/>
              <w:spacing w:before="120" w:after="120"/>
              <w:jc w:val="left"/>
              <w:rPr>
                <w:rFonts w:ascii="Times New Roman Bold" w:hAnsi="Times New Roman Bold"/>
                <w:smallCaps/>
                <w:noProof/>
                <w:szCs w:val="24"/>
              </w:rPr>
            </w:pPr>
            <w:r>
              <w:rPr>
                <w:i/>
                <w:noProof/>
              </w:rPr>
              <w:t>Zakonodavne inicijative – Donesene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>
            <w:pPr>
              <w:pStyle w:val="Sous-titreobjetPagedecouverture"/>
              <w:spacing w:before="120" w:after="120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Prijedlog Komisije</w:t>
            </w:r>
          </w:p>
          <w:p>
            <w:pPr>
              <w:pStyle w:val="Sous-titreobjetPagedecouverture"/>
              <w:spacing w:before="120" w:after="120"/>
              <w:jc w:val="left"/>
              <w:rPr>
                <w:rFonts w:ascii="Times New Roman Bold" w:hAnsi="Times New Roman Bold"/>
                <w:smallCaps/>
                <w:noProof/>
                <w:szCs w:val="24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>
            <w:pPr>
              <w:pStyle w:val="Sous-titreobjetPagedecouverture"/>
              <w:spacing w:before="120" w:after="120"/>
              <w:rPr>
                <w:rFonts w:ascii="Times New Roman Bold" w:hAnsi="Times New Roman Bold"/>
                <w:smallCaps/>
                <w:noProof/>
                <w:szCs w:val="24"/>
              </w:rPr>
            </w:pPr>
            <w:r>
              <w:rPr>
                <w:i/>
                <w:noProof/>
              </w:rPr>
              <w:t>Status objave u Službenom listu Europske unije.</w:t>
            </w:r>
          </w:p>
        </w:tc>
      </w:tr>
      <w:tr>
        <w:tc>
          <w:tcPr>
            <w:tcW w:w="1101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1.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2.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3.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4.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5.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6.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7.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8.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9. 10.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11.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12.</w:t>
            </w:r>
          </w:p>
        </w:tc>
        <w:tc>
          <w:tcPr>
            <w:tcW w:w="4605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Odluka o uporabi frekvencijskog pojasa 470–790 MHz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Uredba o prekograničnoj prenosivosti usluga internetskog sadržaja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Uredba u pogledu pravila za veleprodajna tržišta roaminga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Uredba i Direktiva o dozvoljenim upotrebama djela i drugih sadržaja zaštićenih autorskim pravima u korist slijepih i slabovidnih osoba ili osoba koje imaju druge smetnje pri čitanju otisnutog teksta te o provedbi Ugovora iz Marakeša.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Uredba za promicanje internetske povezivosti u lokalnim zajednicama (Wi-Fi4EU)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Uredba o suradnji u zaštiti potrošača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Uredba o rješavanju pitanja neopravdanoga geografskog blokiranja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Uredba i Direktiva Vijeća o porezu na dodanu vrijednost na e-trgovinu</w:t>
            </w:r>
          </w:p>
          <w:p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Uredba o uslugama prekogranične dostave paketa</w:t>
            </w:r>
          </w:p>
          <w:p>
            <w:pPr>
              <w:pStyle w:val="Sous-titreobjetPagedecouverture"/>
              <w:jc w:val="left"/>
              <w:rPr>
                <w:i/>
                <w:noProof/>
                <w:szCs w:val="24"/>
              </w:rPr>
            </w:pPr>
            <w:r>
              <w:rPr>
                <w:b w:val="0"/>
                <w:noProof/>
              </w:rPr>
              <w:t>Direktiva o audiovizualnim medijskim uslugama</w:t>
            </w:r>
          </w:p>
        </w:tc>
        <w:tc>
          <w:tcPr>
            <w:tcW w:w="1559" w:type="dxa"/>
          </w:tcPr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2.2.2016.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9.12.2015.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15.6.2016.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14.9.2016.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13.9.2016.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25.5.2016.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25.5.2016.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1.12.2016.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25.5.2016.</w:t>
            </w:r>
          </w:p>
          <w:p>
            <w:pPr>
              <w:pStyle w:val="Sous-titreobjetPagedecouverture"/>
              <w:rPr>
                <w:i/>
                <w:noProof/>
                <w:szCs w:val="24"/>
              </w:rPr>
            </w:pPr>
            <w:r>
              <w:rPr>
                <w:b w:val="0"/>
                <w:noProof/>
              </w:rPr>
              <w:t>25.5.2016.</w:t>
            </w:r>
          </w:p>
        </w:tc>
        <w:tc>
          <w:tcPr>
            <w:tcW w:w="2234" w:type="dxa"/>
          </w:tcPr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Objavljeno 25.5.2017.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Objavljeno 30.6.2017.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Objavljeno 9.6.2017.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Objavljeno 20.9.2017.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Objavljeno 1.11.2017.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Objavljeno 27.12.2017.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Objavljeno 2.3.2018.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Dogovor postignut 13.12.2017.; Čeka objavu</w:t>
            </w:r>
          </w:p>
          <w:p>
            <w:pPr>
              <w:pStyle w:val="Sous-titreobjetPagedecouverture"/>
              <w:rPr>
                <w:rFonts w:eastAsia="Times New Roman"/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Objavljeno 2.5.2018.</w:t>
            </w:r>
          </w:p>
          <w:p>
            <w:pPr>
              <w:pStyle w:val="Sous-titreobjetPagedecouverture"/>
              <w:rPr>
                <w:i/>
                <w:noProof/>
                <w:szCs w:val="24"/>
              </w:rPr>
            </w:pPr>
            <w:r>
              <w:rPr>
                <w:b w:val="0"/>
                <w:noProof/>
              </w:rPr>
              <w:t>Politički dogovor 26.4.2018.</w:t>
            </w:r>
          </w:p>
        </w:tc>
      </w:tr>
      <w:tr>
        <w:tc>
          <w:tcPr>
            <w:tcW w:w="1101" w:type="dxa"/>
            <w:shd w:val="clear" w:color="auto" w:fill="D9D9D9" w:themeFill="background1" w:themeFillShade="D9"/>
          </w:tcPr>
          <w:p>
            <w:pPr>
              <w:pStyle w:val="Sous-titreobjetPagedecouverture"/>
              <w:spacing w:before="120" w:after="120"/>
              <w:jc w:val="both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Br.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>
            <w:pPr>
              <w:pStyle w:val="Sous-titreobjetPagedecouverture"/>
              <w:spacing w:before="120" w:after="120"/>
              <w:jc w:val="both"/>
              <w:rPr>
                <w:rFonts w:ascii="Times New Roman Bold" w:hAnsi="Times New Roman Bold"/>
                <w:smallCaps/>
                <w:noProof/>
                <w:szCs w:val="24"/>
              </w:rPr>
            </w:pPr>
            <w:r>
              <w:rPr>
                <w:i/>
                <w:noProof/>
              </w:rPr>
              <w:t>Zakonodavne inicijative – Čekaju donošenje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>
            <w:pPr>
              <w:pStyle w:val="Sous-titreobjetPagedecouverture"/>
              <w:spacing w:before="120" w:after="120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Prijedlog Komisije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>
            <w:pPr>
              <w:pStyle w:val="Sous-titreobjetPagedecouverture"/>
              <w:spacing w:before="120" w:after="120"/>
              <w:rPr>
                <w:rFonts w:ascii="Times New Roman Bold" w:hAnsi="Times New Roman Bold"/>
                <w:smallCaps/>
                <w:noProof/>
                <w:szCs w:val="24"/>
              </w:rPr>
            </w:pPr>
            <w:r>
              <w:rPr>
                <w:i/>
                <w:noProof/>
              </w:rPr>
              <w:t xml:space="preserve">Status pregovora suzakonodavaca </w:t>
            </w:r>
          </w:p>
        </w:tc>
      </w:tr>
      <w:tr>
        <w:tc>
          <w:tcPr>
            <w:tcW w:w="1101" w:type="dxa"/>
          </w:tcPr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1.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2.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3.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4.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5.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6.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7.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8.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9.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10.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11.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12.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13.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14.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15.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16.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17.</w:t>
            </w:r>
          </w:p>
        </w:tc>
        <w:tc>
          <w:tcPr>
            <w:tcW w:w="4605" w:type="dxa"/>
          </w:tcPr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 xml:space="preserve">Direktiva u pogledu ugovora o isporuci digitalnog sadržaja 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Direktiva u pogledu ugovora o prodaji robe na daljinu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Europski zakonik elektroničkih komunikacija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Tijelo europskih regulatora za elektroničke komunikacije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Direktiva o autorskim pravima na jedinstvenom digitalnom tržištu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Uredba o organizacijama za radiodifuziju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Direktiva Vijeća o porezu na dodanu vrijednost za elektroničke publikacije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Uredba o e-privatnosti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Uredba o zaštiti osobnih podataka za institucije i tijela Unije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Uredba o uspostavi jedinstvenog digitalnog pristupnika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Uredba o okviru za slobodan protok neosobnih podataka </w:t>
            </w:r>
          </w:p>
          <w:p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Uredba o aktu o kibersigurnosti u EU-u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Direktiva o borbi protiv prijevara i krivotvorenja bezgotovinskih sredstava plaćanja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Uredba Vijeća o osnivanju Europskog zajedničkog poduzeća za računalstvo visokih performansi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Uredba o promicanju pravednosti i transparentnosti za poslovne korisnike internetskih usluga posredovanja </w:t>
            </w:r>
          </w:p>
          <w:p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Direktiva o ponovnoj uporabi informacija javnog sektora (preinaka)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Uredba o uvođenju i funkcioniranju vršne domene .eu</w:t>
            </w:r>
            <w:r>
              <w:rPr>
                <w:noProof/>
                <w:sz w:val="24"/>
              </w:rPr>
              <w:t xml:space="preserve"> </w:t>
            </w:r>
          </w:p>
        </w:tc>
        <w:tc>
          <w:tcPr>
            <w:tcW w:w="1559" w:type="dxa"/>
          </w:tcPr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9.12.2015.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31.10.2017.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(9.12.2015.)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14.9.2016.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14.9.2016.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14.9.2016.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14.9.2016.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1.12.2016.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10.1.2017.</w:t>
            </w:r>
          </w:p>
          <w:p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10.1.2017.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2.5.2017.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13.9.2017.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13.9.2017.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13.9.2017.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11.1.2018.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26.4.2018.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25.4.2018.</w:t>
            </w: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</w:rPr>
              <w:t>27.4.2018.</w:t>
            </w:r>
          </w:p>
        </w:tc>
        <w:tc>
          <w:tcPr>
            <w:tcW w:w="2234" w:type="dxa"/>
          </w:tcPr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u tijeku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čeka mandat Vijeća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u tijeku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u tijeku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čeka mandat Europskog parlamenta i Vijeća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u tijeku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čeka Vijeće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čeka Vijeće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u tijeku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u tijeku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čeka Europski parlament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 xml:space="preserve">čeka Europski parlament i Vijeće 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čeka Europski parlament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  <w:r>
              <w:rPr>
                <w:b w:val="0"/>
                <w:i/>
                <w:noProof/>
              </w:rPr>
              <w:t>čeka Europski parlament i Vijeće</w:t>
            </w:r>
          </w:p>
          <w:p>
            <w:pPr>
              <w:pStyle w:val="Sous-titreobjetPagedecouverture"/>
              <w:rPr>
                <w:b w:val="0"/>
                <w:i/>
                <w:noProof/>
                <w:szCs w:val="24"/>
              </w:rPr>
            </w:pPr>
          </w:p>
        </w:tc>
      </w:tr>
      <w:tr>
        <w:tc>
          <w:tcPr>
            <w:tcW w:w="1101" w:type="dxa"/>
          </w:tcPr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  <w:p>
            <w:pPr>
              <w:pStyle w:val="Sous-titreobjetPagedecouverture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29</w:t>
            </w:r>
          </w:p>
          <w:p>
            <w:pPr>
              <w:pStyle w:val="Sous-titreobjetPagedecouverture"/>
              <w:jc w:val="left"/>
              <w:rPr>
                <w:b w:val="0"/>
                <w:noProof/>
                <w:szCs w:val="24"/>
              </w:rPr>
            </w:pPr>
          </w:p>
        </w:tc>
        <w:tc>
          <w:tcPr>
            <w:tcW w:w="8398" w:type="dxa"/>
            <w:gridSpan w:val="3"/>
          </w:tcPr>
          <w:p>
            <w:pPr>
              <w:pStyle w:val="Sous-titreobjetPagedecouverture"/>
              <w:jc w:val="left"/>
              <w:rPr>
                <w:noProof/>
                <w:szCs w:val="24"/>
              </w:rPr>
            </w:pPr>
          </w:p>
          <w:p>
            <w:pPr>
              <w:pStyle w:val="Sous-titreobjetPagedecouverture"/>
              <w:rPr>
                <w:i/>
                <w:noProof/>
                <w:szCs w:val="24"/>
              </w:rPr>
            </w:pPr>
            <w:r>
              <w:rPr>
                <w:noProof/>
              </w:rPr>
              <w:t>Ukupni broj zakonodavnih inicijativa</w:t>
            </w:r>
          </w:p>
        </w:tc>
      </w:tr>
    </w:tbl>
    <w:p>
      <w:pPr>
        <w:pStyle w:val="Default"/>
        <w:spacing w:after="240"/>
        <w:jc w:val="both"/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6075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>
        <w:pPr>
          <w:pStyle w:val="Footer"/>
          <w:jc w:val="right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C029EEF-0EB5-4236-8C0E-A5DE741F63E1"/>
    <w:docVar w:name="LW_COVERPAGE_TYPE" w:val="1"/>
    <w:docVar w:name="LW_CROSSREFERENCE" w:val="&lt;UNUSED&gt;"/>
    <w:docVar w:name="LW_DocType" w:val="NORMAL"/>
    <w:docVar w:name="LW_EMISSION" w:val="15.5.2018."/>
    <w:docVar w:name="LW_EMISSION_ISODATE" w:val="2018-05-15"/>
    <w:docVar w:name="LW_EMISSION_LOCATION" w:val="BRX"/>
    <w:docVar w:name="LW_EMISSION_PREFIX" w:val="Bruxelles, "/>
    <w:docVar w:name="LW_EMISSION_SUFFIX" w:val="&lt;EMPTY&gt;"/>
    <w:docVar w:name="LW_ID_DOCTYPE_NONLW" w:val="CP-039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Dovr\u353?enje pouzdanog jedinstvenog digitalnog tr\u382?i\u353?ta za sve_x000b__x000b_Doprinos Europske komisije neslu\u382?benom sastanku \u269?elnika EU-a o za\u353?titi podataka i jedinstvenom digitalnom tr\u382?i\u353?tu u Sofiji 16. svibnja 2018."/>
    <w:docVar w:name="LW_PART_NBR" w:val="1"/>
    <w:docVar w:name="LW_PART_NBR_TOTAL" w:val="1"/>
    <w:docVar w:name="LW_REF.INST.NEW" w:val="COM"/>
    <w:docVar w:name="LW_REF.INST.NEW_ADOPTED" w:val="final"/>
    <w:docVar w:name="LW_REF.INST.NEW_TEXT" w:val="(2018) 32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PRILOG_x000b_"/>
    <w:docVar w:name="LW_TYPEACTEPRINCIPAL.CP" w:val="KOMUNIKACIJI KOMISIJE EUROPSKOM PARLAMENTU, EUROPSKOM VIJE\u262?U, VIJE\u262?U, EUROPSKOM GOSPODARSKOM I SOCIJALNOM ODBORU TE ODBORU REGIJ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s-titreobjetPagedecouverture">
    <w:name w:val="Sous-titre objet (Page de couverture)"/>
    <w:basedOn w:val="Normal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s-titreobjetPagedecouverture">
    <w:name w:val="Sous-titre objet (Page de couverture)"/>
    <w:basedOn w:val="Normal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2820</Characters>
  <Application>Microsoft Office Word</Application>
  <DocSecurity>0</DocSecurity>
  <Lines>256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DE LANDA Rosa Maria (SG)</dc:creator>
  <cp:lastModifiedBy>DIGIT/A3</cp:lastModifiedBy>
  <cp:revision>10</cp:revision>
  <dcterms:created xsi:type="dcterms:W3CDTF">2018-05-14T20:01:00Z</dcterms:created>
  <dcterms:modified xsi:type="dcterms:W3CDTF">2018-05-15T10:18:00Z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