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D4BA407-BA03-4916-B593-CBA0F620159C" style="width:451.65pt;height:408.6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b/>
                <w:noProof/>
                <w:sz w:val="22"/>
                <w:szCs w:val="22"/>
              </w:rPr>
            </w:pPr>
            <w:r>
              <w:rPr>
                <w:b/>
                <w:noProof/>
                <w:sz w:val="22"/>
              </w:rPr>
              <w:t>Tiivistelmä vaikutusten arvioinnista</w:t>
            </w:r>
          </w:p>
        </w:tc>
      </w:tr>
      <w:tr>
        <w:trPr>
          <w:trHeight w:val="888"/>
        </w:trP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noProof/>
                <w:color w:val="FFFFFF" w:themeColor="background1"/>
                <w:sz w:val="20"/>
                <w:szCs w:val="20"/>
              </w:rPr>
            </w:pPr>
            <w:r>
              <w:rPr>
                <w:noProof/>
                <w:color w:val="FFFFFF" w:themeColor="background1"/>
                <w:sz w:val="20"/>
              </w:rPr>
              <w:t>Unionin aluetunnuksen ”.eu” perustamisesta annetun asetuksen (EY) N:o 733/2002 ja .eu-aluetunnuksen perustamista ja käyttöä koskevista yleisistä toimintasäännöistä annetun asetuksen (EY) N:o 874/2004 REFIT-arviointiin liittyvä  vaikutustenarviointi</w:t>
            </w:r>
          </w:p>
        </w:tc>
      </w:tr>
      <w:tr>
        <w:tc>
          <w:tcPr>
            <w:tcW w:w="10188" w:type="dxa"/>
            <w:tcBorders>
              <w:bottom w:val="single" w:sz="4" w:space="0" w:color="auto"/>
            </w:tcBorders>
            <w:shd w:val="clear" w:color="auto" w:fill="CCCCCC"/>
          </w:tcPr>
          <w:p>
            <w:pPr>
              <w:spacing w:before="60" w:after="60"/>
              <w:jc w:val="center"/>
              <w:rPr>
                <w:b/>
                <w:noProof/>
                <w:sz w:val="22"/>
                <w:szCs w:val="22"/>
              </w:rPr>
            </w:pPr>
            <w:r>
              <w:rPr>
                <w:b/>
                <w:noProof/>
                <w:sz w:val="22"/>
              </w:rPr>
              <w:t>A. Toimenpiteen tarve</w:t>
            </w:r>
          </w:p>
        </w:tc>
      </w:tr>
      <w:tr>
        <w:tc>
          <w:tcPr>
            <w:tcW w:w="10188" w:type="dxa"/>
            <w:tcBorders>
              <w:bottom w:val="single" w:sz="4" w:space="0" w:color="auto"/>
            </w:tcBorders>
            <w:shd w:val="clear" w:color="auto" w:fill="E0E0E0"/>
          </w:tcPr>
          <w:p>
            <w:pPr>
              <w:spacing w:before="60" w:after="60"/>
              <w:jc w:val="both"/>
              <w:rPr>
                <w:noProof/>
                <w:sz w:val="20"/>
                <w:szCs w:val="20"/>
              </w:rPr>
            </w:pPr>
            <w:r>
              <w:rPr>
                <w:b/>
                <w:noProof/>
                <w:sz w:val="20"/>
              </w:rPr>
              <w:t xml:space="preserve">Miksi? Mihin ongelmaan puututaan? </w:t>
            </w:r>
          </w:p>
        </w:tc>
      </w:tr>
      <w:tr>
        <w:tc>
          <w:tcPr>
            <w:tcW w:w="10188" w:type="dxa"/>
            <w:tcBorders>
              <w:bottom w:val="single" w:sz="4" w:space="0" w:color="auto"/>
            </w:tcBorders>
            <w:shd w:val="clear" w:color="auto" w:fill="auto"/>
          </w:tcPr>
          <w:p>
            <w:pPr>
              <w:jc w:val="both"/>
              <w:rPr>
                <w:noProof/>
                <w:sz w:val="20"/>
                <w:szCs w:val="20"/>
              </w:rPr>
            </w:pPr>
            <w:r>
              <w:rPr>
                <w:noProof/>
                <w:sz w:val="20"/>
              </w:rPr>
              <w:t>Nimipalvelujärjestelmän (DNS) markkinat ja poliittinen toimintaympäristö ovat muuttuneet .eu-asetusten voimantulon jälkeen. Lainsäädäntökehykseen on tehty pieniä muutoksia, mutta .eu-asetuksia ei ole koskaan arvioitu perinpohjaisesti uudelleen sen varmistamiseksi, että ne vastaavat edelleen aiottua tarkoitustaan ilman raskaita hallinto- ja täytäntöönpanokustannuksia ja että ne edelleen tosiasiallisesti tuottavat niiltä odotettuja hyötyjä eli tukevat rajatylittäviä verkkotoimintoja ja edistävät EU:n verkkoidentiteettiä. Arviointi osoittaa, että nykyinen sääntelykehys ei tue riittävästi .eu</w:t>
            </w:r>
            <w:r>
              <w:rPr>
                <w:noProof/>
                <w:sz w:val="20"/>
              </w:rPr>
              <w:noBreakHyphen/>
              <w:t>aluetunnuksen vakautta ja ylläpidettävyyttä eikä hyödynnä täysimääräisesti sen mahdollisuuksia EU:n digitaalisilla sisämarkkinoilla. Arvioinnissa todettiin seuraavat toisiinsa liittyvät ongelmat: vanhentunut ja jäykkä lainsäädäntö; puutteet hallinnossa ja vastuuvelvollisuudessa; markkinoiden nopeat muutokset.</w:t>
            </w:r>
          </w:p>
        </w:tc>
      </w:tr>
      <w:tr>
        <w:tc>
          <w:tcPr>
            <w:tcW w:w="10188" w:type="dxa"/>
            <w:tcBorders>
              <w:bottom w:val="single" w:sz="4" w:space="0" w:color="auto"/>
            </w:tcBorders>
            <w:shd w:val="clear" w:color="auto" w:fill="E6E6E6"/>
          </w:tcPr>
          <w:p>
            <w:pPr>
              <w:spacing w:before="60" w:after="60"/>
              <w:jc w:val="both"/>
              <w:rPr>
                <w:noProof/>
                <w:sz w:val="20"/>
                <w:szCs w:val="20"/>
              </w:rPr>
            </w:pPr>
            <w:r>
              <w:rPr>
                <w:b/>
                <w:noProof/>
                <w:sz w:val="20"/>
              </w:rPr>
              <w:t xml:space="preserve">Mitä toimenpiteellä on tarkoitus saada aikaan? </w:t>
            </w:r>
          </w:p>
        </w:tc>
      </w:tr>
      <w:tr>
        <w:tc>
          <w:tcPr>
            <w:tcW w:w="10188" w:type="dxa"/>
            <w:tcBorders>
              <w:bottom w:val="single" w:sz="4" w:space="0" w:color="auto"/>
            </w:tcBorders>
            <w:shd w:val="clear" w:color="auto" w:fill="auto"/>
          </w:tcPr>
          <w:p>
            <w:pPr>
              <w:jc w:val="both"/>
              <w:rPr>
                <w:noProof/>
                <w:sz w:val="20"/>
                <w:szCs w:val="20"/>
              </w:rPr>
            </w:pPr>
            <w:r>
              <w:rPr>
                <w:noProof/>
                <w:sz w:val="20"/>
              </w:rPr>
              <w:t>Aloitteen on tarkoitus varmistaa .eu-aluetunnuksen vakaus ja ylläpidettävyys, jotta voidaan paremmin saavuttaa aluetunnukselle asetetut tavoitteet eli tukea rajatylittäviä verkkotoimintoja Euroopassa ja mahdollistaa eurooppalainen verkkoidentiteetti. Toimintapoliittiset erityistavoitteet (ET) ovat seuraavat: (ET 1) poistetaan vanhentuneet oikeudelliset/hallinnolliset vaatimukset; (ET 2) varmistetaan, että säännöissä otetaan huomioon tulevat tarpeet ja että ne mahdollistavat .eu-aluetunnuksen mukauttamisen ylätason verkkotunnusten markkinoiden ja dynaamisen digitaalisen toimintaympäristön nopeisiin muutoksiin, samalla kun mahdollistetaan .eu-aluetunnuksen käyttö välineenä, jolla edistetään EU:n prioriteetteja verkkoympäristössä; (ET 3) varmistetaan hallintorakenne, joka sekä vastaa tekniikan ja hallinnon parhaita käytäntöjä että palvelee EU:n yleistä etua; (ET 4) edistetään .eu-aluetunnuksen houkuttelevuutta.</w:t>
            </w:r>
          </w:p>
        </w:tc>
      </w:tr>
      <w:tr>
        <w:tc>
          <w:tcPr>
            <w:tcW w:w="10188" w:type="dxa"/>
            <w:tcBorders>
              <w:bottom w:val="single" w:sz="4" w:space="0" w:color="auto"/>
            </w:tcBorders>
            <w:shd w:val="clear" w:color="auto" w:fill="E6E6E6"/>
          </w:tcPr>
          <w:p>
            <w:pPr>
              <w:spacing w:before="60" w:after="60"/>
              <w:jc w:val="both"/>
              <w:rPr>
                <w:noProof/>
                <w:sz w:val="20"/>
                <w:szCs w:val="20"/>
              </w:rPr>
            </w:pPr>
            <w:r>
              <w:rPr>
                <w:b/>
                <w:noProof/>
                <w:sz w:val="20"/>
              </w:rPr>
              <w:t>Mitä lisäarvoa saadaan toimenpiteen toteuttamisesta EU:n tasolla?</w:t>
            </w:r>
            <w:r>
              <w:rPr>
                <w:noProof/>
                <w:sz w:val="20"/>
              </w:rPr>
              <w:t xml:space="preserve"> </w:t>
            </w:r>
          </w:p>
        </w:tc>
      </w:tr>
      <w:tr>
        <w:tc>
          <w:tcPr>
            <w:tcW w:w="10188" w:type="dxa"/>
            <w:tcBorders>
              <w:bottom w:val="single" w:sz="4" w:space="0" w:color="auto"/>
            </w:tcBorders>
            <w:shd w:val="clear" w:color="auto" w:fill="auto"/>
          </w:tcPr>
          <w:p>
            <w:pPr>
              <w:spacing w:before="60"/>
              <w:jc w:val="both"/>
              <w:rPr>
                <w:noProof/>
                <w:sz w:val="20"/>
                <w:szCs w:val="20"/>
              </w:rPr>
            </w:pPr>
            <w:r>
              <w:rPr>
                <w:noProof/>
                <w:sz w:val="20"/>
              </w:rPr>
              <w:t>.eu-verkkotunnuksella on lähtökohtaisesti rajatylittävä ulottuvuus. Se on Euroopan unionin ylätason verkkotunnus ja eurooppalaisen verkkoidentiteetin symboli. Se, että Euroopan unionilla on selkeä ja tunnistettava oma verkkotunnus, on tärkeä ja arvokas osatekijä eurooppalaisen verkkoidentiteetin rakentamisessa.</w:t>
            </w:r>
          </w:p>
          <w:p>
            <w:pPr>
              <w:spacing w:before="60"/>
              <w:jc w:val="both"/>
              <w:rPr>
                <w:noProof/>
                <w:sz w:val="20"/>
                <w:szCs w:val="20"/>
              </w:rPr>
            </w:pPr>
            <w:r>
              <w:rPr>
                <w:noProof/>
                <w:sz w:val="20"/>
              </w:rPr>
              <w:t>Jäsenvaltioiden tasolla toteutettavilla sääntelytoimilla ei voitaisi saavuttaa EU:n luotetun ja innovatiivisen nimialueen luomisen ja hallinnoinnin taustalla olevia perustavoitteita.</w:t>
            </w:r>
            <w:r>
              <w:rPr>
                <w:noProof/>
              </w:rPr>
              <w:t xml:space="preserve"> </w:t>
            </w:r>
            <w:r>
              <w:rPr>
                <w:noProof/>
                <w:sz w:val="20"/>
              </w:rPr>
              <w:t>.eu-aluetunnus perustettiin maantieteellisenä aluetunnuksena (ccTLD) eikä yleisenä ylätason verkkotunnuksena (gTLD). .eu-aluetunnusta koskeva julkinen päävastuu kuuluu Euroopan unionille.</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b/>
                <w:noProof/>
                <w:sz w:val="22"/>
                <w:szCs w:val="22"/>
              </w:rPr>
            </w:pPr>
            <w:r>
              <w:rPr>
                <w:b/>
                <w:noProof/>
                <w:sz w:val="22"/>
              </w:rPr>
              <w:t>B. Ratkaisut</w:t>
            </w:r>
          </w:p>
        </w:tc>
      </w:tr>
      <w:tr>
        <w:tc>
          <w:tcPr>
            <w:tcW w:w="10188" w:type="dxa"/>
            <w:tcBorders>
              <w:bottom w:val="single" w:sz="4" w:space="0" w:color="auto"/>
            </w:tcBorders>
            <w:shd w:val="clear" w:color="auto" w:fill="E6E6E6"/>
          </w:tcPr>
          <w:p>
            <w:pPr>
              <w:spacing w:before="60"/>
              <w:jc w:val="both"/>
              <w:rPr>
                <w:noProof/>
                <w:sz w:val="20"/>
                <w:szCs w:val="20"/>
              </w:rPr>
            </w:pPr>
            <w:r>
              <w:rPr>
                <w:b/>
                <w:noProof/>
                <w:sz w:val="20"/>
              </w:rPr>
              <w:t>Mitä lainsäädännöllisiä ja muita toimenpidevaihtoehtoja on harkittu? Onko jokin vaihtoehto arvioitu parhaaksi? Miksi?</w:t>
            </w:r>
            <w:r>
              <w:rPr>
                <w:noProof/>
                <w:sz w:val="20"/>
              </w:rPr>
              <w:t xml:space="preserve"> </w:t>
            </w:r>
          </w:p>
        </w:tc>
      </w:tr>
      <w:tr>
        <w:tc>
          <w:tcPr>
            <w:tcW w:w="10188" w:type="dxa"/>
            <w:tcBorders>
              <w:bottom w:val="single" w:sz="4" w:space="0" w:color="auto"/>
            </w:tcBorders>
            <w:shd w:val="clear" w:color="auto" w:fill="auto"/>
          </w:tcPr>
          <w:p>
            <w:pPr>
              <w:jc w:val="both"/>
              <w:rPr>
                <w:noProof/>
                <w:sz w:val="20"/>
                <w:szCs w:val="20"/>
              </w:rPr>
            </w:pPr>
            <w:r>
              <w:rPr>
                <w:noProof/>
                <w:sz w:val="20"/>
              </w:rPr>
              <w:t>Vaikutustenarvioinnissa tarkastellaan toimintavaihtoehtoja, jotka on pääasiassa, muttei yksinomaan, johdettu vanhentuneeseen ja jäykkään lainsäädäntöön sekä hallintomekanismeihin liittyvistä ongelmatekijöistä. Kaksi erillistä monialaista kysymystä, joilla pyritään vastaamaan markkinoiden nopeista muutoksista aiheutuviin ongelmiin, otetaan huomioon kaikissa vaihtoehdoissa.</w:t>
            </w:r>
          </w:p>
          <w:p>
            <w:pPr>
              <w:jc w:val="both"/>
              <w:rPr>
                <w:noProof/>
                <w:sz w:val="20"/>
                <w:szCs w:val="20"/>
              </w:rPr>
            </w:pPr>
          </w:p>
          <w:p>
            <w:pPr>
              <w:jc w:val="both"/>
              <w:rPr>
                <w:noProof/>
                <w:sz w:val="20"/>
                <w:szCs w:val="20"/>
              </w:rPr>
            </w:pPr>
            <w:r>
              <w:rPr>
                <w:noProof/>
                <w:sz w:val="20"/>
              </w:rPr>
              <w:t>VAIHTOEHTO 0: PERUSSKENAARIO: Säilytetään nykyinen .eu-sääntelykehys.</w:t>
            </w:r>
          </w:p>
          <w:p>
            <w:pPr>
              <w:jc w:val="both"/>
              <w:rPr>
                <w:noProof/>
                <w:sz w:val="20"/>
                <w:szCs w:val="20"/>
              </w:rPr>
            </w:pPr>
            <w:r>
              <w:rPr>
                <w:noProof/>
                <w:sz w:val="20"/>
              </w:rPr>
              <w:t xml:space="preserve">VAIHTOEHTO 1: KAUPALLISTAMINEN: Sääntelykehystä yksinkertaistetaan ja rekisterin toiminta ja hallinto ulkoistetaan ulkopuoliselle voittoa tavoittelevalle palveluntarjoajalle. </w:t>
            </w:r>
          </w:p>
          <w:p>
            <w:pPr>
              <w:jc w:val="both"/>
              <w:rPr>
                <w:noProof/>
                <w:sz w:val="20"/>
                <w:szCs w:val="20"/>
              </w:rPr>
            </w:pPr>
            <w:r>
              <w:rPr>
                <w:noProof/>
                <w:sz w:val="20"/>
              </w:rPr>
              <w:t xml:space="preserve">VAIHTOEHTO 2: LAINSÄÄDÄNTÖKEHYKSEN UUDENAIKAISTAMINEN: Korvataan nykyinen lainsäädäntökehys yhdellä periaatelähtöisellä säädöksellä.  .eu-aluetunnuksen sopimuspohjainen ulkoinen hallintojärjestelmä säilytettäisiin. </w:t>
            </w:r>
          </w:p>
          <w:p>
            <w:pPr>
              <w:jc w:val="both"/>
              <w:rPr>
                <w:noProof/>
                <w:sz w:val="20"/>
                <w:szCs w:val="20"/>
              </w:rPr>
            </w:pPr>
            <w:r>
              <w:rPr>
                <w:noProof/>
                <w:sz w:val="20"/>
              </w:rPr>
              <w:t>VAIHTOEHTO 3: ERILLINEN HALLINTO: Yhdistetään vaihtoehtoon 2 sidosryhmien yhteisen elimen perustaminen. Elimellä olisi neuvoa-antava asema ja se olisi riippumaton .eu-rekisteristä.</w:t>
            </w:r>
          </w:p>
          <w:p>
            <w:pPr>
              <w:jc w:val="both"/>
              <w:rPr>
                <w:noProof/>
                <w:sz w:val="20"/>
                <w:szCs w:val="20"/>
              </w:rPr>
            </w:pPr>
            <w:r>
              <w:rPr>
                <w:noProof/>
                <w:sz w:val="20"/>
              </w:rPr>
              <w:t>VAIHTOEHTO 4: INSTITUTIONALISOINTI: Rekisterin hallinnosta ja toiminnasta vastaa Euroopan komission yksikkö (a) tai unionin virasto (b1: EUIPO; b2: ENISA).</w:t>
            </w:r>
          </w:p>
          <w:p>
            <w:pPr>
              <w:jc w:val="both"/>
              <w:rPr>
                <w:noProof/>
                <w:sz w:val="20"/>
                <w:szCs w:val="20"/>
              </w:rPr>
            </w:pPr>
          </w:p>
          <w:p>
            <w:pPr>
              <w:jc w:val="both"/>
              <w:rPr>
                <w:noProof/>
                <w:sz w:val="20"/>
                <w:szCs w:val="20"/>
              </w:rPr>
            </w:pPr>
            <w:r>
              <w:rPr>
                <w:noProof/>
                <w:sz w:val="20"/>
              </w:rPr>
              <w:t>Vaihtoehto 1, vaihtoehto 4(a) ja vaihtoehto 4(b2) hylättiin aikaisessa vaiheessa, koska niillä ei saavuteta toiminnan tavoitteita.</w:t>
            </w:r>
          </w:p>
          <w:p>
            <w:pPr>
              <w:jc w:val="both"/>
              <w:rPr>
                <w:noProof/>
                <w:sz w:val="20"/>
                <w:szCs w:val="20"/>
              </w:rPr>
            </w:pPr>
          </w:p>
          <w:p>
            <w:pPr>
              <w:jc w:val="both"/>
              <w:rPr>
                <w:noProof/>
                <w:sz w:val="20"/>
                <w:szCs w:val="20"/>
              </w:rPr>
            </w:pPr>
            <w:r>
              <w:rPr>
                <w:noProof/>
                <w:sz w:val="20"/>
              </w:rPr>
              <w:lastRenderedPageBreak/>
              <w:t>Kahden erikseen käsitellyn monialaisen ongelman osalta vaikutustenarvioinnissa analysoidaan mahdollisuutta, että .eu</w:t>
            </w:r>
            <w:r>
              <w:rPr>
                <w:noProof/>
                <w:sz w:val="20"/>
              </w:rPr>
              <w:noBreakHyphen/>
              <w:t>rekisteri tarjoaa verkkotunnusten rekisteröijille suoraa rekisteröintiä markkinaolosuhteiden muutokset huomioon ottaen, sekä mahdollisia muutoksia .eu-aluetunnuksen saamisen kelpoisuusedellytyksiin.</w:t>
            </w:r>
          </w:p>
          <w:p>
            <w:pPr>
              <w:jc w:val="both"/>
              <w:rPr>
                <w:noProof/>
                <w:sz w:val="20"/>
                <w:szCs w:val="20"/>
              </w:rPr>
            </w:pPr>
          </w:p>
          <w:p>
            <w:pPr>
              <w:jc w:val="both"/>
              <w:rPr>
                <w:noProof/>
                <w:sz w:val="20"/>
                <w:szCs w:val="20"/>
              </w:rPr>
            </w:pPr>
            <w:r>
              <w:rPr>
                <w:noProof/>
                <w:sz w:val="20"/>
              </w:rPr>
              <w:t>Parhaaksi arvioitu vaihtoehto: VAIHTOEHTO 3, johon liittyy suoraa rekisteröitymistä koskevien tiukkojen vaatimusten poistaminen sekä kansalaisuusvaatimus luonnollisille henkilöille ja kotipaikkavaatimus organisaatioille ja yrityksille.</w:t>
            </w:r>
          </w:p>
        </w:tc>
      </w:tr>
      <w:tr>
        <w:tc>
          <w:tcPr>
            <w:tcW w:w="10188" w:type="dxa"/>
            <w:shd w:val="clear" w:color="auto" w:fill="CCCCCC"/>
          </w:tcPr>
          <w:p>
            <w:pPr>
              <w:spacing w:before="60"/>
              <w:jc w:val="both"/>
              <w:rPr>
                <w:noProof/>
                <w:sz w:val="20"/>
                <w:szCs w:val="20"/>
              </w:rPr>
            </w:pPr>
            <w:r>
              <w:rPr>
                <w:b/>
                <w:noProof/>
                <w:sz w:val="20"/>
              </w:rPr>
              <w:lastRenderedPageBreak/>
              <w:t>Mitkä toimijat kannattavat mitäkin vaihtoehtoa?</w:t>
            </w:r>
            <w:r>
              <w:rPr>
                <w:noProof/>
                <w:sz w:val="20"/>
              </w:rPr>
              <w:t xml:space="preserve"> </w:t>
            </w:r>
          </w:p>
        </w:tc>
      </w:tr>
      <w:tr>
        <w:tc>
          <w:tcPr>
            <w:tcW w:w="10188" w:type="dxa"/>
            <w:shd w:val="clear" w:color="auto" w:fill="auto"/>
          </w:tcPr>
          <w:p>
            <w:pPr>
              <w:jc w:val="both"/>
              <w:rPr>
                <w:noProof/>
                <w:sz w:val="20"/>
                <w:szCs w:val="20"/>
              </w:rPr>
            </w:pPr>
            <w:r>
              <w:rPr>
                <w:noProof/>
                <w:sz w:val="20"/>
              </w:rPr>
              <w:t>Suuri enemmistö kuulemiseen osallistuneista sidosryhmistä suhtautuu myönteisesti parhaana pidettyyn vaihtoehtoon, koska ne pitävät hyvänä lainsäädännön yksinkertaistamista ja nykyisten kelpoisuusvaatimusten lievää höllentämistä. Hallintomallin osalta mielipiteet vaihtelivat enemmän.</w:t>
            </w:r>
          </w:p>
        </w:tc>
      </w:tr>
      <w:tr>
        <w:tc>
          <w:tcPr>
            <w:tcW w:w="10188" w:type="dxa"/>
            <w:tcBorders>
              <w:bottom w:val="single" w:sz="4" w:space="0" w:color="auto"/>
            </w:tcBorders>
            <w:shd w:val="clear" w:color="auto" w:fill="CCCCCC"/>
          </w:tcPr>
          <w:p>
            <w:pPr>
              <w:spacing w:before="60" w:after="60"/>
              <w:jc w:val="center"/>
              <w:rPr>
                <w:b/>
                <w:noProof/>
                <w:sz w:val="22"/>
                <w:szCs w:val="22"/>
              </w:rPr>
            </w:pPr>
            <w:r>
              <w:rPr>
                <w:b/>
                <w:noProof/>
                <w:sz w:val="22"/>
              </w:rPr>
              <w:t>C. Parhaaksi arvioidun vaihtoehdon vaikutukset</w:t>
            </w:r>
          </w:p>
        </w:tc>
      </w:tr>
      <w:tr>
        <w:tc>
          <w:tcPr>
            <w:tcW w:w="10188" w:type="dxa"/>
            <w:tcBorders>
              <w:bottom w:val="single" w:sz="4" w:space="0" w:color="auto"/>
            </w:tcBorders>
            <w:shd w:val="clear" w:color="auto" w:fill="E6E6E6"/>
          </w:tcPr>
          <w:p>
            <w:pPr>
              <w:spacing w:before="60" w:after="60"/>
              <w:jc w:val="both"/>
              <w:rPr>
                <w:noProof/>
                <w:sz w:val="20"/>
                <w:szCs w:val="20"/>
              </w:rPr>
            </w:pPr>
            <w:r>
              <w:rPr>
                <w:b/>
                <w:noProof/>
                <w:sz w:val="20"/>
              </w:rPr>
              <w:t>Mitkä ovat parhaaksi arvioidun vaihtoehdon hyödyt (jos parhaaksi arvioitua vaihtoehtoa ei ole, päävaihtoehtojen hyödyt)?</w:t>
            </w:r>
            <w:r>
              <w:rPr>
                <w:noProof/>
                <w:sz w:val="20"/>
              </w:rPr>
              <w:t xml:space="preserve"> </w:t>
            </w:r>
          </w:p>
        </w:tc>
      </w:tr>
      <w:tr>
        <w:tc>
          <w:tcPr>
            <w:tcW w:w="10188" w:type="dxa"/>
            <w:tcBorders>
              <w:bottom w:val="single" w:sz="4" w:space="0" w:color="auto"/>
            </w:tcBorders>
            <w:shd w:val="clear" w:color="auto" w:fill="auto"/>
          </w:tcPr>
          <w:p>
            <w:pPr>
              <w:jc w:val="both"/>
              <w:rPr>
                <w:noProof/>
                <w:sz w:val="20"/>
                <w:szCs w:val="20"/>
              </w:rPr>
            </w:pPr>
            <w:r>
              <w:rPr>
                <w:noProof/>
                <w:sz w:val="20"/>
              </w:rPr>
              <w:t>Parhaana pidetty vaihtoehto loisi virtaviivaisemman, periaatelähtöisen lainsäädäntökehyksen. Tämä mahdollistaisi .eu</w:t>
            </w:r>
            <w:r>
              <w:rPr>
                <w:noProof/>
                <w:sz w:val="20"/>
              </w:rPr>
              <w:noBreakHyphen/>
              <w:t>aluetunnuksen joustavan mukauttamisen nimipalvelujärjestelmän nopeasti muuttuviin teknisiin parannuksiin, myös turvallisuustekijöiden osalta. Loppukäyttäjät voisivat nauttia teknisten parannusten hyödyistä eivätkä joutuisi heikompaan asemaan odottaessaan asetusten muuttamista. Parhaana pidetty vaihtoehto parantaisi myös .eu-aluetunnuksen toimintaa ja edistäisi innovointia .eu-ekosysteemissä sekä rekisterin tasolla että rekisterinpitäjien ja verkkotunnuksia rekisteröivien osapuolten välisillä tarjontaketjun loppupään markkinoilla ja tarjoaisi näin paremman tuotteen Euroopan kansalaisten ja yritysten hyödyksi.</w:t>
            </w:r>
          </w:p>
          <w:p>
            <w:pPr>
              <w:jc w:val="both"/>
              <w:rPr>
                <w:noProof/>
                <w:sz w:val="20"/>
                <w:szCs w:val="20"/>
              </w:rPr>
            </w:pPr>
            <w:r>
              <w:rPr>
                <w:noProof/>
                <w:sz w:val="20"/>
              </w:rPr>
              <w:t>.eu-aluetunnus olisi houkuttelevampi ylätason verkkotunnusten markkinoilla, mikä lisäisi rekisterinpitäjien välistä kilpailua. Tämän puolestaan odotetaan a) mahdollisesti laskevan loppukäyttäjiltä perittäviä hintoja, b) varmistavan .eu</w:t>
            </w:r>
            <w:r>
              <w:rPr>
                <w:noProof/>
                <w:sz w:val="20"/>
              </w:rPr>
              <w:noBreakHyphen/>
              <w:t>verkkotunnuksen ja sen hyötyjen laajemman saatavuuden EU:n yhteiskunnalle, c) lisäävän rekisteröintejä ja auttavan välttämään skenaarion, jossa uudistamisaste putoaa niin alhaiseksi, että se uhkaa aluetunnuksen taloudellista kestävyyttä.</w:t>
            </w:r>
          </w:p>
          <w:p>
            <w:pPr>
              <w:jc w:val="both"/>
              <w:rPr>
                <w:noProof/>
                <w:sz w:val="20"/>
                <w:szCs w:val="20"/>
              </w:rPr>
            </w:pPr>
            <w:r>
              <w:rPr>
                <w:noProof/>
                <w:sz w:val="20"/>
              </w:rPr>
              <w:t>Tähän vaihtoehtoon sisältyy hallintorakenteen muutos, kun erillinen elin antaa neuvoja .eu-aluetunnuksen toimintaan ja rekisterin valvontaan liittyvistä strategisista päätöksistä. Nämä muutokset luovat vahvemman ja laajemman pohjan .eu</w:t>
            </w:r>
            <w:r>
              <w:rPr>
                <w:noProof/>
                <w:sz w:val="20"/>
              </w:rPr>
              <w:noBreakHyphen/>
              <w:t>rekisterin hyvälle hallinnolle, ja niiden odotetaan tukevan suurempaa läpinäkyvyyttä ja vastuuvelvollisuutta ja lieventävän tehokkaasti mahdollista huonon hallinnon riskiä .eu-aluetunnuksen toiminnassa.</w:t>
            </w:r>
          </w:p>
          <w:p>
            <w:pPr>
              <w:jc w:val="both"/>
              <w:rPr>
                <w:noProof/>
                <w:sz w:val="20"/>
                <w:szCs w:val="20"/>
              </w:rPr>
            </w:pPr>
            <w:r>
              <w:rPr>
                <w:noProof/>
                <w:sz w:val="20"/>
              </w:rPr>
              <w:t>Lisäksi kansalaisuusvaatimuksen käyttöönotto antaa EU:n ulkopuolisissa maissa asuville EU:n kansalaisille mahdollisuuden hyötyä .eu-aluetunnuksen tuomista eduista, kun taas suoraa rekisteröitymistä koskevien tiukkojen vaatimusten poistaminen edistää .eu-aluetunnuksen tunnetuksi tekemistä esimerkiksi muissa kuin latinalaisissa kirjoitusjärjestelmissä.</w:t>
            </w:r>
          </w:p>
          <w:p>
            <w:pPr>
              <w:jc w:val="both"/>
              <w:rPr>
                <w:i/>
                <w:noProof/>
                <w:sz w:val="20"/>
                <w:szCs w:val="20"/>
              </w:rPr>
            </w:pP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noProof/>
                <w:sz w:val="20"/>
                <w:szCs w:val="20"/>
              </w:rPr>
            </w:pPr>
            <w:r>
              <w:rPr>
                <w:b/>
                <w:noProof/>
                <w:sz w:val="20"/>
              </w:rPr>
              <w:t>Mitkä ovat parhaaksi arvioidun vaihtoehdon kustannukset (jos parhaaksi arvioitua vaihtoehtoa ei ole, päävaihtoehtojen kustannukset)?</w:t>
            </w:r>
            <w:r>
              <w:rPr>
                <w:noProof/>
                <w:sz w:val="20"/>
              </w:rPr>
              <w:t xml:space="preserve"> </w:t>
            </w:r>
          </w:p>
        </w:tc>
      </w:tr>
      <w:tr>
        <w:tc>
          <w:tcPr>
            <w:tcW w:w="10188" w:type="dxa"/>
            <w:tcBorders>
              <w:bottom w:val="single" w:sz="4" w:space="0" w:color="auto"/>
            </w:tcBorders>
            <w:shd w:val="clear" w:color="auto" w:fill="auto"/>
          </w:tcPr>
          <w:p>
            <w:pPr>
              <w:jc w:val="both"/>
              <w:rPr>
                <w:noProof/>
                <w:sz w:val="20"/>
                <w:szCs w:val="20"/>
              </w:rPr>
            </w:pPr>
            <w:r>
              <w:rPr>
                <w:noProof/>
                <w:sz w:val="20"/>
              </w:rPr>
              <w:t xml:space="preserve">Sääntöjen noudattamisesta rekisterille koituvien kustannusten odotetaan pienenevän parhaana pidetyssä vaihtoehdossa. Vaikka lainsäädäntökehys on yksinkertaisempi, .eu-aluetunnus edellyttää edelleen kunnollista organisointia, hallintoa ja hallinnointia. Jotkin rekisterin hallintokustannukset kuitenkin poistuisivat. Hallintokustannukset on nykyisin budjetoitu yleiskustannuksiin, ja niiden suuruudeksi arvioidaan 296 000 euroa vuonna 2018. </w:t>
            </w:r>
          </w:p>
          <w:p>
            <w:pPr>
              <w:jc w:val="both"/>
              <w:rPr>
                <w:noProof/>
                <w:sz w:val="20"/>
                <w:szCs w:val="20"/>
              </w:rPr>
            </w:pPr>
          </w:p>
          <w:p>
            <w:pPr>
              <w:jc w:val="both"/>
              <w:rPr>
                <w:noProof/>
                <w:sz w:val="20"/>
                <w:szCs w:val="20"/>
              </w:rPr>
            </w:pPr>
            <w:r>
              <w:rPr>
                <w:noProof/>
                <w:sz w:val="20"/>
              </w:rPr>
              <w:t>Euroopan komission osalta .eu-aluetunnuksen valvontaan liittyvä työ vähenee. Tähän vaikuttavat a) perustettu uusi elin, jonka odotetaan huolehtivan joistain komission nykyisin toteuttamista tehtävistä, ja b) kevyempi ja tulevat tarpeet paremmin huomioiva lainsäädäntökehys, joka voidaan mukauttaa markkinoiden muutoksiin ilman lainsäädäntömenettelyillä tehtäviä kalliita muutoksia.</w:t>
            </w:r>
          </w:p>
          <w:p>
            <w:pPr>
              <w:jc w:val="both"/>
              <w:rPr>
                <w:noProof/>
                <w:sz w:val="20"/>
                <w:szCs w:val="20"/>
              </w:rPr>
            </w:pPr>
            <w:r>
              <w:rPr>
                <w:noProof/>
                <w:sz w:val="20"/>
              </w:rPr>
              <w:t>Sidosryhmien yhteinen elin tarvitsee riittävät resurssit. Sen rahoituksesta vastaa komissio.</w:t>
            </w:r>
          </w:p>
          <w:p>
            <w:pPr>
              <w:jc w:val="both"/>
              <w:rPr>
                <w:noProof/>
                <w:sz w:val="20"/>
                <w:szCs w:val="20"/>
              </w:rPr>
            </w:pPr>
          </w:p>
          <w:p>
            <w:pPr>
              <w:jc w:val="both"/>
              <w:rPr>
                <w:i/>
                <w:noProof/>
                <w:sz w:val="20"/>
                <w:szCs w:val="20"/>
              </w:rPr>
            </w:pPr>
            <w:r>
              <w:rPr>
                <w:noProof/>
                <w:sz w:val="20"/>
              </w:rPr>
              <w:t>Loppukäyttäjiin ja rekisterinpitäjiin ei odoteta kohdistuvan vaikutuksia (niiden .eu-aluetunnuksesta maksaman hinnan suhteen).</w:t>
            </w:r>
          </w:p>
        </w:tc>
      </w:tr>
      <w:tr>
        <w:tc>
          <w:tcPr>
            <w:tcW w:w="10188" w:type="dxa"/>
            <w:tcBorders>
              <w:bottom w:val="single" w:sz="4" w:space="0" w:color="auto"/>
            </w:tcBorders>
            <w:shd w:val="clear" w:color="auto" w:fill="E6E6E6"/>
          </w:tcPr>
          <w:p>
            <w:pPr>
              <w:spacing w:before="60" w:after="60"/>
              <w:jc w:val="both"/>
              <w:rPr>
                <w:noProof/>
                <w:sz w:val="20"/>
                <w:szCs w:val="20"/>
              </w:rPr>
            </w:pPr>
            <w:r>
              <w:rPr>
                <w:b/>
                <w:noProof/>
                <w:sz w:val="20"/>
              </w:rPr>
              <w:t>Mitkä ovat vaikutukset yrityksiin, mukaan lukien pk- ja mikroyritykset?</w:t>
            </w:r>
          </w:p>
        </w:tc>
      </w:tr>
      <w:tr>
        <w:tc>
          <w:tcPr>
            <w:tcW w:w="10188" w:type="dxa"/>
            <w:tcBorders>
              <w:bottom w:val="single" w:sz="4" w:space="0" w:color="auto"/>
            </w:tcBorders>
            <w:shd w:val="clear" w:color="auto" w:fill="auto"/>
          </w:tcPr>
          <w:p>
            <w:pPr>
              <w:jc w:val="both"/>
              <w:rPr>
                <w:noProof/>
                <w:sz w:val="20"/>
                <w:szCs w:val="20"/>
              </w:rPr>
            </w:pPr>
            <w:r>
              <w:rPr>
                <w:noProof/>
                <w:sz w:val="20"/>
              </w:rPr>
              <w:t>Parhaana pidetyllä vaihtoehdolla olisi myönteinen vaikutus eurooppalaisiin yrityksiin, myös pk-yrityksiin ja mikroyrityksiin, sillä se lisäisi tuoteinnovointia, alentaisi hintoja ja kasvattaisi .eu-aluetunnuksen näkyvyyttä ja saatavuutta.</w:t>
            </w:r>
          </w:p>
        </w:tc>
      </w:tr>
      <w:tr>
        <w:tc>
          <w:tcPr>
            <w:tcW w:w="10188" w:type="dxa"/>
            <w:tcBorders>
              <w:bottom w:val="single" w:sz="4" w:space="0" w:color="auto"/>
            </w:tcBorders>
            <w:shd w:val="clear" w:color="auto" w:fill="E6E6E6"/>
          </w:tcPr>
          <w:p>
            <w:pPr>
              <w:spacing w:before="60"/>
              <w:jc w:val="both"/>
              <w:rPr>
                <w:b/>
                <w:i/>
                <w:noProof/>
                <w:sz w:val="20"/>
                <w:szCs w:val="20"/>
              </w:rPr>
            </w:pPr>
            <w:r>
              <w:rPr>
                <w:b/>
                <w:noProof/>
                <w:sz w:val="20"/>
              </w:rPr>
              <w:t>Kohdistuuko jäsenvaltioiden</w:t>
            </w:r>
            <w:r>
              <w:rPr>
                <w:noProof/>
                <w:sz w:val="20"/>
              </w:rPr>
              <w:t xml:space="preserve"> </w:t>
            </w:r>
            <w:r>
              <w:rPr>
                <w:b/>
                <w:noProof/>
                <w:sz w:val="20"/>
              </w:rPr>
              <w:t>budjettiin ja julkishallintoon merkittäviä vaikutuksia?</w:t>
            </w:r>
            <w:r>
              <w:rPr>
                <w:noProof/>
                <w:sz w:val="20"/>
              </w:rPr>
              <w:t xml:space="preserve"> </w:t>
            </w:r>
          </w:p>
        </w:tc>
      </w:tr>
      <w:tr>
        <w:tc>
          <w:tcPr>
            <w:tcW w:w="10188" w:type="dxa"/>
            <w:shd w:val="clear" w:color="auto" w:fill="auto"/>
          </w:tcPr>
          <w:p>
            <w:pPr>
              <w:jc w:val="both"/>
              <w:rPr>
                <w:noProof/>
                <w:sz w:val="20"/>
                <w:szCs w:val="20"/>
              </w:rPr>
            </w:pPr>
            <w:r>
              <w:rPr>
                <w:noProof/>
                <w:sz w:val="20"/>
              </w:rPr>
              <w:t>Vaikutuksia ei odoteta.</w:t>
            </w:r>
          </w:p>
        </w:tc>
      </w:tr>
      <w:tr>
        <w:tc>
          <w:tcPr>
            <w:tcW w:w="10188" w:type="dxa"/>
            <w:tcBorders>
              <w:bottom w:val="single" w:sz="4" w:space="0" w:color="auto"/>
            </w:tcBorders>
            <w:shd w:val="clear" w:color="auto" w:fill="E6E6E6"/>
          </w:tcPr>
          <w:p>
            <w:pPr>
              <w:spacing w:before="60"/>
              <w:jc w:val="both"/>
              <w:rPr>
                <w:noProof/>
                <w:sz w:val="20"/>
                <w:szCs w:val="20"/>
              </w:rPr>
            </w:pPr>
            <w:r>
              <w:rPr>
                <w:b/>
                <w:noProof/>
                <w:sz w:val="20"/>
              </w:rPr>
              <w:t>Onko toimenpiteellä muita merkittäviä vaikutuksia?</w:t>
            </w:r>
            <w:r>
              <w:rPr>
                <w:noProof/>
                <w:sz w:val="20"/>
              </w:rPr>
              <w:t xml:space="preserve"> </w:t>
            </w:r>
          </w:p>
        </w:tc>
      </w:tr>
      <w:tr>
        <w:tc>
          <w:tcPr>
            <w:tcW w:w="10188" w:type="dxa"/>
            <w:tcBorders>
              <w:bottom w:val="single" w:sz="4" w:space="0" w:color="auto"/>
            </w:tcBorders>
            <w:shd w:val="clear" w:color="auto" w:fill="auto"/>
          </w:tcPr>
          <w:p>
            <w:pPr>
              <w:jc w:val="both"/>
              <w:rPr>
                <w:noProof/>
                <w:sz w:val="20"/>
                <w:szCs w:val="20"/>
              </w:rPr>
            </w:pPr>
            <w:r>
              <w:rPr>
                <w:noProof/>
                <w:sz w:val="20"/>
              </w:rPr>
              <w:t>Aloitteella voidaan odottaa olevan myönteinen vaikutus rekisteriin ja rekisterinpitäjien ja verkkotunnuksia rekisteröivien osapuolten, mukaan lukien yritykset ja kansalaiset, välisiin tarjontaketjun loppupään markkinoihin, koska se mahdollistaa suuremman joustavuuden ja innovoinnin, alentaa hintoja ja kasvattaa .eu-aluetunnuksen näkyvyyttä.</w:t>
            </w:r>
          </w:p>
        </w:tc>
      </w:tr>
      <w:tr>
        <w:tc>
          <w:tcPr>
            <w:tcW w:w="10188" w:type="dxa"/>
            <w:tcBorders>
              <w:bottom w:val="single" w:sz="4" w:space="0" w:color="auto"/>
            </w:tcBorders>
            <w:shd w:val="clear" w:color="auto" w:fill="C0C0C0"/>
          </w:tcPr>
          <w:p>
            <w:pPr>
              <w:spacing w:before="60" w:after="60"/>
              <w:jc w:val="center"/>
              <w:rPr>
                <w:b/>
                <w:noProof/>
                <w:sz w:val="22"/>
                <w:szCs w:val="22"/>
              </w:rPr>
            </w:pPr>
            <w:r>
              <w:rPr>
                <w:b/>
                <w:noProof/>
                <w:sz w:val="22"/>
              </w:rPr>
              <w:lastRenderedPageBreak/>
              <w:t>D. Seuranta</w:t>
            </w:r>
          </w:p>
        </w:tc>
      </w:tr>
      <w:tr>
        <w:tc>
          <w:tcPr>
            <w:tcW w:w="10188" w:type="dxa"/>
            <w:tcBorders>
              <w:bottom w:val="single" w:sz="4" w:space="0" w:color="auto"/>
            </w:tcBorders>
            <w:shd w:val="clear" w:color="auto" w:fill="E6E6E6"/>
          </w:tcPr>
          <w:p>
            <w:pPr>
              <w:spacing w:before="60"/>
              <w:jc w:val="both"/>
              <w:rPr>
                <w:noProof/>
                <w:sz w:val="20"/>
                <w:szCs w:val="20"/>
              </w:rPr>
            </w:pPr>
            <w:r>
              <w:rPr>
                <w:b/>
                <w:noProof/>
                <w:sz w:val="20"/>
              </w:rPr>
              <w:t>Milloin asiaa tarkastellaan uudelleen?</w:t>
            </w:r>
            <w:r>
              <w:rPr>
                <w:noProof/>
                <w:sz w:val="20"/>
              </w:rPr>
              <w:t xml:space="preserve"> </w:t>
            </w:r>
          </w:p>
        </w:tc>
      </w:tr>
      <w:tr>
        <w:trPr>
          <w:trHeight w:val="567"/>
        </w:trPr>
        <w:tc>
          <w:tcPr>
            <w:tcW w:w="10188" w:type="dxa"/>
            <w:tcBorders>
              <w:bottom w:val="single" w:sz="4" w:space="0" w:color="auto"/>
            </w:tcBorders>
            <w:shd w:val="clear" w:color="auto" w:fill="auto"/>
          </w:tcPr>
          <w:p>
            <w:pPr>
              <w:jc w:val="both"/>
              <w:rPr>
                <w:noProof/>
                <w:sz w:val="20"/>
                <w:szCs w:val="20"/>
              </w:rPr>
            </w:pPr>
            <w:r>
              <w:rPr>
                <w:noProof/>
                <w:sz w:val="20"/>
              </w:rPr>
              <w:t xml:space="preserve">Parhaana pidetyssä vaihtoehdossa uusi lainsäädäntökehys mahdollistaisi tarvittavan joustavuuden, jotta markkinoiden muutoksiin voidaan vastata ilman lainsäädännön uudelleentarkastelua. Se loisi siten tulevat tarpeet huomioon ottavan lainsäädäntökehyksen. </w:t>
            </w:r>
          </w:p>
          <w:p>
            <w:pPr>
              <w:jc w:val="both"/>
              <w:rPr>
                <w:noProof/>
                <w:sz w:val="20"/>
                <w:szCs w:val="20"/>
              </w:rPr>
            </w:pPr>
            <w:r>
              <w:rPr>
                <w:noProof/>
                <w:sz w:val="20"/>
              </w:rPr>
              <w:t>Komissio seuraa kuitenkin uuden lainsäädäntökehyksen soveltamista ja antaa Euroopan parlamentille ja neuvostolle raportin arviointinsa tuloksista viimeistään viiden vuoden kuluttua uuden kehyksen soveltamisen alkamispäivästä.</w:t>
            </w:r>
          </w:p>
        </w:tc>
      </w:tr>
    </w:tbl>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E9F"/>
    <w:multiLevelType w:val="hybridMultilevel"/>
    <w:tmpl w:val="98FA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E13144"/>
    <w:multiLevelType w:val="hybridMultilevel"/>
    <w:tmpl w:val="85D8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B108FE"/>
    <w:multiLevelType w:val="hybridMultilevel"/>
    <w:tmpl w:val="3F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5A7690"/>
    <w:multiLevelType w:val="hybridMultilevel"/>
    <w:tmpl w:val="8BCA5DB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Oheisasiakirja"/>
    <w:docVar w:name="LW_CORRIGENDUM" w:val="&lt;UNUSED&gt;"/>
    <w:docVar w:name="LW_COVERPAGE_EXISTS" w:val="True"/>
    <w:docVar w:name="LW_COVERPAGE_GUID" w:val="9D4BA407-BA03-4916-B593-CBA0F620159C"/>
    <w:docVar w:name="LW_COVERPAGE_TYPE" w:val="1"/>
    <w:docVar w:name="LW_CROSSREFERENCE" w:val="{COM(2018) 231 final}_x000b_{SEC(2018) 205 final}_x000b_{SWD(2018) 120 final}_x000b_{SWD(2018) 122 final}"/>
    <w:docVar w:name="LW_DocType" w:val="NORMAL"/>
    <w:docVar w:name="LW_EMISSION" w:val="27.4.2018"/>
    <w:docVar w:name="LW_EMISSION_ISODATE" w:val="2018-04-27"/>
    <w:docVar w:name="LW_EMISSION_LOCATION" w:val="BRX"/>
    <w:docVar w:name="LW_EMISSION_PREFIX" w:val="Bryssel "/>
    <w:docVar w:name="LW_EMISSION_SUFFIX" w:val=" "/>
    <w:docVar w:name="LW_ID_DOCTYPE_NONLW" w:val="CP-027"/>
    <w:docVar w:name="LW_LANGUE" w:val="FI"/>
    <w:docVar w:name="LW_LEVEL_OF_SENSITIVITY" w:val="Standard treatment"/>
    <w:docVar w:name="LW_NOM.INST" w:val="EUROOPAN KOMISSIO"/>
    <w:docVar w:name="LW_NOM.INST_JOINTDOC" w:val="&lt;EMPTY&gt;"/>
    <w:docVar w:name="LW_OBJETACTEPRINCIPAL.CP" w:val=".eu-aluetunnuksen toteuttamisesta ja toiminnasta ja asetuksen (EY) N:o 733/2002 ja komission asetuksen (EY) N:o 874/2004 kumoamisesta"/>
    <w:docVar w:name="LW_PART_NBR" w:val="1"/>
    <w:docVar w:name="LW_PART_NBR_TOTAL" w:val="1"/>
    <w:docVar w:name="LW_REF.INST.NEW" w:val="SWD"/>
    <w:docVar w:name="LW_REF.INST.NEW_ADOPTED" w:val="final"/>
    <w:docVar w:name="LW_REF.INST.NEW_TEXT" w:val="(2018) 1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KOMISSION YKSIKÖIDEN VALMISTELUASIAKIRJA_x000b__x000b_TIIVISTELMÄ VAIKUTUSTEN ARVIOINNISTA_x000b_"/>
    <w:docVar w:name="LW_TYPEACTEPRINCIPAL.CP" w:val="Ehdotus Euroopan parlamentin ja neuvoston asetukseks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i-F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aliases w:val="Bullet List Paragraph,List Paragraph1"/>
    <w:basedOn w:val="Normal"/>
    <w:link w:val="ListParagraphChar"/>
    <w:uiPriority w:val="34"/>
    <w:qFormat/>
    <w:pPr>
      <w:ind w:left="720"/>
      <w:contextualSpacing/>
    </w:p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ListParagraphChar">
    <w:name w:val="List Paragraph Char"/>
    <w:aliases w:val="Bullet List Paragraph Char,List Paragraph1 Char"/>
    <w:basedOn w:val="DefaultParagraphFont"/>
    <w:link w:val="ListParagraph"/>
    <w:uiPriority w:val="34"/>
    <w:locked/>
    <w:rPr>
      <w:rFonts w:ascii="Times New Roman" w:eastAsia="Times New Roman" w:hAnsi="Times New Roman" w:cs="Times New Roman"/>
      <w:sz w:val="24"/>
      <w:szCs w:val="24"/>
      <w:lang w:eastAsia="fi-FI"/>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fi-F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fi-F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eastAsia="fi-F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lang w:eastAsia="fi-FI"/>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i-F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aliases w:val="Bullet List Paragraph,List Paragraph1"/>
    <w:basedOn w:val="Normal"/>
    <w:link w:val="ListParagraphChar"/>
    <w:uiPriority w:val="34"/>
    <w:qFormat/>
    <w:pPr>
      <w:ind w:left="720"/>
      <w:contextualSpacing/>
    </w:p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ListParagraphChar">
    <w:name w:val="List Paragraph Char"/>
    <w:aliases w:val="Bullet List Paragraph Char,List Paragraph1 Char"/>
    <w:basedOn w:val="DefaultParagraphFont"/>
    <w:link w:val="ListParagraph"/>
    <w:uiPriority w:val="34"/>
    <w:locked/>
    <w:rPr>
      <w:rFonts w:ascii="Times New Roman" w:eastAsia="Times New Roman" w:hAnsi="Times New Roman" w:cs="Times New Roman"/>
      <w:sz w:val="24"/>
      <w:szCs w:val="24"/>
      <w:lang w:eastAsia="fi-FI"/>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fi-F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fi-F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eastAsia="fi-F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lang w:eastAsia="fi-FI"/>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AA4FBDDAD295414E98B22993176C4E1A" ma:contentTypeVersion="10" ma:contentTypeDescription="Create a new document." ma:contentTypeScope="" ma:versionID="b4c6f56afe8325edf9052427cf8c7a41">
  <xsd:schema xmlns:xsd="http://www.w3.org/2001/XMLSchema" xmlns:xs="http://www.w3.org/2001/XMLSchema" xmlns:p="http://schemas.microsoft.com/office/2006/metadata/properties" xmlns:ns3="9a935a51-0e77-440d-bc26-d7c34829a5dc" xmlns:ns4="866aabb8-7ec2-447a-a7ff-f911015037e7" targetNamespace="http://schemas.microsoft.com/office/2006/metadata/properties" ma:root="true" ma:fieldsID="13b476b75b2d89a463e0f7a7c6b9ac5a" ns3:_="" ns4:_="">
    <xsd:import namespace="9a935a51-0e77-440d-bc26-d7c34829a5dc"/>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3:Finaliz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35a51-0e77-440d-bc26-d7c34829a5d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Finalized" ma:index="14" nillable="true" ma:displayName="Status" ma:format="Dropdown" ma:internalName="Finalized">
      <xsd:simpleType>
        <xsd:restriction base="dms:Choice">
          <xsd:enumeration value="Open"/>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nalized xmlns="9a935a51-0e77-440d-bc26-d7c34829a5dc" xsi:nil="true"/>
    <EC_Collab_DocumentLanguage xmlns="9a935a51-0e77-440d-bc26-d7c34829a5dc">EN</EC_Collab_DocumentLanguage>
    <EC_Collab_Reference xmlns="9a935a51-0e77-440d-bc26-d7c34829a5dc" xsi:nil="true"/>
    <_dlc_DocId xmlns="866aabb8-7ec2-447a-a7ff-f911015037e7">UVNUSV5RWJH5-634333729-446</_dlc_DocId>
    <_dlc_DocIdUrl xmlns="866aabb8-7ec2-447a-a7ff-f911015037e7">
      <Url>https://myintracomm-collab.ec.europa.eu/dg/CONNECT/directorateE/UnitE3/_layouts/15/DocIdRedir.aspx?ID=UVNUSV5RWJH5-634333729-446</Url>
      <Description>UVNUSV5RWJH5-634333729-446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970C7-C0B9-4E8E-8AE2-BA3764901DCE}">
  <ds:schemaRefs>
    <ds:schemaRef ds:uri="http://schemas.microsoft.com/sharepoint/events"/>
  </ds:schemaRefs>
</ds:datastoreItem>
</file>

<file path=customXml/itemProps2.xml><?xml version="1.0" encoding="utf-8"?>
<ds:datastoreItem xmlns:ds="http://schemas.openxmlformats.org/officeDocument/2006/customXml" ds:itemID="{E3605FB9-DC4F-414C-993F-CC603CA46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35a51-0e77-440d-bc26-d7c34829a5dc"/>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6aabb8-7ec2-447a-a7ff-f911015037e7"/>
    <ds:schemaRef ds:uri="9a935a51-0e77-440d-bc26-d7c34829a5dc"/>
    <ds:schemaRef ds:uri="http://www.w3.org/XML/1998/namespace"/>
    <ds:schemaRef ds:uri="http://purl.org/dc/dcmitype/"/>
  </ds:schemaRefs>
</ds:datastoreItem>
</file>

<file path=customXml/itemProps4.xml><?xml version="1.0" encoding="utf-8"?>
<ds:datastoreItem xmlns:ds="http://schemas.openxmlformats.org/officeDocument/2006/customXml" ds:itemID="{4BCCE80E-734A-4297-8D0E-984F7E32D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988</Words>
  <Characters>9041</Characters>
  <Application>Microsoft Office Word</Application>
  <DocSecurity>0</DocSecurity>
  <Lines>122</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2018-01-16T15:37:00Z</cp:lastPrinted>
  <dcterms:created xsi:type="dcterms:W3CDTF">2018-04-06T15:20:00Z</dcterms:created>
  <dcterms:modified xsi:type="dcterms:W3CDTF">2018-05-18T09:56:00Z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Order">
    <vt:r8>400</vt:r8>
  </property>
  <property fmtid="{D5CDD505-2E9C-101B-9397-08002B2CF9AE}" pid="5" name="xd_Signature">
    <vt:bool>false</vt:bool>
  </property>
  <property fmtid="{D5CDD505-2E9C-101B-9397-08002B2CF9AE}" pid="6" name="xd_ProgID">
    <vt:lpwstr/>
  </property>
  <property fmtid="{D5CDD505-2E9C-101B-9397-08002B2CF9AE}" pid="7" name="_NewReviewCycle">
    <vt:lpwstr/>
  </property>
  <property fmtid="{D5CDD505-2E9C-101B-9397-08002B2CF9AE}" pid="8" name="ContentTypeId">
    <vt:lpwstr>0x010100258AA79CEB83498886A3A0868112325000AA4FBDDAD295414E98B22993176C4E1A</vt:lpwstr>
  </property>
  <property fmtid="{D5CDD505-2E9C-101B-9397-08002B2CF9AE}" pid="9" name="TemplateUrl">
    <vt:lpwstr/>
  </property>
  <property fmtid="{D5CDD505-2E9C-101B-9397-08002B2CF9AE}" pid="10" name="_dlc_DocIdItemGuid">
    <vt:lpwstr>59bab8ef-dd9b-4a0b-ba75-80df39780857</vt:lpwstr>
  </property>
  <property fmtid="{D5CDD505-2E9C-101B-9397-08002B2CF9AE}" pid="11" name="DocStatus">
    <vt:lpwstr>Green</vt:lpwstr>
  </property>
  <property fmtid="{D5CDD505-2E9C-101B-9397-08002B2CF9AE}" pid="12" name="Level of sensitivity">
    <vt:lpwstr>Standard treatment</vt:lpwstr>
  </property>
</Properties>
</file>