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1A5A1FB-4C06-4B2E-BE9D-057C0D5AECAC" style="width:450.75pt;height:422.2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noProof/>
                <w:sz w:val="22"/>
              </w:rPr>
              <w:lastRenderedPageBreak/>
              <w:t>Skeda tas-Sommarju Eżekuttiv</w:t>
            </w:r>
          </w:p>
        </w:tc>
      </w:tr>
      <w:tr>
        <w:trPr>
          <w:trHeight w:val="88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</w:rPr>
              <w:t>Valutazzjoni tal-impatt dwar ir-Reviżjoni REFIT tar-Regolament KE 733/2002 li jistabbilixxi d-dominju tal-ogħla livell (TLD) .eu u r-Regolament KE 874/2004 li jippreskrivi r-regoli tal-politika pubblika dwar l-implimentazzjoni u l-funzjonijiet tat-TLD .eu.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A. 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Għaliex? X’inhi l-problema li qed tiġi indirizzata?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Is-suq u l-kuntest politiku tas-sistema tal-ismijiet tad-dominju (DNS) evolvew minn meta daħlu fis-seħħ ir-Regolamenti ta’ .eu. Filwaqt li l-qafas ġuridiku kien suġġett għal emendi żgħar, ir-Regolamenti ta’ .eu qatt ma saritilhom reviżjoni sħiħa biex ikun żgurat li qed jaqdu l-għan maħsub tagħhom mingħajr spejjeż amministrattivi u ta’ implimentazzjoni kkumplikati u li għadhom iwasslu l-benefiċċji maħsuba fl-appoġġ għall-attivitajiet transfruntieri online u l-promozzjoni tal-identità Ewropea online b’mod effettiv. L-evalwazzjoni turi li l-qafas regolatorju attwali ma jappoġġax biżżejjed l-istabbiltà u s-sostenibbiltà tat-TLD .eu u ma jisfruttax bis-sħiħ il-potenzjal fis-Suq Uniku Diġitali tal-UE. Ġew identifikati dawn il-problemi relatati bejniethom: leġiżlazzjoni skaduta u riġida; nuqqasijiet fil-governanza u r-responsabbiltà; bidliet mgħaġġla fis-suq.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X’mistenni tikseb din l-inizjattiva?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Din l-inizjattiva mistennija tiżgura l-istabbiltà u s-sostenibbiltà tat-TLD .eu, biex tippermetti aħjar il-kisba tal-għanijiet tat-tħeġġiġ tal-attivitajiet transfruntieri fl-Ewropa u t-tiswir ta’ identità online Ewropea. L-għanijiet ta’ politika speċifiċi (SO) huma dawn: (SO1) Jitneħħew ir-rekwiżiti legali/amministrattivi skaduti; (SO2) Ikun żgurat li r-regoli huma validi għall-ġejjieni u jippermettu li d-dominju .eu jadatta għall-bidliet mgħaġġla fis-suq tat-TLD u għax-xenarju diġitali dinamiku, filwaqt li jippermettu l-użu tat-TLD .eu bħala mezz li jippromwovi l-prijoritajiet tal-Unjoni fid-dinja online; (SO3) Tkun żgurata struttura ta’ governanza li tirrifletti l-aqwa prattiki tekniċi u ta’ governanza u sservi l-interessi tal-pubbliku tal-UE; (SO4) Tiġi promossa l-attraenza ta’ .eu.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X’inhu l-valur miżjud ta’ azzjoni fil-livell tal-UE?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Min-natura tiegħu, it-TLD .eu għandu dimensjoni transfruntiera. Hu t-TLD tal-Unjoni Ewropea u simbolu tal-identità Ewropea online. L-eżistenza ta’ isem speċifiku tad-dominju għall-Unjoni Ewropea b’denominazzjoni komuni li tkun ċara u identifikabbli ħafna hi pass importanti u siewi biex tissawwar l-identità online Ewropea.</w:t>
            </w:r>
          </w:p>
          <w:p>
            <w:pPr>
              <w:spacing w:before="6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L-azzjoni regolatorja meħuda fil-livell tal-Istati Membri ma tkunx tista’ tikseb l-għanijiet fundamentali li fuqhom jistrieħu l-ħolqien u l-immaniġġar ta’ spazju tal-isem ta’ fiduċja u innovattiv għall-UE.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It-TLD .eu twaqqaf bħala TLD tal-kodiċi tal-pajjiż (ccTLD) aktar milli bħala TLD ġeneriku (.com, .berlin). Ir-responsabbiltà tal-politika pubblika għat-TLD .eu hi f’idejn l-Unjoni Ewropea.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X’alternattivi ta’ politika leġiżlattivi u mhux leġiżlattivi ġew ikkunsidrati? Hemm xi alternattiva preferuta jew le? Għaliex?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Il-valutazzjoni tal-impatt (IA) tesplora serje ta’ alternattivi ta’ politika li b’mod ġenerali, iżda mhux esklussivament, huma estrapolati minn kwistjonijiet problematiċi relatati ma’ “leġiżlazzjoni skaduta u riġida” u “mekkaniżmi ta’ governanza”. Qed jitqiesu żewġ kwistjonijiet trasversali b'mod orizzontali, li għandhom l-għan li jindirizzaw il-kwistjonijiet li joħorġu mill-“bidliet mgħaġġla fis-suq”.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ALTERNATTIVA 0: IX-XENARJU BAŻI: Jinżamm il-qafas regolatorju attwali għal .eu.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ALTERNATTIVA 1: IL-KUMMERĊJALIZZAZZJONI: Jiġi ssimplifikat il-qafas regolatorju u jiġu esternalizzati l-operat u l-immaniġġar tar-Reġistru lil fornitur tas-servizzi estern bi profitt. 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ALTERNATTIVA 2: L-IMMODERNIZZAR TAL-QAFAS ĠURIDIKU: Il-qafas ġuridiku attwali jinbidel bi strument ġuridiku wieħed ibbażat fuq il-prinċipji.  Tinżamm sistema esterna tal-immaniġġar għat-TLD .eu, ibbażata fuq kuntratt. 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ALTERNATTIVA 3: GOVERNANZA SEPARATA: Tgħaqqad l-alternattiva 2 mal-ħolqien ta’ korp li jinvolvi bosta partijiet konċernati li jkollu rwol konsultattiv. Dan il-korp ikun independenti mir-Reġistru .eu.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ALTERNATTIVA 4: ISTITUZZJONALIZZAZZJONI: L-immaniġġar u l-operat tar-Reġistru fi ħdan dipartiment tal-Kummissjoni jew aġenzija tal-UE (b1: l-EUIPO, b2: l-ENISA)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L-Alternattiva 1, l-Alternattiva 4(.a) u l-Alternattiva 4(b2) twarrbu fi stadju bikri għax ma jilħqux l-għanijiet ta’ politika.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Fir-rigward taż-żewġ kwistjonijiet trasversali indirizzati b’mod separat, il-valutazzjoni tal-impatt tanalizza kemm il-possibbiltà li r-Reġistru .eu joffri reġistrazzjoni diretta lir-reġistranti b’kont tal-bidliet fil-kundizzjonijiet tas-suq, kif ukoll bidliet possibbli lill-kriterji tal-eliġibbiltà biex jinkiseb TLD .eu.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L-alternattiva preferuta: L-ALTERNATTIVA 3, flimkien mat-tneħħija tar-rekwiżiti stretti fir-rigward tar-reġistrazzjoni diretta, kriterju taċ-ċittadinanza għall-persuni fiżiċi u kriterju tar-residenza għall-organizzazzjonijiet/kumpaniji.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Liema alternattiva u min jappoġġaha?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Il-maġġoranza vasta tal-partijiet konċernati li pparteċipaw fil-konsultazzjonijiet laqgħu l-alternattiva preferuta peress li jiffavorixxu s-simplifikazzjoni tal-qasam ġuridiku, filwaqt li l-kriterji tal-eliġibbiltà attwali jsiru inqas stretti. Il-fehmiet dwar il-mudell ta’ governanza kienu iktar varjati.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C. Impatti tal-alternattiva preferuta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X’inhuma l-benefiċċji tal-alternattiva preferuta (jekk hemm, inkella x’inhuma dawk ewlenin)?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Bl-alternattiva preferuta jinħoloq qafas ġuridika simplifikat, ibbażat fuq il-prinċipji. Dan għandu jipprovdi l-flessibbiltà meħtieġa biex it-TLD .eu jadatta għat-titjib tekniku mgħaġġel tad-DNS, inkluż f’termini ta’ karatteristiċi tas-sigurtà. L-utenti finali jkunu jistgħu jgawdu l-benefiċċji tat-titjib tekniku mingħajr ma jkunu żvantaġġati biż-żmien meħtieġ biex jiġu emendati r-Regolamenti. L-alternattiva preferuta ttejjeb ukoll il-funzjonament tat-TLD .eu u trawwem l-innovazzjoni fl-ekosistema .eu kemm fil-livell tar-Reġistru kif ukoll fis-swieq downstream tar-reġistraturi u tar-reġistranti, biex b’hekk tipprovdi prodott imtejjeb għall-benefiċċju taċ-ċittadini u n-negozji Ewropej.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It-TLD .eu jkun iktar attraenti għas-suq tat-TLD, u b’hekk iżid il-kompetizzjoni bejn ir-reġistraturi. Dan, min-naħa tiegħu, għandu jwassal biex a) potenzjalment inaqqas il-prezzijiet għall-utenti finali, b) jiżgura disponibbiltà akbar għad-dominju .eu u l-benefiċċji tiegħu għas-soċjetà tal-UE, c) iżid ir-reġistrazzjoni u jitbiegħed minn xenarju li fih ir-rati tat-tiġdid ikunu inqas mil-livelli limitu li jwasslu biex tiġi mhedda s-sostenibbiltà finanzjarja tal-isem tad-dominju.   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Din l-alternattiva tinvolvi bidla fl-istruttura tal-governanza, b’korp separat jagħti pariri dwar deċiżjonijiet strateġiċi fir-rigward tal-funzjonament tat-TLD .eu u s-sorveljanza fuq ir-reġistru. Dawn il-bidliet, hekk kif isaħħu u jwessgħu l-kontribut fil-governanza tajba tar-Reġistru .eu, mistennija jappoġġaw trasparenza u responsabbiltà akbar u effettivament inaqqsu r-riskji potenzjali ta’ amministrazzjoni ħażina tal-operat tat-TLD .eu.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Barra minn hekk, l-introduzzjoni ta’ kriterji taċ-ċittadinanza għandha tippermetti li ċ-ċittadini tal-UE li jgħixu f’pajjiżi terzi jibbenefikaw mill-vantaġġi tat-TLD .eu, filwaqt li jneħħu r-rekwiżiti stretti fir-rigward tar-reġistrazzjoni diretta u se jkunu ta’ benefiċċju f’termini ta’ promozzjoni aħjar tat-TLD .eu, pereżempju fi skritti li ma jkunux bil-Latin.</w:t>
            </w:r>
          </w:p>
        </w:tc>
      </w:tr>
    </w:tbl>
    <w:p>
      <w:pPr>
        <w:widowControl w:val="0"/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X’inhuma l-ispejjeż tal-alternattiva preferuta (jekk hemm, inkella x'inhuma dawk ewlenin)?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L-ispejjeż ta’ konformità għar-reġistru huma mistennija jonqsu bl-alternattiva preferuta. Madankollu, minkejja li l-qafas ġuridiku hu inqas ikkumplikat, xorta se jkun hemm il-ħtieġa li t-TLD .eu jkun organizzat, amministrat u mmaniġġat b’mod xieraq. Xorta waħda, xi spejjeż ta’ governanza għar-Reġistru se jitneħħew. Bħalissa l-ispejjeż ta’ governanza huma bbaġitjati taħt l-ispejjeż ġenerali u huma stmati € 296,000 għall-2018. 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Min-naħa tal-Kummissjoni Ewropea, ix-xogħol involut għas-sorveljanza tat-TLD .eu jitnaqqas permezz ta’ a) il-korp imwaqqaf ġdid li hu mistenni jkopri wħud mill-kompiti li l-Kummissjoni qed twettaq bħalissa, u b) qafas ġuridiku iktar ħafif u li jibqa' validu fil-ġejjieni li hu kapaċi jadatta għall-bidliet fis-suq mingħajr emendi li jqumu l-flus għall-proċeduri leġiżlattivi. Il-korp li jinvolvi bosta partijiet konċernati jrid jingħata r-riżorsi xierqa. Hu se jkun sostnut finanzjarjament mill-Kummissjoni.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</w:p>
          <w:p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L-utenti finali u r-reġistraturi mhumiex mistennija jiġu affettwati (f’termini tal-prezz li jħallsu għat-TLD .eu).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Kif se jintlaqtu n-negozji, l-SMEs u l-mikrointrapriżi?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L-alternattiva preferuta għandu jkollha impatt pożittiv fuq in-negozji, l-SMEs u l-mikrointrapriżi Ewropej għax se żżid l-innovazzjoni tal-prodott, se tnaqqas il-prezzijiet u se tipprovdi viżibbiltà u disponibbiltà aktar tat-TLD .eu.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Se jkun hemm impatti sinifikanti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0"/>
              </w:rPr>
              <w:t>fuq il-baġits u l-amministrazzjonijiet nazzjonali?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Mhu mistenni l-ebda impatt.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Se jkun hemm impatti sinifikanti oħra?</w:t>
            </w:r>
            <w:r>
              <w:rPr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L-inizjattiva mistenni jkollha impatt pożittiv fuq ir-Reġistru u fis-swieq downstream tar-reġistraturi u r-reġistranti, inkluż in-negozji u ċ-ċittadini, billi se twassal għal aktar flessibbiltà u innovazzjoni, se tnaqqas il-prezzijiet u se tipprovdi disponibbiltà akbar tat-TLD .eu.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</w:rPr>
              <w:t>Meta se tiġi rieżaminata l-politika?</w:t>
            </w:r>
          </w:p>
        </w:tc>
      </w:tr>
      <w:tr>
        <w:trPr>
          <w:trHeight w:val="567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Skont l-alternattiva preferuta, il-qafas ġuridiku l-ġdid se jippermetti l-flessibbiltà meħtieġa biex ikun jiflaħ għall-bidliet fis-suq mingħajr il-ħtieġa ta’ reviżjonijiet leġiżlattivi. B’hekk għandha toħloq qafas ġuridiku li jibqa’ validu fil-ġejjieni. </w:t>
            </w:r>
          </w:p>
          <w:p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Madankollu, il-Kummissjoni se tagħmel monitoraġġ tal-applikazzjoni tal-qafas ġuridiku l-ġdid u se tippreżenta rapport li jagħti r-riżultati tal-evalwazzjoni tagħha lill-Parlament Ewropew u lill-Kunsill sa mhux aktar minn ħames snin mid-data tal-applikazzjoni tal-qafas il-ġdid.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E9F"/>
    <w:multiLevelType w:val="hybridMultilevel"/>
    <w:tmpl w:val="98FA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3144"/>
    <w:multiLevelType w:val="hybridMultilevel"/>
    <w:tmpl w:val="85D8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108FE"/>
    <w:multiLevelType w:val="hybridMultilevel"/>
    <w:tmpl w:val="3F9E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A7690"/>
    <w:multiLevelType w:val="hybridMultilevel"/>
    <w:tmpl w:val="8BCA5D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revisionView w:markup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01A5A1FB-4C06-4B2E-BE9D-057C0D5AECAC"/>
    <w:docVar w:name="LW_COVERPAGE_TYPE" w:val="1"/>
    <w:docVar w:name="LW_CROSSREFERENCE" w:val="{COM(2018) 231 final}_x000b_{SEC(2018) 205 final}_x000b_{SWD(2018) 120 final}_x000b_{SWD(2018) 122 final}"/>
    <w:docVar w:name="LW_DocType" w:val="NORMAL"/>
    <w:docVar w:name="LW_EMISSION" w:val="27.4.2018"/>
    <w:docVar w:name="LW_EMISSION_ISODATE" w:val="2018-04-27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l-implimentazzjoni u l-funzjonament tal-isem tad-Dominju tal-Og\u295?la Livell .eu u li j\u295?assar ir-Regolament (KE) Nru 733/2002 u r-Regolament tal-Kummissjoni (KE) Nru 874/2004"/>
    <w:docVar w:name="LW_PART_NBR" w:val="1"/>
    <w:docVar w:name="LW_PART_NBR_TOTAL" w:val="1"/>
    <w:docVar w:name="LW_REF.INST.NEW" w:val="SWD"/>
    <w:docVar w:name="LW_REF.INST.NEW_ADOPTED" w:val="final"/>
    <w:docVar w:name="LW_REF.INST.NEW_TEXT" w:val="(2018) 1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5?al 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 Paragraph,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ListParagraphChar">
    <w:name w:val="List Paragraph Char"/>
    <w:aliases w:val="Bullet List Paragraph Char,List Paragraph1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mt-M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 Paragraph,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ListParagraphChar">
    <w:name w:val="List Paragraph Char"/>
    <w:aliases w:val="Bullet List Paragraph Char,List Paragraph1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eastAsia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mt-M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A4FBDDAD295414E98B22993176C4E1A" ma:contentTypeVersion="10" ma:contentTypeDescription="Create a new document." ma:contentTypeScope="" ma:versionID="b4c6f56afe8325edf9052427cf8c7a41">
  <xsd:schema xmlns:xsd="http://www.w3.org/2001/XMLSchema" xmlns:xs="http://www.w3.org/2001/XMLSchema" xmlns:p="http://schemas.microsoft.com/office/2006/metadata/properties" xmlns:ns3="9a935a51-0e77-440d-bc26-d7c34829a5dc" xmlns:ns4="866aabb8-7ec2-447a-a7ff-f911015037e7" targetNamespace="http://schemas.microsoft.com/office/2006/metadata/properties" ma:root="true" ma:fieldsID="13b476b75b2d89a463e0f7a7c6b9ac5a" ns3:_="" ns4:_="">
    <xsd:import namespace="9a935a51-0e77-440d-bc26-d7c34829a5dc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3:Finalize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5a51-0e77-440d-bc26-d7c34829a5dc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inalized" ma:index="14" nillable="true" ma:displayName="Status" ma:format="Dropdown" ma:internalName="Finalized">
      <xsd:simpleType>
        <xsd:restriction base="dms:Choice">
          <xsd:enumeration value="Open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9a935a51-0e77-440d-bc26-d7c34829a5dc" xsi:nil="true"/>
    <EC_Collab_DocumentLanguage xmlns="9a935a51-0e77-440d-bc26-d7c34829a5dc">EN</EC_Collab_DocumentLanguage>
    <EC_Collab_Reference xmlns="9a935a51-0e77-440d-bc26-d7c34829a5dc" xsi:nil="true"/>
    <_dlc_DocId xmlns="866aabb8-7ec2-447a-a7ff-f911015037e7">UVNUSV5RWJH5-634333729-446</_dlc_DocId>
    <_dlc_DocIdUrl xmlns="866aabb8-7ec2-447a-a7ff-f911015037e7">
      <Url>https://myintracomm-collab.ec.europa.eu/dg/CONNECT/directorateE/UnitE3/_layouts/15/DocIdRedir.aspx?ID=UVNUSV5RWJH5-634333729-446</Url>
      <Description>UVNUSV5RWJH5-634333729-446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970C7-C0B9-4E8E-8AE2-BA376490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605FB9-DC4F-414C-993F-CC603CA46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35a51-0e77-440d-bc26-d7c34829a5dc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6aabb8-7ec2-447a-a7ff-f911015037e7"/>
    <ds:schemaRef ds:uri="9a935a51-0e77-440d-bc26-d7c34829a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1179</Words>
  <Characters>8705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cp:lastPrinted>2018-01-16T15:37:00Z</cp:lastPrinted>
  <dcterms:created xsi:type="dcterms:W3CDTF">2018-04-06T15:20:00Z</dcterms:created>
  <dcterms:modified xsi:type="dcterms:W3CDTF">2018-05-18T09:57:00Z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NewReviewCycle">
    <vt:lpwstr/>
  </property>
  <property fmtid="{D5CDD505-2E9C-101B-9397-08002B2CF9AE}" pid="8" name="ContentTypeId">
    <vt:lpwstr>0x010100258AA79CEB83498886A3A0868112325000AA4FBDDAD295414E98B22993176C4E1A</vt:lpwstr>
  </property>
  <property fmtid="{D5CDD505-2E9C-101B-9397-08002B2CF9AE}" pid="9" name="TemplateUrl">
    <vt:lpwstr/>
  </property>
  <property fmtid="{D5CDD505-2E9C-101B-9397-08002B2CF9AE}" pid="10" name="_dlc_DocIdItemGuid">
    <vt:lpwstr>59bab8ef-dd9b-4a0b-ba75-80df39780857</vt:lpwstr>
  </property>
  <property fmtid="{D5CDD505-2E9C-101B-9397-08002B2CF9AE}" pid="11" name="DocStatus">
    <vt:lpwstr>Green</vt:lpwstr>
  </property>
  <property fmtid="{D5CDD505-2E9C-101B-9397-08002B2CF9AE}" pid="12" name="Level of sensitivity">
    <vt:lpwstr>Standard treatment</vt:lpwstr>
  </property>
</Properties>
</file>