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5D4CB46-2FDA-42A9-8525-9F021F4DB5B1" style="width:451.35pt;height:408.3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b/>
                <w:noProof/>
                <w:sz w:val="22"/>
                <w:szCs w:val="22"/>
              </w:rPr>
            </w:pPr>
            <w:r>
              <w:rPr>
                <w:b/>
                <w:noProof/>
                <w:sz w:val="22"/>
              </w:rPr>
              <w:t>Souhrnný přehled</w:t>
            </w:r>
          </w:p>
        </w:tc>
      </w:tr>
      <w:tr>
        <w:trPr>
          <w:trHeight w:val="888"/>
        </w:trP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noProof/>
                <w:color w:val="FFFFFF" w:themeColor="background1"/>
                <w:sz w:val="20"/>
                <w:szCs w:val="20"/>
              </w:rPr>
            </w:pPr>
            <w:r>
              <w:rPr>
                <w:noProof/>
                <w:color w:val="FFFFFF" w:themeColor="background1"/>
                <w:sz w:val="20"/>
              </w:rPr>
              <w:t>Posouzení dopadů přezkumu nařízení (ES) č. 733/2002 o zavádění domény nejvyšší úrovně (TLD) .eu a nařízení (ES) č. 874/2004, kterým se stanoví obecná pravidla pro zavádění a funkce TLD .eu, v rámci programu REFIT.</w:t>
            </w:r>
          </w:p>
        </w:tc>
      </w:tr>
      <w:tr>
        <w:tc>
          <w:tcPr>
            <w:tcW w:w="10188" w:type="dxa"/>
            <w:tcBorders>
              <w:bottom w:val="single" w:sz="4" w:space="0" w:color="auto"/>
            </w:tcBorders>
            <w:shd w:val="clear" w:color="auto" w:fill="CCCCCC"/>
          </w:tcPr>
          <w:p>
            <w:pPr>
              <w:spacing w:before="60" w:after="60"/>
              <w:jc w:val="center"/>
              <w:rPr>
                <w:b/>
                <w:noProof/>
                <w:sz w:val="22"/>
                <w:szCs w:val="22"/>
              </w:rPr>
            </w:pPr>
            <w:r>
              <w:rPr>
                <w:b/>
                <w:noProof/>
                <w:sz w:val="22"/>
              </w:rPr>
              <w:t>A. Potřeba opatření</w:t>
            </w:r>
          </w:p>
        </w:tc>
      </w:tr>
      <w:tr>
        <w:tc>
          <w:tcPr>
            <w:tcW w:w="10188" w:type="dxa"/>
            <w:tcBorders>
              <w:bottom w:val="single" w:sz="4" w:space="0" w:color="auto"/>
            </w:tcBorders>
            <w:shd w:val="clear" w:color="auto" w:fill="E0E0E0"/>
          </w:tcPr>
          <w:p>
            <w:pPr>
              <w:spacing w:before="60" w:after="60"/>
              <w:jc w:val="both"/>
              <w:rPr>
                <w:noProof/>
                <w:sz w:val="20"/>
                <w:szCs w:val="20"/>
              </w:rPr>
            </w:pPr>
            <w:r>
              <w:rPr>
                <w:b/>
                <w:noProof/>
                <w:sz w:val="20"/>
              </w:rPr>
              <w:t xml:space="preserve">Proč? Jaký problém se řeší? </w:t>
            </w:r>
          </w:p>
        </w:tc>
      </w:tr>
      <w:tr>
        <w:tc>
          <w:tcPr>
            <w:tcW w:w="10188" w:type="dxa"/>
            <w:tcBorders>
              <w:bottom w:val="single" w:sz="4" w:space="0" w:color="auto"/>
            </w:tcBorders>
            <w:shd w:val="clear" w:color="auto" w:fill="auto"/>
          </w:tcPr>
          <w:p>
            <w:pPr>
              <w:jc w:val="both"/>
              <w:rPr>
                <w:noProof/>
                <w:sz w:val="20"/>
                <w:szCs w:val="20"/>
              </w:rPr>
            </w:pPr>
            <w:r>
              <w:rPr>
                <w:noProof/>
                <w:sz w:val="20"/>
              </w:rPr>
              <w:t>Trh pro systém doménových jmen (DNS) a politické souvislosti se od vstupu nařízení o doméně .eu v platnost změnily. Zatímco právní rámec prošel drobnými změnami, nařízení o doméně .eu nebyla nikdy v plném rozsahu přezkoumána, aby se zajistilo, že stále slouží zamýšlenému cíli bez zatěžujících nákladů na správu a provádění a že jsou stále účinná, pokud jde o jejich zamýšlené přínosy ve formě podpory přeshraniční online činnosti a propagace evropské online identity. Z hodnocení vyplývá, že současný regulační rámec dostatečně nepodporuje stabilitu a udržitelnost TLD .eu a nevyužívá plně její potenciál v rámci jednotného digitálního trhu EU. Byly zjištěny tyto vzájemně související problémy: zastaralé a nepružné právní předpisy, nedostatky v řízení a odpovědnosti a rychlé změny na trhu.</w:t>
            </w:r>
          </w:p>
        </w:tc>
      </w:tr>
      <w:tr>
        <w:tc>
          <w:tcPr>
            <w:tcW w:w="10188" w:type="dxa"/>
            <w:tcBorders>
              <w:bottom w:val="single" w:sz="4" w:space="0" w:color="auto"/>
            </w:tcBorders>
            <w:shd w:val="clear" w:color="auto" w:fill="E6E6E6"/>
          </w:tcPr>
          <w:p>
            <w:pPr>
              <w:spacing w:before="60" w:after="60"/>
              <w:jc w:val="both"/>
              <w:rPr>
                <w:noProof/>
                <w:sz w:val="20"/>
                <w:szCs w:val="20"/>
              </w:rPr>
            </w:pPr>
            <w:r>
              <w:rPr>
                <w:b/>
                <w:noProof/>
                <w:sz w:val="20"/>
              </w:rPr>
              <w:t xml:space="preserve">Čeho by měla tato iniciativa dosáhnout? </w:t>
            </w:r>
          </w:p>
        </w:tc>
      </w:tr>
      <w:tr>
        <w:tc>
          <w:tcPr>
            <w:tcW w:w="10188" w:type="dxa"/>
            <w:tcBorders>
              <w:bottom w:val="single" w:sz="4" w:space="0" w:color="auto"/>
            </w:tcBorders>
            <w:shd w:val="clear" w:color="auto" w:fill="auto"/>
          </w:tcPr>
          <w:p>
            <w:pPr>
              <w:jc w:val="both"/>
              <w:rPr>
                <w:noProof/>
                <w:sz w:val="20"/>
                <w:szCs w:val="20"/>
              </w:rPr>
            </w:pPr>
            <w:r>
              <w:rPr>
                <w:noProof/>
                <w:sz w:val="20"/>
              </w:rPr>
              <w:t>Tato iniciativa má zajistit stabilitu a udržitelnost TLD .eu tak, aby mohla lépe plnit své cíle spočívající v povzbuzení přeshraniční online činnosti v Evropě a uskutečňování evropské online identity. Specifické politické cíle (SC) jsou tyto: (SC 1): odstranit zastaralé právní/správní požadavky; (SC 2): zajistit, aby pravidla obstála i v budoucnu a umožnila doméně .eu přizpůsobovat se rychlým změnám na trhu s TLD a v dynamickém digitálním prostředí, a zároveň umožnit využívání TLD .eu jako prostředku k prosazování priorit EU v online prostředí; (SC 3): zajistit takovou strukturu správy, která jednak odráží osvědčené technické a řídicí postupy, jednak slouží veřejnému zájmu EU; (SC 4): podporovat atraktivitu domény .eu.</w:t>
            </w:r>
          </w:p>
        </w:tc>
      </w:tr>
      <w:tr>
        <w:tc>
          <w:tcPr>
            <w:tcW w:w="10188" w:type="dxa"/>
            <w:tcBorders>
              <w:bottom w:val="single" w:sz="4" w:space="0" w:color="auto"/>
            </w:tcBorders>
            <w:shd w:val="clear" w:color="auto" w:fill="E6E6E6"/>
          </w:tcPr>
          <w:p>
            <w:pPr>
              <w:spacing w:before="60" w:after="60"/>
              <w:jc w:val="both"/>
              <w:rPr>
                <w:noProof/>
                <w:sz w:val="20"/>
                <w:szCs w:val="20"/>
              </w:rPr>
            </w:pPr>
            <w:r>
              <w:rPr>
                <w:b/>
                <w:noProof/>
                <w:sz w:val="20"/>
              </w:rPr>
              <w:t>Jakou přidanou hodnotu budou mít tato opatření na úrovni EU?</w:t>
            </w:r>
            <w:r>
              <w:rPr>
                <w:noProof/>
                <w:sz w:val="20"/>
              </w:rPr>
              <w:t xml:space="preserve"> </w:t>
            </w:r>
          </w:p>
        </w:tc>
      </w:tr>
      <w:tr>
        <w:tc>
          <w:tcPr>
            <w:tcW w:w="10188" w:type="dxa"/>
            <w:tcBorders>
              <w:bottom w:val="single" w:sz="4" w:space="0" w:color="auto"/>
            </w:tcBorders>
            <w:shd w:val="clear" w:color="auto" w:fill="auto"/>
          </w:tcPr>
          <w:p>
            <w:pPr>
              <w:spacing w:before="60"/>
              <w:jc w:val="both"/>
              <w:rPr>
                <w:noProof/>
                <w:sz w:val="20"/>
                <w:szCs w:val="20"/>
              </w:rPr>
            </w:pPr>
            <w:r>
              <w:rPr>
                <w:noProof/>
                <w:sz w:val="20"/>
              </w:rPr>
              <w:t>TLD .eu má ze své podstaty přeshraniční rozměr. Jedná se o TLD Evropské unie a o symbol evropské online identity. Existence specifického jména domény pro Evropskou unii na velmi jasném a identifikovatelném společném základě je důležitým a cenným stavebním kamenem evropské online identity.</w:t>
            </w:r>
          </w:p>
          <w:p>
            <w:pPr>
              <w:spacing w:before="60"/>
              <w:jc w:val="both"/>
              <w:rPr>
                <w:noProof/>
                <w:sz w:val="20"/>
                <w:szCs w:val="20"/>
              </w:rPr>
            </w:pPr>
            <w:r>
              <w:rPr>
                <w:noProof/>
                <w:sz w:val="20"/>
              </w:rPr>
              <w:t>Regulační opatření přijatá na úrovni členských států by nevedla k dosažení základních cílů, jež stojí za vytvořením a správou důvěryhodného a inovativního jmenného prostoru pro EU.</w:t>
            </w:r>
            <w:r>
              <w:rPr>
                <w:noProof/>
              </w:rPr>
              <w:t xml:space="preserve"> </w:t>
            </w:r>
            <w:r>
              <w:rPr>
                <w:noProof/>
                <w:sz w:val="20"/>
              </w:rPr>
              <w:t>TLD .eu byla vytvořena jako národní TLD (ccTLD), a nikoli jako všeobecně použitelná TLD (.com, .berlin). Veřejnou politickou odpovědnost za TLD .eu nese Evropská unie.</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b/>
                <w:noProof/>
                <w:sz w:val="22"/>
                <w:szCs w:val="22"/>
              </w:rPr>
            </w:pPr>
            <w:r>
              <w:rPr>
                <w:b/>
                <w:noProof/>
                <w:sz w:val="22"/>
              </w:rPr>
              <w:t>B. Řešení</w:t>
            </w:r>
          </w:p>
        </w:tc>
      </w:tr>
      <w:tr>
        <w:tc>
          <w:tcPr>
            <w:tcW w:w="10188" w:type="dxa"/>
            <w:tcBorders>
              <w:bottom w:val="single" w:sz="4" w:space="0" w:color="auto"/>
            </w:tcBorders>
            <w:shd w:val="clear" w:color="auto" w:fill="E6E6E6"/>
          </w:tcPr>
          <w:p>
            <w:pPr>
              <w:spacing w:before="60"/>
              <w:jc w:val="both"/>
              <w:rPr>
                <w:noProof/>
                <w:sz w:val="20"/>
                <w:szCs w:val="20"/>
              </w:rPr>
            </w:pPr>
            <w:r>
              <w:rPr>
                <w:b/>
                <w:noProof/>
                <w:sz w:val="20"/>
              </w:rPr>
              <w:t>Jaké legislativní a nelegislativní možnosti byly zvažovány? Je některá možnost upřednostňována? Proč?</w:t>
            </w:r>
            <w:r>
              <w:rPr>
                <w:noProof/>
                <w:sz w:val="20"/>
              </w:rPr>
              <w:t xml:space="preserve"> </w:t>
            </w:r>
          </w:p>
        </w:tc>
      </w:tr>
      <w:tr>
        <w:tc>
          <w:tcPr>
            <w:tcW w:w="10188" w:type="dxa"/>
            <w:tcBorders>
              <w:bottom w:val="single" w:sz="4" w:space="0" w:color="auto"/>
            </w:tcBorders>
            <w:shd w:val="clear" w:color="auto" w:fill="auto"/>
          </w:tcPr>
          <w:p>
            <w:pPr>
              <w:jc w:val="both"/>
              <w:rPr>
                <w:noProof/>
                <w:sz w:val="20"/>
                <w:szCs w:val="20"/>
              </w:rPr>
            </w:pPr>
            <w:r>
              <w:rPr>
                <w:noProof/>
                <w:sz w:val="20"/>
              </w:rPr>
              <w:t>Toto posouzení dopadů zkoumá řadu možností politiky, které jsou v podstatě, avšak nikoli výhradně vyvozené z problémů týkajících se „zastaralých a nepružných právních předpisů“ a „mechanismů řízení“. Dva samostatné průřezové problémy, jejichž cílem je řešit otázky plynoucí z rychlé změny na trhu, byly zohledněny horizontálně.</w:t>
            </w:r>
          </w:p>
          <w:p>
            <w:pPr>
              <w:jc w:val="both"/>
              <w:rPr>
                <w:noProof/>
                <w:sz w:val="20"/>
                <w:szCs w:val="20"/>
              </w:rPr>
            </w:pPr>
          </w:p>
          <w:p>
            <w:pPr>
              <w:jc w:val="both"/>
              <w:rPr>
                <w:noProof/>
                <w:sz w:val="20"/>
                <w:szCs w:val="20"/>
              </w:rPr>
            </w:pPr>
            <w:r>
              <w:rPr>
                <w:noProof/>
                <w:sz w:val="20"/>
              </w:rPr>
              <w:t>MOŽNOST 0: ZÁKLADNÍ SCÉNÁŘ: zachovat stávající regulační rámec TLD .eu.</w:t>
            </w:r>
          </w:p>
          <w:p>
            <w:pPr>
              <w:jc w:val="both"/>
              <w:rPr>
                <w:noProof/>
                <w:sz w:val="20"/>
                <w:szCs w:val="20"/>
              </w:rPr>
            </w:pPr>
            <w:r>
              <w:rPr>
                <w:noProof/>
                <w:sz w:val="20"/>
              </w:rPr>
              <w:t xml:space="preserve">MOŽNOST 1: OBCHODNÍ VYUŽITÍ: zjednodušit regulační rámec a současně přenést provozování a správu rejstříku na externího komerčního poskytovatele služeb. </w:t>
            </w:r>
          </w:p>
          <w:p>
            <w:pPr>
              <w:jc w:val="both"/>
              <w:rPr>
                <w:noProof/>
                <w:sz w:val="20"/>
                <w:szCs w:val="20"/>
              </w:rPr>
            </w:pPr>
            <w:r>
              <w:rPr>
                <w:noProof/>
                <w:sz w:val="20"/>
              </w:rPr>
              <w:t xml:space="preserve">MOŽNOST 2: MODERNIZACE PRÁVNÍHO RÁMCE: nahradit stávající právní rámec jedním právním nástrojem založeným na zásadách.  Smluvně sjednaný externí systém správy TLD .eu by zůstal zachován. </w:t>
            </w:r>
          </w:p>
          <w:p>
            <w:pPr>
              <w:jc w:val="both"/>
              <w:rPr>
                <w:noProof/>
                <w:sz w:val="20"/>
                <w:szCs w:val="20"/>
              </w:rPr>
            </w:pPr>
            <w:r>
              <w:rPr>
                <w:noProof/>
                <w:sz w:val="20"/>
              </w:rPr>
              <w:t>MOŽNOST 3: ODDĚLENÝ ZPŮSOB SPRÁVY: kombinuje možnost 2 s vytvořením poradního orgánu se zapojením více zúčastněných stran. Tento orgán by byl na rejstříku domény .eu nezávislý.</w:t>
            </w:r>
          </w:p>
          <w:p>
            <w:pPr>
              <w:jc w:val="both"/>
              <w:rPr>
                <w:noProof/>
                <w:sz w:val="20"/>
                <w:szCs w:val="20"/>
              </w:rPr>
            </w:pPr>
            <w:r>
              <w:rPr>
                <w:noProof/>
                <w:sz w:val="20"/>
              </w:rPr>
              <w:t>MOŽNOST 4: INSTITUCIONALIZACE: správa a provoz rejstříku v rámci a) útvaru Evropské komise nebo b) agentury Unie, b1): EUIPO, b2): ENISA)</w:t>
            </w:r>
          </w:p>
          <w:p>
            <w:pPr>
              <w:jc w:val="both"/>
              <w:rPr>
                <w:noProof/>
                <w:sz w:val="20"/>
                <w:szCs w:val="20"/>
              </w:rPr>
            </w:pPr>
          </w:p>
          <w:p>
            <w:pPr>
              <w:jc w:val="both"/>
              <w:rPr>
                <w:noProof/>
                <w:sz w:val="20"/>
                <w:szCs w:val="20"/>
              </w:rPr>
            </w:pPr>
            <w:r>
              <w:rPr>
                <w:noProof/>
                <w:sz w:val="20"/>
              </w:rPr>
              <w:t>Možnosti 1, 4 a) a 4 b2) byly zavrženy již v rané fázi, neboť nesplňují cíle politiky.</w:t>
            </w:r>
          </w:p>
          <w:p>
            <w:pPr>
              <w:jc w:val="both"/>
              <w:rPr>
                <w:noProof/>
                <w:sz w:val="20"/>
                <w:szCs w:val="20"/>
              </w:rPr>
            </w:pPr>
          </w:p>
          <w:p>
            <w:pPr>
              <w:jc w:val="both"/>
              <w:rPr>
                <w:noProof/>
                <w:sz w:val="20"/>
                <w:szCs w:val="20"/>
              </w:rPr>
            </w:pPr>
            <w:r>
              <w:rPr>
                <w:noProof/>
                <w:sz w:val="20"/>
              </w:rPr>
              <w:t>Pokud jde o ony dva samostatně řešené průřezové problémy, zabývá se posouzení dopadů jak možností, že by rejstřík domény .eu vzhledem ke změnám tržních podmínek nabízel žadatelům o registraci přímou registraci, tak možnými změnami kritérií způsobilosti pro získání konkrétní domény v TLD .eu.</w:t>
            </w:r>
          </w:p>
          <w:p>
            <w:pPr>
              <w:jc w:val="both"/>
              <w:rPr>
                <w:noProof/>
                <w:sz w:val="20"/>
                <w:szCs w:val="20"/>
              </w:rPr>
            </w:pPr>
          </w:p>
          <w:p>
            <w:pPr>
              <w:jc w:val="both"/>
              <w:rPr>
                <w:noProof/>
                <w:sz w:val="20"/>
                <w:szCs w:val="20"/>
              </w:rPr>
            </w:pPr>
            <w:r>
              <w:rPr>
                <w:noProof/>
                <w:sz w:val="20"/>
              </w:rPr>
              <w:t>Upřednostňovaná možnost: MOŽNOST 3 spolu se zrušením přísných požadavků na přímou registraci, kritérium občanství pro fyzické osoby a kritérium rezidentství pro organizace a společnosti.</w:t>
            </w:r>
          </w:p>
        </w:tc>
      </w:tr>
      <w:tr>
        <w:tc>
          <w:tcPr>
            <w:tcW w:w="10188" w:type="dxa"/>
            <w:shd w:val="clear" w:color="auto" w:fill="CCCCCC"/>
          </w:tcPr>
          <w:p>
            <w:pPr>
              <w:spacing w:before="60"/>
              <w:jc w:val="both"/>
              <w:rPr>
                <w:noProof/>
                <w:sz w:val="20"/>
                <w:szCs w:val="20"/>
              </w:rPr>
            </w:pPr>
            <w:r>
              <w:rPr>
                <w:b/>
                <w:noProof/>
                <w:sz w:val="20"/>
              </w:rPr>
              <w:t>Kdo podporuje kterou možnost?</w:t>
            </w:r>
            <w:r>
              <w:rPr>
                <w:noProof/>
                <w:sz w:val="20"/>
              </w:rPr>
              <w:t xml:space="preserve"> </w:t>
            </w:r>
          </w:p>
        </w:tc>
      </w:tr>
      <w:tr>
        <w:tc>
          <w:tcPr>
            <w:tcW w:w="10188" w:type="dxa"/>
            <w:shd w:val="clear" w:color="auto" w:fill="auto"/>
          </w:tcPr>
          <w:p>
            <w:pPr>
              <w:jc w:val="both"/>
              <w:rPr>
                <w:noProof/>
                <w:sz w:val="20"/>
                <w:szCs w:val="20"/>
              </w:rPr>
            </w:pPr>
            <w:r>
              <w:rPr>
                <w:noProof/>
                <w:sz w:val="20"/>
              </w:rPr>
              <w:lastRenderedPageBreak/>
              <w:t>Převážná většina konzultovaných zúčastněných stran, které se zúčastnily konzultací, vítá upřednostňovanou možnost, jelikož podporují zjednodušení právního rámce a jisté zmírnění stávajících kritérií způsobilosti. Názory na model řízení se více rozcházely.</w:t>
            </w:r>
          </w:p>
        </w:tc>
      </w:tr>
      <w:tr>
        <w:tc>
          <w:tcPr>
            <w:tcW w:w="10188" w:type="dxa"/>
            <w:tcBorders>
              <w:bottom w:val="single" w:sz="4" w:space="0" w:color="auto"/>
            </w:tcBorders>
            <w:shd w:val="clear" w:color="auto" w:fill="CCCCCC"/>
          </w:tcPr>
          <w:p>
            <w:pPr>
              <w:spacing w:before="60" w:after="60"/>
              <w:jc w:val="center"/>
              <w:rPr>
                <w:b/>
                <w:noProof/>
                <w:sz w:val="22"/>
                <w:szCs w:val="22"/>
              </w:rPr>
            </w:pPr>
            <w:r>
              <w:rPr>
                <w:b/>
                <w:noProof/>
                <w:sz w:val="22"/>
              </w:rPr>
              <w:t>C. Dopady upřednostňované možnosti</w:t>
            </w:r>
          </w:p>
        </w:tc>
      </w:tr>
      <w:tr>
        <w:tc>
          <w:tcPr>
            <w:tcW w:w="10188" w:type="dxa"/>
            <w:tcBorders>
              <w:bottom w:val="single" w:sz="4" w:space="0" w:color="auto"/>
            </w:tcBorders>
            <w:shd w:val="clear" w:color="auto" w:fill="E6E6E6"/>
          </w:tcPr>
          <w:p>
            <w:pPr>
              <w:spacing w:before="60" w:after="60"/>
              <w:jc w:val="both"/>
              <w:rPr>
                <w:noProof/>
                <w:sz w:val="20"/>
                <w:szCs w:val="20"/>
              </w:rPr>
            </w:pPr>
            <w:r>
              <w:rPr>
                <w:b/>
                <w:noProof/>
                <w:sz w:val="20"/>
              </w:rPr>
              <w:t>Jaké jsou výhody upřednostňované možnosti (je-li nějaká doporučena, jinak uveďte výhody hlavních možností)?</w:t>
            </w:r>
            <w:r>
              <w:rPr>
                <w:noProof/>
                <w:sz w:val="20"/>
              </w:rPr>
              <w:t xml:space="preserve"> </w:t>
            </w:r>
          </w:p>
        </w:tc>
      </w:tr>
      <w:tr>
        <w:tc>
          <w:tcPr>
            <w:tcW w:w="10188" w:type="dxa"/>
            <w:tcBorders>
              <w:bottom w:val="single" w:sz="4" w:space="0" w:color="auto"/>
            </w:tcBorders>
            <w:shd w:val="clear" w:color="auto" w:fill="auto"/>
          </w:tcPr>
          <w:p>
            <w:pPr>
              <w:jc w:val="both"/>
              <w:rPr>
                <w:noProof/>
                <w:sz w:val="20"/>
                <w:szCs w:val="20"/>
              </w:rPr>
            </w:pPr>
            <w:r>
              <w:rPr>
                <w:noProof/>
                <w:sz w:val="20"/>
              </w:rPr>
              <w:t>V rámci upřednostňované možnosti by byl vytvořen zjednodušený právní rámec založený na zásadách. Tím by TLD .eu získala flexibilitu nezbytnou k přizpůsobení se rychle se měnícím technickým optimalizacím systému DNS, mj. pokud jde o bezpečnostní prvky. Koncoví uživatelé by mohli těžit z výhod, jež z technických optimalizací plynou, aniž by museli být znevýhodněni časem nezbytným ke změnám nařízení. Upřednostňovaná možnost by rovněž zlepšila fungování TLD .eu a podpořila inovace v ekosystému domény .eu, a to jak na úrovni rejstříku, tak na navazujících trzích s elektronickými podatelnami a žadateli o registraci, a zajistila tak, že evropští občané a podniky budou mít užitek z kvalitnějšího produktu.</w:t>
            </w:r>
          </w:p>
          <w:p>
            <w:pPr>
              <w:jc w:val="both"/>
              <w:rPr>
                <w:noProof/>
                <w:sz w:val="20"/>
                <w:szCs w:val="20"/>
              </w:rPr>
            </w:pPr>
            <w:r>
              <w:rPr>
                <w:noProof/>
                <w:sz w:val="20"/>
              </w:rPr>
              <w:t xml:space="preserve">TLD. eu by se na trhu s TLD stala atraktivnější, což by mělo za následek větší hospodářskou soutěž mezi elektronickými podatelnami. Předpokládá se, že to by zase mělo za následek a) potenciální snížení cen pro konečné uživatele, b) zajištění větší dostupnosti domény .eu a jejích přínosů pro společnost EU, c) zvýšení počtu registrací a zažehnání scénáře, při němž míra obnovování klesne pod prahovou hodnotu, která by ohrožovala finanční udržitelnost doménového jména.   </w:t>
            </w:r>
          </w:p>
          <w:p>
            <w:pPr>
              <w:jc w:val="both"/>
              <w:rPr>
                <w:noProof/>
                <w:sz w:val="20"/>
                <w:szCs w:val="20"/>
              </w:rPr>
            </w:pPr>
            <w:r>
              <w:rPr>
                <w:noProof/>
                <w:sz w:val="20"/>
              </w:rPr>
              <w:t>Tato možnost znamená změnu ve struktuře správy a zřízení samostatného orgánu, který poskytuje poradenství v oblasti strategických rozhodnutí týkajících se fungování TLD .eu a dohledu nad rejstříkem. Očekává se, že tyto změny, jež posilují a  rozšiřují vstupy nutné pro řádnou správu rejstříku domény .eu, podpoří větší transparentnost a odpovědnost a účinně zmírní potenciální rizika špatného řízení v rámci provozu TLD .eu.</w:t>
            </w:r>
          </w:p>
          <w:p>
            <w:pPr>
              <w:jc w:val="both"/>
              <w:rPr>
                <w:noProof/>
                <w:sz w:val="20"/>
                <w:szCs w:val="20"/>
              </w:rPr>
            </w:pPr>
            <w:r>
              <w:rPr>
                <w:noProof/>
                <w:sz w:val="20"/>
              </w:rPr>
              <w:t>Zavedení kritéria občanství by nadto umožnilo, aby občané EU, kteří žijí ve třetích zemích, mohli rovněž těžit z výhod TLD .eu, a současné zrušení přísných požadavků na přímou registraci bude přínosem k lepší propagaci TLD .eu, například v jiných písmech než v latince.</w:t>
            </w:r>
          </w:p>
          <w:p>
            <w:pPr>
              <w:jc w:val="both"/>
              <w:rPr>
                <w:i/>
                <w:noProof/>
                <w:sz w:val="20"/>
                <w:szCs w:val="20"/>
              </w:rPr>
            </w:pP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noProof/>
                <w:sz w:val="20"/>
                <w:szCs w:val="20"/>
              </w:rPr>
            </w:pPr>
            <w:r>
              <w:rPr>
                <w:b/>
                <w:noProof/>
                <w:sz w:val="20"/>
              </w:rPr>
              <w:t>Jaké jsou náklady na upřednostňovanou možnost (je-li nějaká doporučena, jinak uveďte náklady na hlavní možnosti)?</w:t>
            </w:r>
            <w:r>
              <w:rPr>
                <w:noProof/>
                <w:sz w:val="20"/>
              </w:rPr>
              <w:t xml:space="preserve"> </w:t>
            </w:r>
          </w:p>
        </w:tc>
      </w:tr>
      <w:tr>
        <w:tc>
          <w:tcPr>
            <w:tcW w:w="10188" w:type="dxa"/>
            <w:tcBorders>
              <w:bottom w:val="single" w:sz="4" w:space="0" w:color="auto"/>
            </w:tcBorders>
            <w:shd w:val="clear" w:color="auto" w:fill="auto"/>
          </w:tcPr>
          <w:p>
            <w:pPr>
              <w:jc w:val="both"/>
              <w:rPr>
                <w:noProof/>
                <w:sz w:val="20"/>
                <w:szCs w:val="20"/>
              </w:rPr>
            </w:pPr>
            <w:r>
              <w:rPr>
                <w:noProof/>
                <w:sz w:val="20"/>
              </w:rPr>
              <w:t xml:space="preserve">V rámci upřednostňované možnosti se očekávají nižší náklady rejstříku na dodržování předpisů. Avšak i v případě, že právní rámec nebude tak zatěžující, bude stále zapotřebí řádně vytvářet, přidělovat a spravovat TLD .eu. Nicméně některé z nákladů na správu rejstříku odpadnou. V současné době jsou rozpočtové náklady na řízení čerpány v rámci obecných nákladů a v roce 2018 se odhadují na 296 000 EUR. </w:t>
            </w:r>
          </w:p>
          <w:p>
            <w:pPr>
              <w:jc w:val="both"/>
              <w:rPr>
                <w:noProof/>
                <w:sz w:val="20"/>
                <w:szCs w:val="20"/>
              </w:rPr>
            </w:pPr>
          </w:p>
          <w:p>
            <w:pPr>
              <w:jc w:val="both"/>
              <w:rPr>
                <w:noProof/>
                <w:sz w:val="20"/>
                <w:szCs w:val="20"/>
              </w:rPr>
            </w:pPr>
            <w:r>
              <w:rPr>
                <w:noProof/>
                <w:sz w:val="20"/>
              </w:rPr>
              <w:t>Činnost Evropské komise v oblasti dohledu nad TLD .eu bude omezena díky a) nově vytvořenému orgánu, který by měl převzít některé úkoly, které v současné době vykonává Komise, a b) díky štíhlejšímu a do budoucna odolnějšímu právnímu rámci, který je schopen přizpůsobit se změnám na trhu bez nákladných změn legislativních postupů.</w:t>
            </w:r>
          </w:p>
          <w:p>
            <w:pPr>
              <w:jc w:val="both"/>
              <w:rPr>
                <w:noProof/>
                <w:sz w:val="20"/>
                <w:szCs w:val="20"/>
              </w:rPr>
            </w:pPr>
            <w:r>
              <w:rPr>
                <w:noProof/>
                <w:sz w:val="20"/>
              </w:rPr>
              <w:t>Vhodným způsobem musí být financován orgán se zapojením více zúčastněných stran. Finanční podporu mu zajistí Komise.</w:t>
            </w:r>
          </w:p>
          <w:p>
            <w:pPr>
              <w:jc w:val="both"/>
              <w:rPr>
                <w:noProof/>
                <w:sz w:val="20"/>
                <w:szCs w:val="20"/>
              </w:rPr>
            </w:pPr>
          </w:p>
          <w:p>
            <w:pPr>
              <w:jc w:val="both"/>
              <w:rPr>
                <w:i/>
                <w:noProof/>
                <w:sz w:val="20"/>
                <w:szCs w:val="20"/>
              </w:rPr>
            </w:pPr>
            <w:r>
              <w:rPr>
                <w:noProof/>
                <w:sz w:val="20"/>
              </w:rPr>
              <w:t>Koncoví uživatelé a elektronické pokladny by neměli být dotčeni (pokud jde o cenu, kterou platí za konkrétní TLD .eu).</w:t>
            </w:r>
          </w:p>
        </w:tc>
      </w:tr>
      <w:tr>
        <w:tc>
          <w:tcPr>
            <w:tcW w:w="10188" w:type="dxa"/>
            <w:tcBorders>
              <w:bottom w:val="single" w:sz="4" w:space="0" w:color="auto"/>
            </w:tcBorders>
            <w:shd w:val="clear" w:color="auto" w:fill="E6E6E6"/>
          </w:tcPr>
          <w:p>
            <w:pPr>
              <w:spacing w:before="60" w:after="60"/>
              <w:jc w:val="both"/>
              <w:rPr>
                <w:noProof/>
                <w:sz w:val="20"/>
                <w:szCs w:val="20"/>
              </w:rPr>
            </w:pPr>
            <w:r>
              <w:rPr>
                <w:b/>
                <w:noProof/>
                <w:sz w:val="20"/>
              </w:rPr>
              <w:t>Jaký bude dopad na podniky, včetně malých a středních podniků a mikropodniků?</w:t>
            </w:r>
          </w:p>
        </w:tc>
      </w:tr>
      <w:tr>
        <w:tc>
          <w:tcPr>
            <w:tcW w:w="10188" w:type="dxa"/>
            <w:tcBorders>
              <w:bottom w:val="single" w:sz="4" w:space="0" w:color="auto"/>
            </w:tcBorders>
            <w:shd w:val="clear" w:color="auto" w:fill="auto"/>
          </w:tcPr>
          <w:p>
            <w:pPr>
              <w:jc w:val="both"/>
              <w:rPr>
                <w:noProof/>
                <w:sz w:val="20"/>
                <w:szCs w:val="20"/>
              </w:rPr>
            </w:pPr>
            <w:r>
              <w:rPr>
                <w:noProof/>
                <w:sz w:val="20"/>
              </w:rPr>
              <w:t>Upřednostňovaná možnost by měla příznivý dopad na evropské podniky, malé a střední podniky a mikropodniky, neboť umožní větší inovaci produktů, sníží ceny a zajistí větší viditelnost a dostupnost TLD .eu.</w:t>
            </w:r>
          </w:p>
        </w:tc>
      </w:tr>
      <w:tr>
        <w:tc>
          <w:tcPr>
            <w:tcW w:w="10188" w:type="dxa"/>
            <w:tcBorders>
              <w:bottom w:val="single" w:sz="4" w:space="0" w:color="auto"/>
            </w:tcBorders>
            <w:shd w:val="clear" w:color="auto" w:fill="E6E6E6"/>
          </w:tcPr>
          <w:p>
            <w:pPr>
              <w:spacing w:before="60"/>
              <w:jc w:val="both"/>
              <w:rPr>
                <w:b/>
                <w:i/>
                <w:noProof/>
                <w:sz w:val="20"/>
                <w:szCs w:val="20"/>
              </w:rPr>
            </w:pPr>
            <w:r>
              <w:rPr>
                <w:b/>
                <w:noProof/>
                <w:sz w:val="20"/>
              </w:rPr>
              <w:t>Očekávají se významné dopady</w:t>
            </w:r>
            <w:r>
              <w:rPr>
                <w:noProof/>
                <w:sz w:val="20"/>
              </w:rPr>
              <w:t xml:space="preserve"> </w:t>
            </w:r>
            <w:r>
              <w:rPr>
                <w:b/>
                <w:noProof/>
                <w:sz w:val="20"/>
              </w:rPr>
              <w:t>na vnitrostátní rozpočty a správní orgány?</w:t>
            </w:r>
            <w:r>
              <w:rPr>
                <w:noProof/>
                <w:sz w:val="20"/>
              </w:rPr>
              <w:t xml:space="preserve"> </w:t>
            </w:r>
          </w:p>
        </w:tc>
      </w:tr>
      <w:tr>
        <w:tc>
          <w:tcPr>
            <w:tcW w:w="10188" w:type="dxa"/>
            <w:shd w:val="clear" w:color="auto" w:fill="auto"/>
          </w:tcPr>
          <w:p>
            <w:pPr>
              <w:jc w:val="both"/>
              <w:rPr>
                <w:noProof/>
                <w:sz w:val="20"/>
                <w:szCs w:val="20"/>
              </w:rPr>
            </w:pPr>
            <w:r>
              <w:rPr>
                <w:noProof/>
                <w:sz w:val="20"/>
              </w:rPr>
              <w:t>Žádné se neočekávají.</w:t>
            </w:r>
          </w:p>
        </w:tc>
      </w:tr>
      <w:tr>
        <w:tc>
          <w:tcPr>
            <w:tcW w:w="10188" w:type="dxa"/>
            <w:tcBorders>
              <w:bottom w:val="single" w:sz="4" w:space="0" w:color="auto"/>
            </w:tcBorders>
            <w:shd w:val="clear" w:color="auto" w:fill="E6E6E6"/>
          </w:tcPr>
          <w:p>
            <w:pPr>
              <w:spacing w:before="60"/>
              <w:jc w:val="both"/>
              <w:rPr>
                <w:noProof/>
                <w:sz w:val="20"/>
                <w:szCs w:val="20"/>
              </w:rPr>
            </w:pPr>
            <w:r>
              <w:rPr>
                <w:b/>
                <w:noProof/>
                <w:sz w:val="20"/>
              </w:rPr>
              <w:t>Očekávají se jiné významné dopady?</w:t>
            </w:r>
            <w:r>
              <w:rPr>
                <w:noProof/>
                <w:sz w:val="20"/>
              </w:rPr>
              <w:t xml:space="preserve"> </w:t>
            </w:r>
          </w:p>
        </w:tc>
      </w:tr>
      <w:tr>
        <w:tc>
          <w:tcPr>
            <w:tcW w:w="10188" w:type="dxa"/>
            <w:tcBorders>
              <w:bottom w:val="single" w:sz="4" w:space="0" w:color="auto"/>
            </w:tcBorders>
            <w:shd w:val="clear" w:color="auto" w:fill="auto"/>
          </w:tcPr>
          <w:p>
            <w:pPr>
              <w:jc w:val="both"/>
              <w:rPr>
                <w:noProof/>
                <w:sz w:val="20"/>
                <w:szCs w:val="20"/>
              </w:rPr>
            </w:pPr>
            <w:r>
              <w:rPr>
                <w:noProof/>
                <w:sz w:val="20"/>
              </w:rPr>
              <w:t>Očekává se, že tato iniciativa bude mít pozitivní dopad na rejstřík a navazující trhy s elektronickými podatelnami a žadateli o registraci, včetně podniků a občanů, a to tím, že umožní větší pružnost a inovaci, sníží ceny a zajistí větší dostupnost TLD .eu.</w:t>
            </w:r>
          </w:p>
        </w:tc>
      </w:tr>
      <w:tr>
        <w:tc>
          <w:tcPr>
            <w:tcW w:w="10188" w:type="dxa"/>
            <w:tcBorders>
              <w:bottom w:val="single" w:sz="4" w:space="0" w:color="auto"/>
            </w:tcBorders>
            <w:shd w:val="clear" w:color="auto" w:fill="C0C0C0"/>
          </w:tcPr>
          <w:p>
            <w:pPr>
              <w:spacing w:before="60" w:after="60"/>
              <w:jc w:val="center"/>
              <w:rPr>
                <w:b/>
                <w:noProof/>
                <w:sz w:val="22"/>
                <w:szCs w:val="22"/>
              </w:rPr>
            </w:pPr>
            <w:r>
              <w:rPr>
                <w:b/>
                <w:noProof/>
                <w:sz w:val="22"/>
              </w:rPr>
              <w:t>D. Návazná opatření</w:t>
            </w:r>
          </w:p>
        </w:tc>
      </w:tr>
      <w:tr>
        <w:tc>
          <w:tcPr>
            <w:tcW w:w="10188" w:type="dxa"/>
            <w:tcBorders>
              <w:bottom w:val="single" w:sz="4" w:space="0" w:color="auto"/>
            </w:tcBorders>
            <w:shd w:val="clear" w:color="auto" w:fill="E6E6E6"/>
          </w:tcPr>
          <w:p>
            <w:pPr>
              <w:spacing w:before="60"/>
              <w:jc w:val="both"/>
              <w:rPr>
                <w:noProof/>
                <w:sz w:val="20"/>
                <w:szCs w:val="20"/>
              </w:rPr>
            </w:pPr>
            <w:r>
              <w:rPr>
                <w:b/>
                <w:noProof/>
                <w:sz w:val="20"/>
              </w:rPr>
              <w:t>Kdy bude tato politika přezkoumána?</w:t>
            </w:r>
            <w:r>
              <w:rPr>
                <w:noProof/>
                <w:sz w:val="20"/>
              </w:rPr>
              <w:t xml:space="preserve"> </w:t>
            </w:r>
          </w:p>
        </w:tc>
      </w:tr>
      <w:tr>
        <w:trPr>
          <w:trHeight w:val="567"/>
        </w:trPr>
        <w:tc>
          <w:tcPr>
            <w:tcW w:w="10188" w:type="dxa"/>
            <w:tcBorders>
              <w:bottom w:val="single" w:sz="4" w:space="0" w:color="auto"/>
            </w:tcBorders>
            <w:shd w:val="clear" w:color="auto" w:fill="auto"/>
          </w:tcPr>
          <w:p>
            <w:pPr>
              <w:jc w:val="both"/>
              <w:rPr>
                <w:noProof/>
                <w:sz w:val="20"/>
                <w:szCs w:val="20"/>
              </w:rPr>
            </w:pPr>
            <w:r>
              <w:rPr>
                <w:noProof/>
                <w:sz w:val="20"/>
              </w:rPr>
              <w:t xml:space="preserve">V rámci upřednostňované možnosti by nový právní rámec zajistil potřebnou flexibilitu umožňující vypořádat se se změnami na trhu bez nutnosti legislativních přezkumů. Podařilo by se tak vytvořit právní rámec, který obstojí i v budoucnu. </w:t>
            </w:r>
          </w:p>
          <w:p>
            <w:pPr>
              <w:jc w:val="both"/>
              <w:rPr>
                <w:noProof/>
                <w:sz w:val="20"/>
                <w:szCs w:val="20"/>
              </w:rPr>
            </w:pPr>
            <w:r>
              <w:rPr>
                <w:noProof/>
                <w:sz w:val="20"/>
              </w:rPr>
              <w:t>Komise však bude sledovat uplatňování nového právního rámce a předloží zprávu obsahující výsledky jejího hodnocení Evropskému parlamentu a Radě nejpozději pět let ode dne použitelnosti nového rámce.</w:t>
            </w:r>
          </w:p>
        </w:tc>
      </w:tr>
    </w:tbl>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E9F"/>
    <w:multiLevelType w:val="hybridMultilevel"/>
    <w:tmpl w:val="98FA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E13144"/>
    <w:multiLevelType w:val="hybridMultilevel"/>
    <w:tmpl w:val="85D8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B108FE"/>
    <w:multiLevelType w:val="hybridMultilevel"/>
    <w:tmpl w:val="3F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5A7690"/>
    <w:multiLevelType w:val="hybridMultilevel"/>
    <w:tmpl w:val="8BCA5DB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u367?vodní dokument k"/>
    <w:docVar w:name="LW_CORRIGENDUM" w:val="&lt;UNUSED&gt;"/>
    <w:docVar w:name="LW_COVERPAGE_EXISTS" w:val="True"/>
    <w:docVar w:name="LW_COVERPAGE_GUID" w:val="95D4CB46-2FDA-42A9-8525-9F021F4DB5B1"/>
    <w:docVar w:name="LW_COVERPAGE_TYPE" w:val="1"/>
    <w:docVar w:name="LW_CROSSREFERENCE" w:val="{COM(2018) 231 final}_x000b_{SEC(2018) 205 final}_x000b_{SWD(2018) 120 final}_x000b_{SWD(2018) 122 final}"/>
    <w:docVar w:name="LW_DocType" w:val="NORMAL"/>
    <w:docVar w:name="LW_EMISSION" w:val="27.4.2018"/>
    <w:docVar w:name="LW_EMISSION_ISODATE" w:val="2018-04-27"/>
    <w:docVar w:name="LW_EMISSION_LOCATION" w:val="BRX"/>
    <w:docVar w:name="LW_EMISSION_PREFIX" w:val="V Bruselu dne "/>
    <w:docVar w:name="LW_EMISSION_SUFFIX" w:val="&lt;EMPTY&gt;"/>
    <w:docVar w:name="LW_ID_DOCTYPE_NONLW" w:val="CP-027"/>
    <w:docVar w:name="LW_LANGUE" w:val="CS"/>
    <w:docVar w:name="LW_LEVEL_OF_SENSITIVITY" w:val="Standard treatment"/>
    <w:docVar w:name="LW_NOM.INST" w:val="EVROPSKÁ KOMISE"/>
    <w:docVar w:name="LW_NOM.INST_JOINTDOC" w:val="&lt;EMPTY&gt;"/>
    <w:docVar w:name="LW_OBJETACTEPRINCIPAL.CP" w:val="o provád\u283?ní a fungování jména domény nejvy\u353?\u353?í úrovn\u283? .eu a o zru\u353?ení na\u345?ízení (ES) \u269?. 733/2002 a na\u345?ízení Komise (ES) \u269?. 874/2004"/>
    <w:docVar w:name="LW_PART_NBR" w:val="1"/>
    <w:docVar w:name="LW_PART_NBR_TOTAL" w:val="1"/>
    <w:docVar w:name="LW_REF.INST.NEW" w:val="SWD"/>
    <w:docVar w:name="LW_REF.INST.NEW_ADOPTED" w:val="final"/>
    <w:docVar w:name="LW_REF.INST.NEW_TEXT" w:val="(2018) 1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PRACOVNÍ DOKUMENT ÚTVAR\u366? KOMISE_x000b__x000b_SOUHRN POSOUZENÍ DOPAD\u366?_x000b_"/>
    <w:docVar w:name="LW_TYPEACTEPRINCIPAL.CP" w:val="návrhu na\u345?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aliases w:val="Bullet List Paragraph,List Paragraph1"/>
    <w:basedOn w:val="Normal"/>
    <w:link w:val="ListParagraphChar"/>
    <w:uiPriority w:val="34"/>
    <w:qFormat/>
    <w:pPr>
      <w:ind w:left="720"/>
      <w:contextualSpacing/>
    </w:p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ListParagraphChar">
    <w:name w:val="List Paragraph Char"/>
    <w:aliases w:val="Bullet List Paragraph Char,List Paragraph1 Char"/>
    <w:basedOn w:val="DefaultParagraphFont"/>
    <w:link w:val="ListParagraph"/>
    <w:uiPriority w:val="34"/>
    <w:locked/>
    <w:rPr>
      <w:rFonts w:ascii="Times New Roman" w:eastAsia="Times New Roman" w:hAnsi="Times New Roman" w:cs="Times New Roman"/>
      <w:sz w:val="24"/>
      <w:szCs w:val="24"/>
      <w:lang w:eastAsia="cs-CZ"/>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cs-CZ"/>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cs-CZ"/>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eastAsia="cs-CZ"/>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lang w:eastAsia="cs-CZ"/>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aliases w:val="Bullet List Paragraph,List Paragraph1"/>
    <w:basedOn w:val="Normal"/>
    <w:link w:val="ListParagraphChar"/>
    <w:uiPriority w:val="34"/>
    <w:qFormat/>
    <w:pPr>
      <w:ind w:left="720"/>
      <w:contextualSpacing/>
    </w:p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ListParagraphChar">
    <w:name w:val="List Paragraph Char"/>
    <w:aliases w:val="Bullet List Paragraph Char,List Paragraph1 Char"/>
    <w:basedOn w:val="DefaultParagraphFont"/>
    <w:link w:val="ListParagraph"/>
    <w:uiPriority w:val="34"/>
    <w:locked/>
    <w:rPr>
      <w:rFonts w:ascii="Times New Roman" w:eastAsia="Times New Roman" w:hAnsi="Times New Roman" w:cs="Times New Roman"/>
      <w:sz w:val="24"/>
      <w:szCs w:val="24"/>
      <w:lang w:eastAsia="cs-CZ"/>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cs-CZ"/>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cs-CZ"/>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eastAsia="cs-CZ"/>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lang w:eastAsia="cs-CZ"/>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AA4FBDDAD295414E98B22993176C4E1A" ma:contentTypeVersion="10" ma:contentTypeDescription="Create a new document." ma:contentTypeScope="" ma:versionID="b4c6f56afe8325edf9052427cf8c7a41">
  <xsd:schema xmlns:xsd="http://www.w3.org/2001/XMLSchema" xmlns:xs="http://www.w3.org/2001/XMLSchema" xmlns:p="http://schemas.microsoft.com/office/2006/metadata/properties" xmlns:ns3="9a935a51-0e77-440d-bc26-d7c34829a5dc" xmlns:ns4="866aabb8-7ec2-447a-a7ff-f911015037e7" targetNamespace="http://schemas.microsoft.com/office/2006/metadata/properties" ma:root="true" ma:fieldsID="13b476b75b2d89a463e0f7a7c6b9ac5a" ns3:_="" ns4:_="">
    <xsd:import namespace="9a935a51-0e77-440d-bc26-d7c34829a5dc"/>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Finaliz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35a51-0e77-440d-bc26-d7c34829a5d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Finalized" ma:index="14" nillable="true" ma:displayName="Status" ma:format="Dropdown" ma:internalName="Finalized">
      <xsd:simpleType>
        <xsd:restriction base="dms:Choice">
          <xsd:enumeration value="Open"/>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nalized xmlns="9a935a51-0e77-440d-bc26-d7c34829a5dc" xsi:nil="true"/>
    <EC_Collab_DocumentLanguage xmlns="9a935a51-0e77-440d-bc26-d7c34829a5dc">EN</EC_Collab_DocumentLanguage>
    <EC_Collab_Reference xmlns="9a935a51-0e77-440d-bc26-d7c34829a5dc" xsi:nil="true"/>
    <_dlc_DocId xmlns="866aabb8-7ec2-447a-a7ff-f911015037e7">UVNUSV5RWJH5-634333729-446</_dlc_DocId>
    <_dlc_DocIdUrl xmlns="866aabb8-7ec2-447a-a7ff-f911015037e7">
      <Url>https://myintracomm-collab.ec.europa.eu/dg/CONNECT/directorateE/UnitE3/_layouts/15/DocIdRedir.aspx?ID=UVNUSV5RWJH5-634333729-446</Url>
      <Description>UVNUSV5RWJH5-634333729-446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970C7-C0B9-4E8E-8AE2-BA3764901DCE}">
  <ds:schemaRefs>
    <ds:schemaRef ds:uri="http://schemas.microsoft.com/sharepoint/events"/>
  </ds:schemaRefs>
</ds:datastoreItem>
</file>

<file path=customXml/itemProps2.xml><?xml version="1.0" encoding="utf-8"?>
<ds:datastoreItem xmlns:ds="http://schemas.openxmlformats.org/officeDocument/2006/customXml" ds:itemID="{E3605FB9-DC4F-414C-993F-CC603CA46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35a51-0e77-440d-bc26-d7c34829a5dc"/>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6aabb8-7ec2-447a-a7ff-f911015037e7"/>
    <ds:schemaRef ds:uri="9a935a51-0e77-440d-bc26-d7c34829a5dc"/>
    <ds:schemaRef ds:uri="http://www.w3.org/XML/1998/namespace"/>
    <ds:schemaRef ds:uri="http://purl.org/dc/dcmitype/"/>
  </ds:schemaRefs>
</ds:datastoreItem>
</file>

<file path=customXml/itemProps4.xml><?xml version="1.0" encoding="utf-8"?>
<ds:datastoreItem xmlns:ds="http://schemas.openxmlformats.org/officeDocument/2006/customXml" ds:itemID="{4BCCE80E-734A-4297-8D0E-984F7E32D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1297</Words>
  <Characters>7581</Characters>
  <Application>Microsoft Office Word</Application>
  <DocSecurity>0</DocSecurity>
  <Lines>108</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2018-01-16T15:37:00Z</cp:lastPrinted>
  <dcterms:created xsi:type="dcterms:W3CDTF">2018-04-06T15:20:00Z</dcterms:created>
  <dcterms:modified xsi:type="dcterms:W3CDTF">2018-05-18T09:56:00Z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Order">
    <vt:r8>400</vt:r8>
  </property>
  <property fmtid="{D5CDD505-2E9C-101B-9397-08002B2CF9AE}" pid="5" name="xd_Signature">
    <vt:bool>false</vt:bool>
  </property>
  <property fmtid="{D5CDD505-2E9C-101B-9397-08002B2CF9AE}" pid="6" name="xd_ProgID">
    <vt:lpwstr/>
  </property>
  <property fmtid="{D5CDD505-2E9C-101B-9397-08002B2CF9AE}" pid="7" name="_NewReviewCycle">
    <vt:lpwstr/>
  </property>
  <property fmtid="{D5CDD505-2E9C-101B-9397-08002B2CF9AE}" pid="8" name="ContentTypeId">
    <vt:lpwstr>0x010100258AA79CEB83498886A3A0868112325000AA4FBDDAD295414E98B22993176C4E1A</vt:lpwstr>
  </property>
  <property fmtid="{D5CDD505-2E9C-101B-9397-08002B2CF9AE}" pid="9" name="TemplateUrl">
    <vt:lpwstr/>
  </property>
  <property fmtid="{D5CDD505-2E9C-101B-9397-08002B2CF9AE}" pid="10" name="_dlc_DocIdItemGuid">
    <vt:lpwstr>59bab8ef-dd9b-4a0b-ba75-80df39780857</vt:lpwstr>
  </property>
  <property fmtid="{D5CDD505-2E9C-101B-9397-08002B2CF9AE}" pid="11" name="DocStatus">
    <vt:lpwstr>Green</vt:lpwstr>
  </property>
  <property fmtid="{D5CDD505-2E9C-101B-9397-08002B2CF9AE}" pid="12" name="Level of sensitivity">
    <vt:lpwstr>Standard treatment</vt:lpwstr>
  </property>
</Properties>
</file>