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549CE75-BCD0-400B-B821-C87BE7B1B8A7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ANHANG</w:t>
      </w:r>
    </w:p>
    <w:p>
      <w:pPr>
        <w:rPr>
          <w:noProof/>
        </w:rPr>
      </w:pPr>
      <w:r>
        <w:rPr>
          <w:noProof/>
        </w:rPr>
        <w:t>Die Anhänge der Richtlinie 2008/96/EG werden wie folgt geändert: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Der Titel von Anhang I erhält folgende Fassung:</w:t>
      </w:r>
    </w:p>
    <w:p>
      <w:pPr>
        <w:ind w:left="130" w:firstLine="720"/>
        <w:rPr>
          <w:noProof/>
        </w:rPr>
      </w:pPr>
      <w:r>
        <w:rPr>
          <w:noProof/>
        </w:rPr>
        <w:t>„ANHANG I</w:t>
      </w:r>
    </w:p>
    <w:p>
      <w:pPr>
        <w:ind w:left="130" w:firstLine="720"/>
        <w:rPr>
          <w:noProof/>
        </w:rPr>
      </w:pPr>
      <w:r>
        <w:rPr>
          <w:noProof/>
        </w:rPr>
        <w:t>ELEMENTE DER FOLGENABSCHÄTZUNGEN HINSICHTLICH DER STRAẞENVERKEHRSSICHERHEIT“;</w:t>
      </w:r>
    </w:p>
    <w:p>
      <w:pPr>
        <w:pStyle w:val="Point0number"/>
        <w:rPr>
          <w:noProof/>
        </w:rPr>
      </w:pPr>
      <w:r>
        <w:rPr>
          <w:noProof/>
        </w:rPr>
        <w:t>Anhang II wird wie folgt geändert: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Der Titel erhält folgende Fassung:</w:t>
      </w:r>
    </w:p>
    <w:p>
      <w:pPr>
        <w:ind w:left="130" w:firstLine="720"/>
        <w:rPr>
          <w:noProof/>
        </w:rPr>
      </w:pPr>
      <w:r>
        <w:rPr>
          <w:noProof/>
        </w:rPr>
        <w:t>„ANHANG II</w:t>
      </w:r>
    </w:p>
    <w:p>
      <w:pPr>
        <w:ind w:left="130" w:firstLine="720"/>
        <w:rPr>
          <w:noProof/>
        </w:rPr>
      </w:pPr>
      <w:r>
        <w:rPr>
          <w:noProof/>
        </w:rPr>
        <w:t>ELEMENTE DER STRAẞENVERKEHRSSICHERHEITSAUDITS“;</w:t>
      </w:r>
    </w:p>
    <w:p>
      <w:pPr>
        <w:rPr>
          <w:noProof/>
        </w:rPr>
      </w:pPr>
      <w:r>
        <w:rPr>
          <w:noProof/>
        </w:rPr>
        <w:t>b) Dem Abschnitt 1 wird folgender Buchstabe n angefügt:</w:t>
      </w:r>
    </w:p>
    <w:p>
      <w:pPr>
        <w:ind w:left="130" w:firstLine="720"/>
        <w:rPr>
          <w:noProof/>
        </w:rPr>
      </w:pPr>
      <w:r>
        <w:rPr>
          <w:noProof/>
        </w:rPr>
        <w:t>„n)</w:t>
      </w:r>
      <w:r>
        <w:rPr>
          <w:noProof/>
        </w:rPr>
        <w:tab/>
        <w:t>Bestimmungen für verletzungsgefährdete Verkehrsteilnehmer:</w:t>
      </w:r>
    </w:p>
    <w:p>
      <w:pPr>
        <w:ind w:left="130"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Bestimmungen für Fußgänger,</w:t>
      </w:r>
    </w:p>
    <w:p>
      <w:pPr>
        <w:ind w:left="130" w:firstLine="720"/>
        <w:rPr>
          <w:noProof/>
        </w:rPr>
      </w:pPr>
      <w:r>
        <w:rPr>
          <w:noProof/>
        </w:rPr>
        <w:t>ii)</w:t>
      </w:r>
      <w:r>
        <w:rPr>
          <w:noProof/>
        </w:rPr>
        <w:tab/>
        <w:t>Bestimmungen für Radfahrer,</w:t>
      </w:r>
    </w:p>
    <w:p>
      <w:pPr>
        <w:ind w:left="697" w:firstLine="153"/>
        <w:rPr>
          <w:noProof/>
        </w:rPr>
      </w:pPr>
      <w:r>
        <w:rPr>
          <w:noProof/>
        </w:rPr>
        <w:t>iii)</w:t>
      </w:r>
      <w:r>
        <w:rPr>
          <w:noProof/>
        </w:rPr>
        <w:tab/>
        <w:t>Bestimmungen für zweirädrige Kraftfahrzeuge.“.</w:t>
      </w:r>
    </w:p>
    <w:p>
      <w:pPr>
        <w:rPr>
          <w:noProof/>
        </w:rPr>
      </w:pPr>
      <w:r>
        <w:rPr>
          <w:noProof/>
        </w:rPr>
        <w:t>c) Abschnitt 2 Buchstabe h erhält folgende Fassung:</w:t>
      </w:r>
    </w:p>
    <w:p>
      <w:pPr>
        <w:ind w:left="130" w:firstLine="720"/>
        <w:rPr>
          <w:noProof/>
        </w:rPr>
      </w:pPr>
      <w:r>
        <w:rPr>
          <w:noProof/>
        </w:rPr>
        <w:t>„h)</w:t>
      </w:r>
      <w:r>
        <w:rPr>
          <w:noProof/>
        </w:rPr>
        <w:tab/>
        <w:t>Bestimmungen für verletzungsgefährdete Verkehrsteilnehmer:</w:t>
      </w:r>
    </w:p>
    <w:p>
      <w:pPr>
        <w:ind w:left="130" w:firstLine="720"/>
        <w:rPr>
          <w:noProof/>
        </w:rPr>
      </w:pPr>
      <w:r>
        <w:rPr>
          <w:noProof/>
        </w:rPr>
        <w:t>i) Bestimmungen für Fußgänger,</w:t>
      </w:r>
    </w:p>
    <w:p>
      <w:pPr>
        <w:ind w:left="130" w:firstLine="720"/>
        <w:rPr>
          <w:noProof/>
        </w:rPr>
      </w:pPr>
      <w:r>
        <w:rPr>
          <w:noProof/>
        </w:rPr>
        <w:t>ii) Bestimmungen für Radfahrer,</w:t>
      </w:r>
    </w:p>
    <w:p>
      <w:pPr>
        <w:ind w:left="130" w:firstLine="720"/>
        <w:rPr>
          <w:noProof/>
        </w:rPr>
      </w:pPr>
      <w:r>
        <w:rPr>
          <w:noProof/>
        </w:rPr>
        <w:t>iii) Bestimmungen für zweirädrige Kraftfahrzeuge;“.</w:t>
      </w:r>
    </w:p>
    <w:p>
      <w:pPr>
        <w:pStyle w:val="Point0number"/>
        <w:rPr>
          <w:noProof/>
        </w:rPr>
      </w:pPr>
      <w:r>
        <w:rPr>
          <w:noProof/>
        </w:rPr>
        <w:t>Der folgende Anhang IIa wird eingefügt:</w:t>
      </w:r>
    </w:p>
    <w:p>
      <w:pPr>
        <w:rPr>
          <w:b/>
          <w:bCs/>
          <w:noProof/>
        </w:rPr>
      </w:pPr>
      <w:r>
        <w:rPr>
          <w:b/>
          <w:noProof/>
        </w:rPr>
        <w:t>„ANHANG IIa</w:t>
      </w:r>
    </w:p>
    <w:p>
      <w:pPr>
        <w:rPr>
          <w:b/>
          <w:bCs/>
          <w:noProof/>
        </w:rPr>
      </w:pPr>
      <w:r>
        <w:rPr>
          <w:b/>
          <w:noProof/>
        </w:rPr>
        <w:t>ELEMENTE DER STRAẞENSICHERHEITSPRÜFUNGEN“;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Straßentrassierung und Querschnitt:</w:t>
      </w:r>
    </w:p>
    <w:p>
      <w:pPr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Sichtbarkeit und Sichtweiten;</w:t>
      </w:r>
    </w:p>
    <w:p>
      <w:pPr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Geschwindigkeitsbeschränkung und Geschwindigkeitszonen;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Selbsterklärende Trassierung (d. h. Erkennbarkeit der Trassierung durch die Fahrer);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Zugang zu angrenzenden Grundstücken und Erschließungen;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Zugang von Einsatz- und Dienstfahrzeugen;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Sicherheitsvorkehrungen an Brücken und Durchlässen;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Gestaltung des Straßenrands (Randstreifen, unbefestigter Fahrbahnrand, Abtrage- und Aufschüttungsböschungen).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Kreuzungen und Knotenpunkte: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Eignung der Art der Kreuzung/des Knotenpunkts;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Geometrie der Kreuzung/Gestaltung des Knotenpunkts;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Sichtbarkeit und Erkennbarkeit (Wahrnehmung) von Kreuzungen;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Sichtbarkeit an der Kreuzung;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Gestaltung zusätzlicher Fahrspuren an Kreuzungen;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Verkehrsregelung an Kreuzungen (z. B. Halt-Zeichen, Lichtsignalanlagen usw.);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Fußgängerüberwege vorhanden.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Bestimmungen für verletzungsgefährdete Verkehrsteilnehmer: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Bestimmungen für Fußgänger,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Bestimmungen für Radfahrer,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Bestimmungen für zweirädrige Kraftfahrzeuge;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öffentliche Verkehrsmittel und Infrastrukturen;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schienengleiche Bahnübergänge.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Beleuchtung, Beschilderung und Markierungen: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kohärente Verkehrszeichen, keine Sichtbehinderung;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Erkennbarkeit von Straßenverkehrszeichen (Anordnung, Größe, Farbe);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Wegweiser;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kohärente Fahrbahnmarkierungen und Abgrenzung;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Erkennbarkeit der Fahrbahnmarkierungen (Anordnung, Abmessungen und Retroreflexion unter trockenen und feuchten Bedingungen);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geeigneter Kontrast von Fahrbahnmarkierungen;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Beleuchtung von Straßen und Kreuzungen;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geeignete straßenseitige Ausrüstung.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Lichtsignalanlagen: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Betrieb;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Sichtbarkeit.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Objekte, Freiflächen und Rückhaltesysteme: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Straßenseitenraum einschließlich Vegetation;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Gefahren am Straßenrand und Abstand vom Fahrbahnrand;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benutzerfreundliche Anpassung von Rückhaltesystemen (Mittelstreifen und Leitschienen zur Vermeidung einer Gefährdung verletzungsgefährdeter Verkehrsteilnehmer);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Gestaltung der Leitschienenenden;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geeignete Rückhaltesysteme an Straßen und Brücken und Durchlässen;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Zäune (in Straßen mit beschränktem Zugang).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Straßenbelag: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Schäden am Straßenbelag;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Griffigkeit;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loses Material/Kies/Steine;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Pfützenbildung, Wasserableitung.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Sonstige Aspekte: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Bereitstellung sicherer Parkplätze und Rastanlagen;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Vorkehrungen für schwere Nutzfahrzeuge;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Blendung durch Scheinwerfer;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Straßenbauarbeiten;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unsichere Tätigkeiten am Straßenrand;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geeignete Informationen in der ITS-Ausrüstung (z. B. Wechselverkehrszeichen);</w:t>
      </w:r>
    </w:p>
    <w:p>
      <w:pPr>
        <w:rPr>
          <w:noProof/>
        </w:rPr>
      </w:pPr>
      <w:r>
        <w:rPr>
          <w:noProof/>
        </w:rPr>
        <w:t xml:space="preserve">g) </w:t>
      </w:r>
      <w:r>
        <w:rPr>
          <w:noProof/>
        </w:rPr>
        <w:tab/>
        <w:t>Wildtiere und andere Tiere</w:t>
      </w:r>
    </w:p>
    <w:p>
      <w:pPr>
        <w:rPr>
          <w:noProof/>
        </w:rPr>
      </w:pPr>
      <w:r>
        <w:rPr>
          <w:noProof/>
        </w:rPr>
        <w:t xml:space="preserve">h) </w:t>
      </w:r>
      <w:r>
        <w:rPr>
          <w:noProof/>
        </w:rPr>
        <w:tab/>
        <w:t>Hinweise auf Schulen (falls zutreffend).“.</w:t>
      </w:r>
    </w:p>
    <w:p>
      <w:pPr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Anhang III erhält folgende Fassung:</w:t>
      </w:r>
    </w:p>
    <w:p>
      <w:pPr>
        <w:rPr>
          <w:b/>
          <w:bCs/>
          <w:noProof/>
        </w:rPr>
      </w:pPr>
      <w:r>
        <w:rPr>
          <w:b/>
          <w:noProof/>
        </w:rPr>
        <w:t>„Anhang III</w:t>
      </w:r>
    </w:p>
    <w:p>
      <w:pPr>
        <w:rPr>
          <w:b/>
          <w:bCs/>
          <w:noProof/>
        </w:rPr>
      </w:pPr>
      <w:r>
        <w:rPr>
          <w:b/>
          <w:noProof/>
        </w:rPr>
        <w:t>ELEMENTE DER STRAẞENBEWERTUNGEN IM GESAMTEN STRAẞENNETZ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Allgemein:</w:t>
      </w:r>
    </w:p>
    <w:p>
      <w:pPr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Art der Straße in Bezug auf Art und Größe der Regionen/Städte, die sie verbindet;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Länge des Straßenabschnitts;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Gebietstyp (ländlich, städtisch);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Flächennutzung (Bildungseinrichtungen, Handel, Industrie und verarbeitendes Gewerbe, Wohngebäude, Landwirtschaft, unerschlossene Gebiete);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Dichte der Zugangspunkte zu Grundstücken;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Vorhandensein einer Versorgungsstraße (z. B. für Geschäfte);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Vorhandensein von Straßenbauarbeiten;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 xml:space="preserve">Vorhandensein von Parkplätzen. 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Verkehrsaufkommen;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Verkehrsaufkommen;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festgestelltes Kraftradaufkommen;</w:t>
      </w:r>
    </w:p>
    <w:p>
      <w:pPr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festgestelltes Fußgängeraufkommen auf beiden Seiten, unter Hinweis darauf, ob sie sich „entlang“ der Straße bewegen oder diese „queren“;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festgestelltes Fahrradaufkommen;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festgestelltes Schwerverkehrsaufkommen;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geschätzte Fußgängerströme in Abhängigkeit von der Nutzung der angrenzenden Flächen;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geschätzte Fahrradströme in Abhängigkeit von der Nutzung der angrenzenden Flächen.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Unfalldaten: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Anzahl und Ort tödlicher Unfälle nach Verkehrsteilnehmergruppe;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Anzahl und Ort der Unfälle mit Schwerverletzten nach Verkehrsteilnehmergruppe.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Betriebsmerkmale: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Geschwindigkeitsbeschränkung (allgemein, für Krafträder; für Lastkraftwagen);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Betriebsgeschwindigkeit (85. Perzentile);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Geschwindigkeitsmanagement und/oder Verkehrsberuhigung;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Vorhandensein von ITS-Geräten: Stauhinweise, Wechselverkehrszeichen;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Hinweis auf eine Schule;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Anwesenheit eines Schülerlotsen zu vorgeschriebenen Zeiten.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Geometrische Merkmale: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Querschnittsmerkmale (Anzahl, Art und Breite der Fahrstreifen, Layout und Material des Mittelstreifens, Radspuren, Fußwege usw.) einschließlich ihrer Variabilität;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horizontale Krümmung;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Gefälle und vertikale Trassierung;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Sichtbarkeit und Sichtweiten.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Objekte, Freiflächen und Rückhaltesysteme: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Straßenseitenraum und Freiflächen;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feststehende Hindernisse neben der Straße (z. B. Beleuchtungsmasten, Bäume usw.);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Abstand der Hindernisse von der Straße;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Hindernisdichte; 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Rüttelstreifen;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Rückhaltesysteme.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Kreuzungen: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Art der Kreuzung und Anzahl der Straßenäste (unter besonderer Berücksichtigung der Art der Kontrolle und des Vorhandenseins geschützter Abbiegespuren);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„Kanalisierung“ des Verkehrs;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Qualität der Kreuzung;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Verkehrsaufkommen der kreuzenden Straße;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Vorhandensein von schienengleichen Bahnübergängen.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Instandhaltung: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Schäden am Straßenbelag;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Griffigkeit des Straßenbelags;</w:t>
      </w:r>
    </w:p>
    <w:p>
      <w:pPr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Zustand des Randstreifens (einschließlich Vegetation);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Zustand der Zeichen, Markierungen und Abgrenzungen;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Zustand der Rückhaltesysteme.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</w:t>
      </w:r>
      <w:r>
        <w:rPr>
          <w:noProof/>
        </w:rPr>
        <w:tab/>
        <w:t>Einrichtungen für verletzungsgefährdete Verkehrsteilnehmer: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Fußgängerüberwege (höhengleich und Überführung/Unterführung);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Fußgängerabsperrungen;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Bestehen eines Gehweges oder eines getrennten Weges;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Radwege;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Qualität des Fußgängerüberwegs in Bezug auf seine Sichtbarkeit und Beschilderung;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Fußgängerüberweg auf dem Einfahrbereich des einmündenden untergeordneten Straßennetzes.</w:t>
      </w:r>
    </w:p>
    <w:p>
      <w:pPr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In Anhang IV wird Nummer 1 durch folgenden Wortlaut ersetzt:</w:t>
      </w:r>
    </w:p>
    <w:p>
      <w:pPr>
        <w:ind w:firstLine="720"/>
        <w:rPr>
          <w:noProof/>
        </w:rPr>
      </w:pPr>
      <w:r>
        <w:rPr>
          <w:noProof/>
        </w:rPr>
        <w:t>„1. Möglichst genaue Lage des Unfallortes, einschließlich GNSS-Koordinaten;“.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A9628" w15:done="0"/>
  <w15:commentEx w15:paraId="1D8F39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CF8DE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AE66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19CB1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40D8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94653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F2D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6C8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D2F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C Ivan (MOVE)">
    <w15:presenceInfo w15:providerId="None" w15:userId="LUKAC Ivan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7 13:58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"/>
    <w:docVar w:name="LW_ACCOMPAGNANT.CP" w:val="des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549CE75-BCD0-400B-B821-C87BE7B1B8A7"/>
    <w:docVar w:name="LW_COVERPAGE_TYPE" w:val="1"/>
    <w:docVar w:name="LW_CROSSREFERENCE" w:val="{SEC(2018) 226 final}_x000b_{SWD(2018) 175 final}_x000b_{SWD(2018) 176 final}"/>
    <w:docVar w:name="LW_DocType" w:val="ANNEX"/>
    <w:docVar w:name="LW_EMISSION" w:val="17.5.2018"/>
    <w:docVar w:name="LW_EMISSION_ISODATE" w:val="2018-05-17"/>
    <w:docVar w:name="LW_EMISSION_LOCATION" w:val="BRX"/>
    <w:docVar w:name="LW_EMISSION_PREFIX" w:val="Brüssel, den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Änderung der Richtlinie 2008/96/EC über ein Sicherheitsmanagement für die Straßeninfrastruktur"/>
    <w:docVar w:name="LW_OBJETACTEPRINCIPAL.CP" w:val="zur Änderung der Richtlinie 2008/96/EC über ein Sicherheitsmanagement für die Straßeninfrastruktur"/>
    <w:docVar w:name="LW_PART_NBR" w:val="1"/>
    <w:docVar w:name="LW_PART_NBR_TOTAL" w:val="1"/>
    <w:docVar w:name="LW_REF.INST.NEW" w:val="COM"/>
    <w:docVar w:name="LW_REF.INST.NEW_ADOPTED" w:val="final"/>
    <w:docVar w:name="LW_REF.INST.NEW_TEXT" w:val="(2018) 27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orschlags für eine RICHTLINIE DES EUROPÄISCHEN PARLAMENTS UND DES RATES"/>
    <w:docVar w:name="LW_TYPEACTEPRINCIPAL.CP" w:val="Vorschlags für eine RICHTLINIE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B46C-1D47-494E-B4B3-60197C14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781</Words>
  <Characters>6074</Characters>
  <Application>Microsoft Office Word</Application>
  <DocSecurity>0</DocSecurity>
  <Lines>173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EORDOGH Attila (MOVE)</dc:creator>
  <cp:lastModifiedBy>DIGIT/A3</cp:lastModifiedBy>
  <cp:revision>8</cp:revision>
  <cp:lastPrinted>2018-03-09T16:48:00Z</cp:lastPrinted>
  <dcterms:created xsi:type="dcterms:W3CDTF">2018-05-15T05:59:00Z</dcterms:created>
  <dcterms:modified xsi:type="dcterms:W3CDTF">2018-05-17T11:58:00Z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