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ABE" w:rsidRDefault="007B1A2A" w:rsidP="007B1A2A">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ACA158CA-41CD-480A-BB74-45BFF19636D8" style="width:450.75pt;height:406.5pt">
            <v:imagedata r:id="rId9" o:title=""/>
          </v:shape>
        </w:pict>
      </w:r>
    </w:p>
    <w:bookmarkEnd w:id="0"/>
    <w:p w:rsidR="00F15ABE" w:rsidRDefault="00F15ABE">
      <w:pPr>
        <w:rPr>
          <w:noProof/>
        </w:rPr>
        <w:sectPr w:rsidR="00F15ABE" w:rsidSect="007B1A2A">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2"/>
          <w:cols w:space="720"/>
          <w:docGrid w:linePitch="360"/>
        </w:sectPr>
      </w:pPr>
    </w:p>
    <w:p w:rsidR="00F15ABE" w:rsidRDefault="007B1A2A">
      <w:pPr>
        <w:spacing w:after="360"/>
        <w:jc w:val="center"/>
        <w:rPr>
          <w:rFonts w:ascii="Times New Roman" w:hAnsi="Times New Roman"/>
          <w:b/>
          <w:noProof/>
          <w:sz w:val="24"/>
          <w:szCs w:val="24"/>
          <w:u w:val="single"/>
        </w:rPr>
      </w:pPr>
      <w:r>
        <w:rPr>
          <w:rFonts w:ascii="Times New Roman" w:hAnsi="Times New Roman"/>
          <w:b/>
          <w:noProof/>
          <w:sz w:val="24"/>
          <w:u w:val="single"/>
        </w:rPr>
        <w:lastRenderedPageBreak/>
        <w:t>Anhang 1: Strategischer Aktionsplan zur Straßenverkehrssicherheit</w:t>
      </w:r>
    </w:p>
    <w:p w:rsidR="00F15ABE" w:rsidRDefault="007B1A2A">
      <w:pPr>
        <w:spacing w:after="480" w:line="240" w:lineRule="auto"/>
        <w:jc w:val="both"/>
        <w:rPr>
          <w:rFonts w:ascii="Times New Roman" w:hAnsi="Times New Roman"/>
          <w:noProof/>
          <w:sz w:val="24"/>
          <w:szCs w:val="24"/>
        </w:rPr>
      </w:pPr>
      <w:r>
        <w:rPr>
          <w:rFonts w:ascii="Times New Roman" w:hAnsi="Times New Roman"/>
          <w:noProof/>
          <w:sz w:val="24"/>
        </w:rPr>
        <w:t xml:space="preserve">In diesem Anhang werden spezifische Maßnahmen skizziert, die unter dem Mandat der derzeitigen Kommission, d. h. bis zum Ende des 3. Quartals 2019, geplant sind. </w:t>
      </w:r>
      <w:r>
        <w:rPr>
          <w:rFonts w:ascii="Times New Roman" w:hAnsi="Times New Roman"/>
          <w:b/>
          <w:noProof/>
          <w:sz w:val="24"/>
        </w:rPr>
        <w:t xml:space="preserve">Für diese Maßnahmen ist ein bestimmter Zeitrahmen vorgesehen. </w:t>
      </w:r>
      <w:r>
        <w:rPr>
          <w:rFonts w:ascii="Times New Roman" w:hAnsi="Times New Roman"/>
          <w:noProof/>
          <w:sz w:val="24"/>
        </w:rPr>
        <w:t>Der Tätigkeit der nächsten Kommis</w:t>
      </w:r>
      <w:r>
        <w:rPr>
          <w:rFonts w:ascii="Times New Roman" w:hAnsi="Times New Roman"/>
          <w:noProof/>
          <w:sz w:val="24"/>
        </w:rPr>
        <w:t xml:space="preserve">sion kann selbstverständlich nicht vorgegriffen werden, doch werden zusätzliche, für die Zeit nach 2019 geplante Maßnahmen dargelegt, als Hinweis und </w:t>
      </w:r>
      <w:r>
        <w:rPr>
          <w:rFonts w:ascii="Times New Roman" w:hAnsi="Times New Roman"/>
          <w:b/>
          <w:noProof/>
          <w:sz w:val="24"/>
        </w:rPr>
        <w:t>ohne speziellen Zeitrahmen</w:t>
      </w:r>
      <w:r>
        <w:rPr>
          <w:rFonts w:ascii="Times New Roman" w:hAnsi="Times New Roman"/>
          <w:noProof/>
          <w:sz w:val="24"/>
        </w:rPr>
        <w:t>.</w:t>
      </w:r>
      <w:r>
        <w:rPr>
          <w:rFonts w:ascii="Times New Roman" w:hAnsi="Times New Roman"/>
          <w:b/>
          <w:noProof/>
          <w:sz w:val="24"/>
        </w:rPr>
        <w:t xml:space="preserve"> </w:t>
      </w:r>
    </w:p>
    <w:p w:rsidR="00F15ABE" w:rsidRDefault="007B1A2A">
      <w:pPr>
        <w:spacing w:after="240" w:line="240" w:lineRule="auto"/>
        <w:jc w:val="both"/>
        <w:outlineLvl w:val="0"/>
        <w:rPr>
          <w:rFonts w:ascii="Times New Roman" w:hAnsi="Times New Roman"/>
          <w:b/>
          <w:noProof/>
          <w:sz w:val="24"/>
          <w:szCs w:val="24"/>
        </w:rPr>
      </w:pPr>
      <w:r>
        <w:rPr>
          <w:rFonts w:ascii="Times New Roman" w:hAnsi="Times New Roman"/>
          <w:b/>
          <w:noProof/>
          <w:sz w:val="24"/>
        </w:rPr>
        <w:t>1. Verstärkte Steuerung im Bereich der Straßenverkehrssicherheit</w:t>
      </w:r>
    </w:p>
    <w:p w:rsidR="00F15ABE" w:rsidRDefault="007B1A2A">
      <w:pPr>
        <w:spacing w:after="240" w:line="240" w:lineRule="auto"/>
        <w:jc w:val="both"/>
        <w:outlineLvl w:val="0"/>
        <w:rPr>
          <w:rFonts w:ascii="Times New Roman" w:hAnsi="Times New Roman"/>
          <w:noProof/>
          <w:sz w:val="24"/>
          <w:szCs w:val="24"/>
        </w:rPr>
      </w:pPr>
      <w:r>
        <w:rPr>
          <w:rFonts w:ascii="Times New Roman" w:hAnsi="Times New Roman"/>
          <w:noProof/>
          <w:sz w:val="24"/>
        </w:rPr>
        <w:t>Um den ins S</w:t>
      </w:r>
      <w:r>
        <w:rPr>
          <w:rFonts w:ascii="Times New Roman" w:hAnsi="Times New Roman"/>
          <w:noProof/>
          <w:sz w:val="24"/>
        </w:rPr>
        <w:t>tocken geratenen Trend bei den Zahlen zur Straßenverkehrssicherheit umzukehren und sich dem Ziel anzunähern, die Zahl der Verkehrstoten in der EU bis 2050 nahe Null zu bringen („Vision Null“), ist ein neuer Ansatz erforderlich. Der EU-Rahmen für die Politi</w:t>
      </w:r>
      <w:r>
        <w:rPr>
          <w:rFonts w:ascii="Times New Roman" w:hAnsi="Times New Roman"/>
          <w:noProof/>
          <w:sz w:val="24"/>
        </w:rPr>
        <w:t xml:space="preserve">k im Bereich der Straßenverkehrssicherheit 2021-2030, dessen Einzelheiten bis 2019 auszuarbeiten sind, beruht auf dem </w:t>
      </w:r>
      <w:r>
        <w:rPr>
          <w:rFonts w:ascii="Times New Roman" w:hAnsi="Times New Roman"/>
          <w:b/>
          <w:noProof/>
          <w:sz w:val="24"/>
        </w:rPr>
        <w:t>„Safe System“-Ansatz</w:t>
      </w:r>
      <w:r>
        <w:rPr>
          <w:rFonts w:ascii="Times New Roman" w:hAnsi="Times New Roman"/>
          <w:noProof/>
          <w:sz w:val="24"/>
        </w:rPr>
        <w:t xml:space="preserve">. Hierfür müssen eindeutige </w:t>
      </w:r>
      <w:r>
        <w:rPr>
          <w:rFonts w:ascii="Times New Roman" w:hAnsi="Times New Roman"/>
          <w:b/>
          <w:noProof/>
          <w:sz w:val="24"/>
        </w:rPr>
        <w:t>Ziele</w:t>
      </w:r>
      <w:r>
        <w:rPr>
          <w:rFonts w:ascii="Times New Roman" w:hAnsi="Times New Roman"/>
          <w:noProof/>
          <w:sz w:val="24"/>
        </w:rPr>
        <w:t xml:space="preserve"> festgelegt und die Fortschritte mithilfe </w:t>
      </w:r>
      <w:r>
        <w:rPr>
          <w:rFonts w:ascii="Times New Roman" w:hAnsi="Times New Roman"/>
          <w:b/>
          <w:noProof/>
          <w:sz w:val="24"/>
        </w:rPr>
        <w:t>wesentlicher Leistungsindikatoren</w:t>
      </w:r>
      <w:r>
        <w:rPr>
          <w:rFonts w:ascii="Times New Roman" w:hAnsi="Times New Roman"/>
          <w:noProof/>
          <w:sz w:val="24"/>
        </w:rPr>
        <w:t xml:space="preserve"> überwacht</w:t>
      </w:r>
      <w:r>
        <w:rPr>
          <w:rFonts w:ascii="Times New Roman" w:hAnsi="Times New Roman"/>
          <w:noProof/>
          <w:sz w:val="24"/>
        </w:rPr>
        <w:t xml:space="preserve"> werden, die unmittelbar mit der Verhütung von Todesopfern und Schwerverletzten unter allen Straßenverkehrsteilnehmern verknüpft sind.  Dies erfordert </w:t>
      </w:r>
      <w:r>
        <w:rPr>
          <w:rFonts w:ascii="Times New Roman" w:hAnsi="Times New Roman"/>
          <w:b/>
          <w:noProof/>
          <w:sz w:val="24"/>
        </w:rPr>
        <w:t>koordinierte Maßnahmen in allen Sektoren und für alle Straßenverkehrsteilnehmer</w:t>
      </w:r>
      <w:r>
        <w:rPr>
          <w:rFonts w:ascii="Times New Roman" w:hAnsi="Times New Roman"/>
          <w:noProof/>
          <w:sz w:val="24"/>
        </w:rPr>
        <w:t xml:space="preserve"> im Rahmen einer verstärkt</w:t>
      </w:r>
      <w:r>
        <w:rPr>
          <w:rFonts w:ascii="Times New Roman" w:hAnsi="Times New Roman"/>
          <w:noProof/>
          <w:sz w:val="24"/>
        </w:rPr>
        <w:t>en Steuerungsstruktur.</w:t>
      </w:r>
    </w:p>
    <w:p w:rsidR="00F15ABE" w:rsidRDefault="007B1A2A">
      <w:pPr>
        <w:pBdr>
          <w:top w:val="single" w:sz="4" w:space="1" w:color="auto"/>
          <w:left w:val="single" w:sz="4" w:space="4" w:color="auto"/>
          <w:bottom w:val="single" w:sz="4" w:space="1" w:color="auto"/>
          <w:right w:val="single" w:sz="4" w:space="4" w:color="auto"/>
        </w:pBdr>
        <w:spacing w:after="120" w:line="240" w:lineRule="auto"/>
        <w:jc w:val="center"/>
        <w:outlineLvl w:val="0"/>
        <w:rPr>
          <w:rFonts w:ascii="Times New Roman" w:hAnsi="Times New Roman"/>
          <w:b/>
          <w:noProof/>
          <w:sz w:val="24"/>
          <w:szCs w:val="24"/>
        </w:rPr>
      </w:pPr>
      <w:r>
        <w:rPr>
          <w:rFonts w:ascii="Times New Roman" w:hAnsi="Times New Roman"/>
          <w:b/>
          <w:noProof/>
          <w:sz w:val="24"/>
        </w:rPr>
        <w:t>Zentrale Steuerungsmaßnahmen</w:t>
      </w:r>
    </w:p>
    <w:p w:rsidR="00F15ABE" w:rsidRDefault="007B1A2A">
      <w:pPr>
        <w:pBdr>
          <w:top w:val="single" w:sz="4" w:space="1" w:color="auto"/>
          <w:left w:val="single" w:sz="4" w:space="4" w:color="auto"/>
          <w:bottom w:val="single" w:sz="4" w:space="1" w:color="auto"/>
          <w:right w:val="single" w:sz="4" w:space="4" w:color="auto"/>
        </w:pBdr>
        <w:spacing w:after="120" w:line="240" w:lineRule="auto"/>
        <w:jc w:val="both"/>
        <w:outlineLvl w:val="0"/>
        <w:rPr>
          <w:rFonts w:ascii="Times New Roman" w:hAnsi="Times New Roman"/>
          <w:noProof/>
          <w:sz w:val="24"/>
          <w:szCs w:val="24"/>
        </w:rPr>
      </w:pPr>
      <w:r>
        <w:rPr>
          <w:rFonts w:ascii="Times New Roman" w:hAnsi="Times New Roman"/>
          <w:b/>
          <w:noProof/>
          <w:sz w:val="24"/>
        </w:rPr>
        <w:t>Die Kommission wird</w:t>
      </w:r>
      <w:r>
        <w:rPr>
          <w:rFonts w:ascii="Times New Roman" w:hAnsi="Times New Roman"/>
          <w:noProof/>
          <w:sz w:val="24"/>
        </w:rPr>
        <w:t xml:space="preserve"> die in dieser Mitteilung genannten Grundsätze für einen EU-Rahmen für die Politik im Bereich der Straßenverkehrssicherheit 2021-2030 konkretisieren [2. Quartal 2019], darunter</w:t>
      </w:r>
    </w:p>
    <w:p w:rsidR="00F15ABE" w:rsidRDefault="007B1A2A">
      <w:pPr>
        <w:pStyle w:val="ListParagraph"/>
        <w:numPr>
          <w:ilvl w:val="0"/>
          <w:numId w:val="6"/>
        </w:numPr>
        <w:pBdr>
          <w:top w:val="single" w:sz="4" w:space="1" w:color="auto"/>
          <w:left w:val="single" w:sz="4" w:space="4" w:color="auto"/>
          <w:bottom w:val="single" w:sz="4" w:space="1" w:color="auto"/>
          <w:right w:val="single" w:sz="4" w:space="4" w:color="auto"/>
        </w:pBdr>
        <w:spacing w:after="0" w:line="240" w:lineRule="auto"/>
        <w:contextualSpacing w:val="0"/>
        <w:jc w:val="both"/>
        <w:rPr>
          <w:rFonts w:ascii="Times New Roman" w:hAnsi="Times New Roman"/>
          <w:noProof/>
          <w:sz w:val="24"/>
          <w:szCs w:val="24"/>
        </w:rPr>
      </w:pPr>
      <w:r>
        <w:rPr>
          <w:rFonts w:ascii="Times New Roman" w:hAnsi="Times New Roman"/>
          <w:noProof/>
          <w:sz w:val="24"/>
        </w:rPr>
        <w:t xml:space="preserve">eine </w:t>
      </w:r>
      <w:r>
        <w:rPr>
          <w:rFonts w:ascii="Times New Roman" w:hAnsi="Times New Roman"/>
          <w:noProof/>
          <w:sz w:val="24"/>
        </w:rPr>
        <w:t>Liste der mit den angestrebten Ergebnissen verknüpften wesentliche Leistungsindikatoren, die in enger Zusammenarbeit mit den Mitgliedstaaten festgelegt werden;</w:t>
      </w:r>
    </w:p>
    <w:p w:rsidR="00F15ABE" w:rsidRDefault="007B1A2A">
      <w:pPr>
        <w:pStyle w:val="ListParagraph"/>
        <w:numPr>
          <w:ilvl w:val="0"/>
          <w:numId w:val="6"/>
        </w:numPr>
        <w:pBdr>
          <w:top w:val="single" w:sz="4" w:space="1" w:color="auto"/>
          <w:left w:val="single" w:sz="4" w:space="4" w:color="auto"/>
          <w:bottom w:val="single" w:sz="4" w:space="1" w:color="auto"/>
          <w:right w:val="single" w:sz="4" w:space="4" w:color="auto"/>
        </w:pBdr>
        <w:spacing w:after="0" w:line="240" w:lineRule="auto"/>
        <w:contextualSpacing w:val="0"/>
        <w:jc w:val="both"/>
        <w:rPr>
          <w:rFonts w:ascii="Times New Roman" w:hAnsi="Times New Roman"/>
          <w:noProof/>
          <w:sz w:val="24"/>
          <w:szCs w:val="24"/>
        </w:rPr>
      </w:pPr>
      <w:r>
        <w:rPr>
          <w:rFonts w:ascii="Times New Roman" w:hAnsi="Times New Roman"/>
          <w:noProof/>
          <w:sz w:val="24"/>
        </w:rPr>
        <w:t>ein erweitertes Mandat der hochrangigen Gruppe für die Straßenverkehrssicherheit (die sich aus h</w:t>
      </w:r>
      <w:r>
        <w:rPr>
          <w:rFonts w:ascii="Times New Roman" w:hAnsi="Times New Roman"/>
          <w:noProof/>
          <w:sz w:val="24"/>
        </w:rPr>
        <w:t>ochrangigen Vertretern der nationalen Verwaltungen zusammensetzt), um strategische Beratung und häufige Rückmeldungen einzubeziehen; und</w:t>
      </w:r>
    </w:p>
    <w:p w:rsidR="00F15ABE" w:rsidRDefault="007B1A2A">
      <w:pPr>
        <w:pStyle w:val="ListParagraph"/>
        <w:numPr>
          <w:ilvl w:val="0"/>
          <w:numId w:val="6"/>
        </w:numPr>
        <w:pBdr>
          <w:top w:val="single" w:sz="4" w:space="1" w:color="auto"/>
          <w:left w:val="single" w:sz="4" w:space="4" w:color="auto"/>
          <w:bottom w:val="single" w:sz="4" w:space="1" w:color="auto"/>
          <w:right w:val="single" w:sz="4" w:space="4" w:color="auto"/>
        </w:pBdr>
        <w:spacing w:after="0" w:line="240" w:lineRule="auto"/>
        <w:contextualSpacing w:val="0"/>
        <w:jc w:val="both"/>
        <w:rPr>
          <w:rFonts w:ascii="Times New Roman" w:hAnsi="Times New Roman"/>
          <w:noProof/>
          <w:sz w:val="24"/>
          <w:szCs w:val="24"/>
        </w:rPr>
      </w:pPr>
      <w:r>
        <w:rPr>
          <w:rFonts w:ascii="Times New Roman" w:hAnsi="Times New Roman"/>
          <w:noProof/>
          <w:sz w:val="24"/>
        </w:rPr>
        <w:t xml:space="preserve">die neue Rolle des Europäischen Botschafters für die Straßenverkehrssicherheit, einer bekannten Persönlichkeit, um die </w:t>
      </w:r>
      <w:r>
        <w:rPr>
          <w:rFonts w:ascii="Times New Roman" w:hAnsi="Times New Roman"/>
          <w:noProof/>
          <w:sz w:val="24"/>
        </w:rPr>
        <w:t>Anstrengungen zur Verbesserung der Straßenverkehrssicherheit mit den Mitgliedstaaten abzustimmen und bewährte Verfahren innerhalb der EU und auf internationaler Ebene zu verbreiten.</w:t>
      </w:r>
    </w:p>
    <w:p w:rsidR="00F15ABE" w:rsidRDefault="00F15ABE">
      <w:pPr>
        <w:pBdr>
          <w:top w:val="single" w:sz="4" w:space="1" w:color="auto"/>
          <w:left w:val="single" w:sz="4" w:space="4" w:color="auto"/>
          <w:bottom w:val="single" w:sz="4" w:space="1" w:color="auto"/>
          <w:right w:val="single" w:sz="4" w:space="4" w:color="auto"/>
        </w:pBdr>
        <w:spacing w:after="0" w:line="240" w:lineRule="auto"/>
        <w:jc w:val="both"/>
        <w:outlineLvl w:val="0"/>
        <w:rPr>
          <w:rFonts w:ascii="Times New Roman" w:hAnsi="Times New Roman"/>
          <w:noProof/>
          <w:sz w:val="24"/>
          <w:szCs w:val="24"/>
        </w:rPr>
      </w:pPr>
    </w:p>
    <w:p w:rsidR="00F15ABE" w:rsidRDefault="007B1A2A">
      <w:pPr>
        <w:pBdr>
          <w:top w:val="single" w:sz="4" w:space="1" w:color="auto"/>
          <w:left w:val="single" w:sz="4" w:space="4" w:color="auto"/>
          <w:bottom w:val="single" w:sz="4" w:space="1" w:color="auto"/>
          <w:right w:val="single" w:sz="4" w:space="4" w:color="auto"/>
        </w:pBdr>
        <w:spacing w:after="120" w:line="240" w:lineRule="auto"/>
        <w:jc w:val="both"/>
        <w:outlineLvl w:val="0"/>
        <w:rPr>
          <w:rFonts w:ascii="Times New Roman" w:hAnsi="Times New Roman"/>
          <w:noProof/>
          <w:sz w:val="24"/>
          <w:szCs w:val="24"/>
        </w:rPr>
      </w:pPr>
      <w:r>
        <w:rPr>
          <w:rFonts w:ascii="Times New Roman" w:hAnsi="Times New Roman"/>
          <w:noProof/>
          <w:sz w:val="24"/>
        </w:rPr>
        <w:t xml:space="preserve">Innerhalb des Zeitrahmens wird die Kommission (unter Leitung einer </w:t>
      </w:r>
      <w:r>
        <w:rPr>
          <w:rFonts w:ascii="Times New Roman" w:hAnsi="Times New Roman"/>
          <w:noProof/>
          <w:sz w:val="24"/>
        </w:rPr>
        <w:t>generaldirektionsübergreifenden Koordinierungsgruppe) sich mit den Mitgliedstaaten und Interessenträgern in Verbindung setzen, um die Fortschritte zu überwachen und zu beschleunigen, beispielsweise durch halbjährlich stattfindende Ergebniskonferenzen und d</w:t>
      </w:r>
      <w:r>
        <w:rPr>
          <w:rFonts w:ascii="Times New Roman" w:hAnsi="Times New Roman"/>
          <w:noProof/>
          <w:sz w:val="24"/>
        </w:rPr>
        <w:t>ie Förderung freiwilliger Verpflichtungen, vor allem im Zusammenhang mit der Europäischen Charta für Straßenverkehrssicherheit</w:t>
      </w:r>
      <w:r>
        <w:rPr>
          <w:rStyle w:val="FootnoteReference"/>
          <w:rFonts w:ascii="Times New Roman" w:hAnsi="Times New Roman"/>
          <w:noProof/>
          <w:sz w:val="24"/>
        </w:rPr>
        <w:footnoteReference w:id="1"/>
      </w:r>
      <w:r>
        <w:rPr>
          <w:rFonts w:ascii="Times New Roman" w:hAnsi="Times New Roman"/>
          <w:noProof/>
          <w:sz w:val="24"/>
        </w:rPr>
        <w:t>.</w:t>
      </w:r>
    </w:p>
    <w:p w:rsidR="00F15ABE" w:rsidRDefault="00F15ABE">
      <w:pPr>
        <w:spacing w:after="240" w:line="240" w:lineRule="auto"/>
        <w:jc w:val="both"/>
        <w:outlineLvl w:val="0"/>
        <w:rPr>
          <w:rFonts w:ascii="Times New Roman" w:hAnsi="Times New Roman"/>
          <w:b/>
          <w:noProof/>
          <w:sz w:val="24"/>
          <w:szCs w:val="24"/>
        </w:rPr>
      </w:pPr>
    </w:p>
    <w:p w:rsidR="00F15ABE" w:rsidRDefault="007B1A2A">
      <w:pPr>
        <w:spacing w:after="240" w:line="240" w:lineRule="auto"/>
        <w:jc w:val="both"/>
        <w:outlineLvl w:val="0"/>
        <w:rPr>
          <w:rFonts w:ascii="Times New Roman" w:hAnsi="Times New Roman"/>
          <w:b/>
          <w:noProof/>
          <w:sz w:val="24"/>
          <w:szCs w:val="24"/>
        </w:rPr>
      </w:pPr>
      <w:r>
        <w:rPr>
          <w:rFonts w:ascii="Times New Roman" w:hAnsi="Times New Roman"/>
          <w:b/>
          <w:noProof/>
          <w:sz w:val="24"/>
        </w:rPr>
        <w:lastRenderedPageBreak/>
        <w:t>2. Stärkere finanzielle Unterstützung für die Straßenverkehrssicherheit</w:t>
      </w:r>
    </w:p>
    <w:p w:rsidR="00F15ABE" w:rsidRDefault="007B1A2A">
      <w:pPr>
        <w:spacing w:line="240" w:lineRule="auto"/>
        <w:jc w:val="both"/>
        <w:rPr>
          <w:rFonts w:ascii="Times New Roman" w:hAnsi="Times New Roman"/>
          <w:noProof/>
          <w:sz w:val="24"/>
          <w:szCs w:val="24"/>
        </w:rPr>
      </w:pPr>
      <w:r>
        <w:rPr>
          <w:rFonts w:ascii="Times New Roman" w:hAnsi="Times New Roman"/>
          <w:noProof/>
          <w:sz w:val="24"/>
        </w:rPr>
        <w:t xml:space="preserve">Einen wichtigen Hebel der EU im Hinblick auf das schnellere Erreichen von Ergebnissen bildet die Unterstützung der Initiativen zur Straßenverkehrssicherheit durch die zahlreichen Finanzierungsmöglichkeiten. Die Nachrüstung von Infrastrukturen kann aus den </w:t>
      </w:r>
      <w:r>
        <w:rPr>
          <w:rFonts w:ascii="Times New Roman" w:hAnsi="Times New Roman"/>
          <w:noProof/>
          <w:sz w:val="24"/>
        </w:rPr>
        <w:t>Regionalfonds innerhalb des bisherigen Finanzrahmens gefördert werden. Darüber hinaus werden durch die heutige Aufforderung zur Einreichung von Vorschlägen für die Fazilität „Connecting Europe“ 200 Millionen Euro für die Straßenverkehrssicherheit und die D</w:t>
      </w:r>
      <w:r>
        <w:rPr>
          <w:rFonts w:ascii="Times New Roman" w:hAnsi="Times New Roman"/>
          <w:noProof/>
          <w:sz w:val="24"/>
        </w:rPr>
        <w:t xml:space="preserve">igitalisierung bereitgestellt. Langfristig wird es wichtig sein, </w:t>
      </w:r>
      <w:r>
        <w:rPr>
          <w:rFonts w:ascii="Times New Roman" w:hAnsi="Times New Roman"/>
          <w:b/>
          <w:noProof/>
          <w:sz w:val="24"/>
        </w:rPr>
        <w:t>Stabilität und Kohärenz der Finanzierungslösungen</w:t>
      </w:r>
      <w:r>
        <w:rPr>
          <w:rFonts w:ascii="Times New Roman" w:hAnsi="Times New Roman"/>
          <w:noProof/>
          <w:sz w:val="24"/>
        </w:rPr>
        <w:t xml:space="preserve"> für die Nachrüstung von Infrastrukturen, andere Maßnahmen zur Erhöhung der Straßenverkehrssicherheit und den Kapazitätsaufbau zu bieten.</w:t>
      </w:r>
    </w:p>
    <w:p w:rsidR="00F15ABE" w:rsidRDefault="007B1A2A">
      <w:pPr>
        <w:pBdr>
          <w:top w:val="single" w:sz="4" w:space="1" w:color="auto"/>
          <w:left w:val="single" w:sz="4" w:space="4" w:color="auto"/>
          <w:bottom w:val="single" w:sz="4" w:space="1" w:color="auto"/>
          <w:right w:val="single" w:sz="4" w:space="4" w:color="auto"/>
        </w:pBdr>
        <w:spacing w:after="120" w:line="240" w:lineRule="auto"/>
        <w:jc w:val="center"/>
        <w:rPr>
          <w:rFonts w:ascii="Times New Roman" w:hAnsi="Times New Roman"/>
          <w:b/>
          <w:noProof/>
          <w:sz w:val="24"/>
          <w:szCs w:val="24"/>
        </w:rPr>
      </w:pPr>
      <w:r>
        <w:rPr>
          <w:rFonts w:ascii="Times New Roman" w:hAnsi="Times New Roman"/>
          <w:b/>
          <w:noProof/>
          <w:sz w:val="24"/>
        </w:rPr>
        <w:t>Zent</w:t>
      </w:r>
      <w:r>
        <w:rPr>
          <w:rFonts w:ascii="Times New Roman" w:hAnsi="Times New Roman"/>
          <w:b/>
          <w:noProof/>
          <w:sz w:val="24"/>
        </w:rPr>
        <w:t>rale Maßnahmen zur Unterstützung und Finanzierung</w:t>
      </w:r>
    </w:p>
    <w:p w:rsidR="00F15ABE" w:rsidRDefault="007B1A2A">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b/>
          <w:noProof/>
          <w:sz w:val="24"/>
          <w:szCs w:val="24"/>
        </w:rPr>
      </w:pPr>
      <w:r>
        <w:rPr>
          <w:rFonts w:ascii="Times New Roman" w:hAnsi="Times New Roman"/>
          <w:b/>
          <w:noProof/>
          <w:sz w:val="24"/>
        </w:rPr>
        <w:t xml:space="preserve">Die Kommission wird: </w:t>
      </w:r>
    </w:p>
    <w:p w:rsidR="00F15ABE" w:rsidRDefault="007B1A2A">
      <w:pPr>
        <w:pStyle w:val="ListParagraph"/>
        <w:numPr>
          <w:ilvl w:val="0"/>
          <w:numId w:val="6"/>
        </w:numPr>
        <w:pBdr>
          <w:top w:val="single" w:sz="4" w:space="1" w:color="auto"/>
          <w:left w:val="single" w:sz="4" w:space="4" w:color="auto"/>
          <w:bottom w:val="single" w:sz="4" w:space="1" w:color="auto"/>
          <w:right w:val="single" w:sz="4" w:space="4" w:color="auto"/>
        </w:pBdr>
        <w:spacing w:after="0" w:line="240" w:lineRule="auto"/>
        <w:contextualSpacing w:val="0"/>
        <w:jc w:val="both"/>
        <w:rPr>
          <w:rFonts w:ascii="Times New Roman" w:hAnsi="Times New Roman"/>
          <w:noProof/>
          <w:sz w:val="24"/>
          <w:szCs w:val="24"/>
        </w:rPr>
      </w:pPr>
      <w:r>
        <w:rPr>
          <w:rFonts w:ascii="Times New Roman" w:hAnsi="Times New Roman"/>
          <w:noProof/>
          <w:sz w:val="24"/>
        </w:rPr>
        <w:t xml:space="preserve">dazu anregen, die finanzielle Unterstützung der EU aus den europäischen Struktur- und Investitionsfonds für die Nachrüstung von Infrastrukturen zu nutzen, vor allem in Mitgliedstaaten </w:t>
      </w:r>
      <w:r>
        <w:rPr>
          <w:rFonts w:ascii="Times New Roman" w:hAnsi="Times New Roman"/>
          <w:noProof/>
          <w:sz w:val="24"/>
        </w:rPr>
        <w:t>mit vergleichsweise schlechter Bilanz bei der Straßenverkehrssicherheit, und die Nutzung der Fazilität „Connecting Europe“ unterstützen [2. Quartal 2018];</w:t>
      </w:r>
    </w:p>
    <w:p w:rsidR="00F15ABE" w:rsidRDefault="007B1A2A">
      <w:pPr>
        <w:pStyle w:val="ListParagraph"/>
        <w:numPr>
          <w:ilvl w:val="0"/>
          <w:numId w:val="6"/>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rPr>
        <w:t xml:space="preserve">die Bereitstellung von Finanzmitteln für Maßnahmen zur Erhöhung der Straßenverkehrssicherheit im </w:t>
      </w:r>
      <w:r>
        <w:rPr>
          <w:rFonts w:ascii="Times New Roman" w:hAnsi="Times New Roman"/>
          <w:noProof/>
          <w:sz w:val="24"/>
        </w:rPr>
        <w:t>nächsten Mehrjährigen Finanzrahmen straffen und verstärken, unter Berücksichtigung der Komplementarität der einzelnen Finanzierungsinstrumente [2. Quartal 2018];</w:t>
      </w:r>
    </w:p>
    <w:p w:rsidR="00F15ABE" w:rsidRDefault="007B1A2A">
      <w:pPr>
        <w:pStyle w:val="ListParagraph"/>
        <w:numPr>
          <w:ilvl w:val="0"/>
          <w:numId w:val="6"/>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rPr>
        <w:t>untersuchen, wie Stabilität in der Finanzierung von Maßnahmen zur Erhöhung der Straßenverkehrs</w:t>
      </w:r>
      <w:r>
        <w:rPr>
          <w:rFonts w:ascii="Times New Roman" w:hAnsi="Times New Roman"/>
          <w:noProof/>
          <w:sz w:val="24"/>
        </w:rPr>
        <w:t>sicherheit im nächsten Mehrjährigen Finanzrahmen gewährleistet werden kann, beispielsweise durch gemeinsame grenzübergreifende Durchsetzungsmaßnahmen im Bereich der Straßenverkehrssicherheit durch Zusammenarbeit der Polizeibehörden [3. Quartal 2018]; und</w:t>
      </w:r>
    </w:p>
    <w:p w:rsidR="00F15ABE" w:rsidRDefault="007B1A2A">
      <w:pPr>
        <w:pStyle w:val="ListParagraph"/>
        <w:numPr>
          <w:ilvl w:val="0"/>
          <w:numId w:val="6"/>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rPr>
        <w:t>M</w:t>
      </w:r>
      <w:r>
        <w:rPr>
          <w:rFonts w:ascii="Times New Roman" w:hAnsi="Times New Roman"/>
          <w:noProof/>
          <w:sz w:val="24"/>
        </w:rPr>
        <w:t>öglichkeiten prüfen, den Kapazitätsaufbau auf Ebene der Mitgliedstaaten finanziell zu unterstützen, beispielsweise in Bezug auf die „Safe System“-Strategien (z. B. Methodik zur Messung der wesentlichen Leistungsindikatoren) [3. Quartal 2019].</w:t>
      </w:r>
    </w:p>
    <w:p w:rsidR="00F15ABE" w:rsidRDefault="00F15ABE">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noProof/>
          <w:sz w:val="24"/>
          <w:szCs w:val="24"/>
        </w:rPr>
      </w:pPr>
    </w:p>
    <w:p w:rsidR="00F15ABE" w:rsidRDefault="007B1A2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noProof/>
          <w:sz w:val="24"/>
          <w:szCs w:val="24"/>
        </w:rPr>
      </w:pPr>
      <w:r>
        <w:rPr>
          <w:rFonts w:ascii="Times New Roman" w:hAnsi="Times New Roman"/>
          <w:noProof/>
          <w:sz w:val="24"/>
        </w:rPr>
        <w:t>Außerdem wir</w:t>
      </w:r>
      <w:r>
        <w:rPr>
          <w:rFonts w:ascii="Times New Roman" w:hAnsi="Times New Roman"/>
          <w:noProof/>
          <w:sz w:val="24"/>
        </w:rPr>
        <w:t>d die Kommission in enger Zusammenarbeit mit der Europäischen Investitionsbank prüfen, wie der Zugang von Behörden zu angemessener finanzieller Unterstützung für die Beschaffung sichererer Fahrzeugflotten erleichtert werden kann. Ein Beispiel könnte die Sc</w:t>
      </w:r>
      <w:r>
        <w:rPr>
          <w:rFonts w:ascii="Times New Roman" w:hAnsi="Times New Roman"/>
          <w:noProof/>
          <w:sz w:val="24"/>
        </w:rPr>
        <w:t>haffung einer Fazilität für sichereren Verkehr oder eine Ausweitung der bestehenden Fazilität für umweltfreundlicheren Verkehr</w:t>
      </w:r>
      <w:r>
        <w:rPr>
          <w:rStyle w:val="FootnoteReference"/>
          <w:rFonts w:ascii="Times New Roman" w:hAnsi="Times New Roman"/>
          <w:noProof/>
          <w:sz w:val="24"/>
        </w:rPr>
        <w:footnoteReference w:id="2"/>
      </w:r>
      <w:r>
        <w:rPr>
          <w:rFonts w:ascii="Times New Roman" w:hAnsi="Times New Roman"/>
          <w:noProof/>
          <w:sz w:val="24"/>
        </w:rPr>
        <w:t xml:space="preserve"> sein. Die Kommission wird ferner prüfen, wie die für die Entwicklung und Umsetzung der „Safe System“-Strategien benötigte Forsch</w:t>
      </w:r>
      <w:r>
        <w:rPr>
          <w:rFonts w:ascii="Times New Roman" w:hAnsi="Times New Roman"/>
          <w:noProof/>
          <w:sz w:val="24"/>
        </w:rPr>
        <w:t>ung und Innovation finanziert werden können.</w:t>
      </w:r>
    </w:p>
    <w:p w:rsidR="00F15ABE" w:rsidRDefault="00F15ABE">
      <w:pPr>
        <w:spacing w:after="0" w:line="240" w:lineRule="auto"/>
        <w:jc w:val="both"/>
        <w:outlineLvl w:val="0"/>
        <w:rPr>
          <w:rFonts w:ascii="Times New Roman" w:hAnsi="Times New Roman"/>
          <w:b/>
          <w:noProof/>
          <w:sz w:val="24"/>
          <w:szCs w:val="24"/>
        </w:rPr>
      </w:pPr>
    </w:p>
    <w:p w:rsidR="00F15ABE" w:rsidRDefault="007B1A2A">
      <w:pPr>
        <w:spacing w:after="0" w:line="240" w:lineRule="auto"/>
        <w:jc w:val="both"/>
        <w:outlineLvl w:val="0"/>
        <w:rPr>
          <w:rFonts w:ascii="Times New Roman" w:hAnsi="Times New Roman"/>
          <w:b/>
          <w:noProof/>
          <w:sz w:val="24"/>
          <w:szCs w:val="24"/>
        </w:rPr>
      </w:pPr>
      <w:r>
        <w:rPr>
          <w:rFonts w:ascii="Times New Roman" w:hAnsi="Times New Roman"/>
          <w:b/>
          <w:noProof/>
          <w:sz w:val="24"/>
          <w:szCs w:val="24"/>
        </w:rPr>
        <w:br/>
      </w:r>
      <w:r>
        <w:rPr>
          <w:rFonts w:ascii="Times New Roman" w:hAnsi="Times New Roman"/>
          <w:b/>
          <w:noProof/>
          <w:sz w:val="24"/>
        </w:rPr>
        <w:t>3.</w:t>
      </w:r>
      <w:r>
        <w:rPr>
          <w:noProof/>
        </w:rPr>
        <w:tab/>
      </w:r>
      <w:r>
        <w:rPr>
          <w:rFonts w:ascii="Times New Roman" w:hAnsi="Times New Roman"/>
          <w:b/>
          <w:noProof/>
          <w:sz w:val="24"/>
        </w:rPr>
        <w:t>Sichere Straßen und Straßenränder</w:t>
      </w:r>
    </w:p>
    <w:p w:rsidR="00F15ABE" w:rsidRDefault="00F15ABE">
      <w:pPr>
        <w:spacing w:after="0" w:line="240" w:lineRule="auto"/>
        <w:jc w:val="both"/>
        <w:outlineLvl w:val="0"/>
        <w:rPr>
          <w:rFonts w:ascii="Times New Roman" w:hAnsi="Times New Roman"/>
          <w:b/>
          <w:noProof/>
          <w:sz w:val="24"/>
          <w:szCs w:val="24"/>
        </w:rPr>
      </w:pPr>
    </w:p>
    <w:p w:rsidR="00F15ABE" w:rsidRDefault="007B1A2A">
      <w:pPr>
        <w:spacing w:after="240" w:line="240" w:lineRule="auto"/>
        <w:jc w:val="both"/>
        <w:outlineLvl w:val="0"/>
        <w:rPr>
          <w:rFonts w:ascii="Times New Roman" w:hAnsi="Times New Roman"/>
          <w:noProof/>
          <w:sz w:val="24"/>
          <w:szCs w:val="24"/>
        </w:rPr>
      </w:pPr>
      <w:r>
        <w:rPr>
          <w:rFonts w:ascii="Times New Roman" w:hAnsi="Times New Roman"/>
          <w:noProof/>
          <w:sz w:val="24"/>
        </w:rPr>
        <w:t>Beim „Safe System“-Ansatz für den Straßenbau geht es darum, die Funktion, Planung und Gestaltung von Straßen sowie Geschwindigkeitsbeschränkungen so aufeinander abzustimme</w:t>
      </w:r>
      <w:r>
        <w:rPr>
          <w:rFonts w:ascii="Times New Roman" w:hAnsi="Times New Roman"/>
          <w:noProof/>
          <w:sz w:val="24"/>
        </w:rPr>
        <w:t>n, dass menschliches Fehlverhalten ausgeglichen wird und Unfälle keine Todesopfer oder Schwerverletzten mehr fordern. Die Kommission schlägt heute eine Überarbeitung der Richtlinie über das Sicherheitsmanagement für die Straßenverkehrsinfrastruktur vor, um</w:t>
      </w:r>
      <w:r>
        <w:rPr>
          <w:rFonts w:ascii="Times New Roman" w:hAnsi="Times New Roman"/>
          <w:noProof/>
          <w:sz w:val="24"/>
        </w:rPr>
        <w:t xml:space="preserve"> die </w:t>
      </w:r>
      <w:r>
        <w:rPr>
          <w:rFonts w:ascii="Times New Roman" w:hAnsi="Times New Roman"/>
          <w:b/>
          <w:noProof/>
          <w:sz w:val="24"/>
        </w:rPr>
        <w:t>netzweite Risikoabbildung transparenter</w:t>
      </w:r>
      <w:r>
        <w:rPr>
          <w:rFonts w:ascii="Times New Roman" w:hAnsi="Times New Roman"/>
          <w:noProof/>
          <w:sz w:val="24"/>
        </w:rPr>
        <w:t xml:space="preserve"> zu </w:t>
      </w:r>
      <w:r>
        <w:rPr>
          <w:rFonts w:ascii="Times New Roman" w:hAnsi="Times New Roman"/>
          <w:noProof/>
          <w:sz w:val="24"/>
        </w:rPr>
        <w:lastRenderedPageBreak/>
        <w:t xml:space="preserve">machen und ihren Anwendungsbereich über die transeuropäischen Netze hinaus auf </w:t>
      </w:r>
      <w:r>
        <w:rPr>
          <w:rFonts w:ascii="Times New Roman" w:hAnsi="Times New Roman"/>
          <w:b/>
          <w:noProof/>
          <w:sz w:val="24"/>
        </w:rPr>
        <w:t>alle Fernstraßen</w:t>
      </w:r>
      <w:r>
        <w:rPr>
          <w:rFonts w:ascii="Times New Roman" w:hAnsi="Times New Roman"/>
          <w:noProof/>
          <w:sz w:val="24"/>
        </w:rPr>
        <w:t xml:space="preserve"> auszuweiten.</w:t>
      </w:r>
      <w:r>
        <w:rPr>
          <w:rFonts w:ascii="Times New Roman" w:hAnsi="Times New Roman"/>
          <w:noProof/>
          <w:sz w:val="24"/>
          <w:highlight w:val="yellow"/>
        </w:rPr>
        <w:t xml:space="preserve"> </w:t>
      </w:r>
    </w:p>
    <w:p w:rsidR="00F15ABE" w:rsidRDefault="007B1A2A">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b/>
          <w:noProof/>
          <w:sz w:val="24"/>
          <w:szCs w:val="24"/>
        </w:rPr>
      </w:pPr>
      <w:r>
        <w:rPr>
          <w:rFonts w:ascii="Times New Roman" w:hAnsi="Times New Roman"/>
          <w:b/>
          <w:noProof/>
          <w:sz w:val="24"/>
        </w:rPr>
        <w:t>Zentrale Maßnahmen für sichere Straßen und Straßenränder</w:t>
      </w:r>
    </w:p>
    <w:p w:rsidR="00F15ABE" w:rsidRDefault="007B1A2A">
      <w:pPr>
        <w:pBdr>
          <w:top w:val="single" w:sz="4" w:space="1" w:color="auto"/>
          <w:left w:val="single" w:sz="4" w:space="4" w:color="auto"/>
          <w:bottom w:val="single" w:sz="4" w:space="1" w:color="auto"/>
          <w:right w:val="single" w:sz="4" w:space="4" w:color="auto"/>
        </w:pBdr>
        <w:spacing w:line="240" w:lineRule="auto"/>
        <w:rPr>
          <w:rFonts w:ascii="Times New Roman" w:hAnsi="Times New Roman"/>
          <w:b/>
          <w:noProof/>
          <w:sz w:val="24"/>
          <w:szCs w:val="24"/>
        </w:rPr>
      </w:pPr>
      <w:r>
        <w:rPr>
          <w:rFonts w:ascii="Times New Roman" w:hAnsi="Times New Roman"/>
          <w:b/>
          <w:noProof/>
          <w:sz w:val="24"/>
        </w:rPr>
        <w:t>Die Kommission wird:</w:t>
      </w:r>
    </w:p>
    <w:p w:rsidR="00F15ABE" w:rsidRDefault="007B1A2A">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b/>
          <w:noProof/>
          <w:sz w:val="24"/>
          <w:szCs w:val="24"/>
        </w:rPr>
      </w:pPr>
      <w:r>
        <w:rPr>
          <w:rFonts w:ascii="Times New Roman" w:hAnsi="Times New Roman"/>
          <w:noProof/>
          <w:sz w:val="24"/>
        </w:rPr>
        <w:t xml:space="preserve">Vorbereitungsarbeiten durchführen und eine Sachverständigengruppe einsetzen, deren Aufgabe es sein wird, einen Rahmen für die Einstufung der Straßen auszuarbeiten, der Geschwindigkeitsbeschränkungen besser mit der Straßenplanung und -gestaltung abgleicht, </w:t>
      </w:r>
      <w:r>
        <w:rPr>
          <w:rFonts w:ascii="Times New Roman" w:hAnsi="Times New Roman"/>
          <w:noProof/>
          <w:sz w:val="24"/>
        </w:rPr>
        <w:t>in Einklang mit dem „Safe System“-Ansatz [3. Quartal 2019]; und</w:t>
      </w:r>
    </w:p>
    <w:p w:rsidR="00F15ABE" w:rsidRDefault="007B1A2A">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b/>
          <w:noProof/>
          <w:sz w:val="24"/>
          <w:szCs w:val="24"/>
        </w:rPr>
      </w:pPr>
      <w:r>
        <w:rPr>
          <w:rFonts w:ascii="Times New Roman" w:hAnsi="Times New Roman"/>
          <w:noProof/>
          <w:sz w:val="24"/>
        </w:rPr>
        <w:t>den Austausch von Erfahrungen mit den Methoden des „Safe System“ zwischen Praktikern (z. B. dem Forum der europäischen Straßenverkehrssicherheitsauditoren) zu erleichtern [nach Annahme der übe</w:t>
      </w:r>
      <w:r>
        <w:rPr>
          <w:rFonts w:ascii="Times New Roman" w:hAnsi="Times New Roman"/>
          <w:noProof/>
          <w:sz w:val="24"/>
        </w:rPr>
        <w:t>rarbeiteten Richtlinie über das Sicherheitsmanagement für die Straßenverkehrsinfrastruktur].</w:t>
      </w:r>
    </w:p>
    <w:p w:rsidR="00F15ABE" w:rsidRDefault="00F15ABE">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noProof/>
          <w:sz w:val="24"/>
          <w:szCs w:val="24"/>
        </w:rPr>
      </w:pPr>
    </w:p>
    <w:p w:rsidR="00F15ABE" w:rsidRDefault="007B1A2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noProof/>
          <w:sz w:val="24"/>
          <w:szCs w:val="24"/>
        </w:rPr>
      </w:pPr>
      <w:r>
        <w:rPr>
          <w:rFonts w:ascii="Times New Roman" w:hAnsi="Times New Roman"/>
          <w:noProof/>
          <w:sz w:val="24"/>
        </w:rPr>
        <w:t>Innerhalb des Zeitrahmens wird die Kommission bestrebt sein, weitere EU-Maßnahmen festzulegen, beispielsweise die Definition bestimmter Sicherheitsziele für Straß</w:t>
      </w:r>
      <w:r>
        <w:rPr>
          <w:rFonts w:ascii="Times New Roman" w:hAnsi="Times New Roman"/>
          <w:noProof/>
          <w:sz w:val="24"/>
        </w:rPr>
        <w:t xml:space="preserve">en der transeuropäischen Netze im Rahmen der nächsten Überarbeitung der Leitlinien für die transeuropäischen Netze.  </w:t>
      </w:r>
    </w:p>
    <w:p w:rsidR="00F15ABE" w:rsidRDefault="007B1A2A">
      <w:pPr>
        <w:spacing w:before="480" w:after="0" w:line="240" w:lineRule="auto"/>
        <w:jc w:val="both"/>
        <w:outlineLvl w:val="0"/>
        <w:rPr>
          <w:rFonts w:ascii="Times New Roman" w:hAnsi="Times New Roman"/>
          <w:b/>
          <w:noProof/>
          <w:sz w:val="24"/>
          <w:szCs w:val="24"/>
        </w:rPr>
      </w:pPr>
      <w:r>
        <w:rPr>
          <w:rFonts w:ascii="Times New Roman" w:hAnsi="Times New Roman"/>
          <w:b/>
          <w:noProof/>
          <w:sz w:val="24"/>
        </w:rPr>
        <w:t>4.</w:t>
      </w:r>
      <w:r>
        <w:rPr>
          <w:noProof/>
        </w:rPr>
        <w:tab/>
      </w:r>
      <w:r>
        <w:rPr>
          <w:rFonts w:ascii="Times New Roman" w:hAnsi="Times New Roman"/>
          <w:b/>
          <w:noProof/>
          <w:sz w:val="24"/>
        </w:rPr>
        <w:t>Sichere Fahrzeuge</w:t>
      </w:r>
    </w:p>
    <w:p w:rsidR="00F15ABE" w:rsidRDefault="007B1A2A">
      <w:pPr>
        <w:spacing w:before="240" w:after="0" w:line="240" w:lineRule="auto"/>
        <w:jc w:val="both"/>
        <w:outlineLvl w:val="0"/>
        <w:rPr>
          <w:rFonts w:ascii="Times New Roman" w:hAnsi="Times New Roman"/>
          <w:noProof/>
          <w:sz w:val="24"/>
          <w:szCs w:val="24"/>
        </w:rPr>
      </w:pPr>
      <w:r>
        <w:rPr>
          <w:rFonts w:ascii="Times New Roman" w:hAnsi="Times New Roman"/>
          <w:noProof/>
          <w:sz w:val="24"/>
        </w:rPr>
        <w:t>Indem die Fahrzeugsicherheit durch die schrittweise Annäherung der Verordnung über die allgemeine Sicherheit von Fahr</w:t>
      </w:r>
      <w:r>
        <w:rPr>
          <w:rFonts w:ascii="Times New Roman" w:hAnsi="Times New Roman"/>
          <w:noProof/>
          <w:sz w:val="24"/>
        </w:rPr>
        <w:t xml:space="preserve">zeugen und der Verordnung zum Schutz von Fußgängern verbessert wurde, konnte in der EU die Zahl der Verkehrstoten und Schwerverletzten erfolgreich verringert werden. Die Kommission schlägt eine Überarbeitung dieser Verordnungen vor, um einige </w:t>
      </w:r>
      <w:r>
        <w:rPr>
          <w:rFonts w:ascii="Times New Roman" w:hAnsi="Times New Roman"/>
          <w:b/>
          <w:noProof/>
          <w:sz w:val="24"/>
        </w:rPr>
        <w:t>wichtige Sich</w:t>
      </w:r>
      <w:r>
        <w:rPr>
          <w:rFonts w:ascii="Times New Roman" w:hAnsi="Times New Roman"/>
          <w:b/>
          <w:noProof/>
          <w:sz w:val="24"/>
        </w:rPr>
        <w:t>erheitsmerkmale verbindlich</w:t>
      </w:r>
      <w:r>
        <w:rPr>
          <w:rFonts w:ascii="Times New Roman" w:hAnsi="Times New Roman"/>
          <w:noProof/>
          <w:sz w:val="24"/>
        </w:rPr>
        <w:t xml:space="preserve"> vorzuschreiben, beispielsweise den intelligenten Geschwindigkeitsassistenten, autonome Notbremssysteme (auch in Bezug auf Fußgänger und Radfahrer) oder die Verbesserung des direkten Sichtfelds von Lastkraftwagen. Hinsichtlich de</w:t>
      </w:r>
      <w:r>
        <w:rPr>
          <w:rFonts w:ascii="Times New Roman" w:hAnsi="Times New Roman"/>
          <w:noProof/>
          <w:sz w:val="24"/>
        </w:rPr>
        <w:t>r Weiterverfolgung wird es von Bedeutung sein, der Arbeit der EU und der Vereinten Nationen zur Ausarbeitung neuer Vorschriften für die Fahrzeugsicherheit (z. B. autonome Notbremssysteme für Lastkraftwagen einschließlich Standards für die Erkennung von Fuß</w:t>
      </w:r>
      <w:r>
        <w:rPr>
          <w:rFonts w:ascii="Times New Roman" w:hAnsi="Times New Roman"/>
          <w:noProof/>
          <w:sz w:val="24"/>
        </w:rPr>
        <w:t xml:space="preserve">gängern und Radfahrern und das direkte Sichtfeld) Vorrang einzuräumen. Auch die </w:t>
      </w:r>
      <w:r>
        <w:rPr>
          <w:rFonts w:ascii="Times New Roman" w:hAnsi="Times New Roman"/>
          <w:b/>
          <w:noProof/>
          <w:sz w:val="24"/>
        </w:rPr>
        <w:t>Vergabe öffentlicher Aufträge</w:t>
      </w:r>
      <w:r>
        <w:rPr>
          <w:rFonts w:ascii="Times New Roman" w:hAnsi="Times New Roman"/>
          <w:noProof/>
          <w:sz w:val="24"/>
        </w:rPr>
        <w:t xml:space="preserve"> bietet interessante Möglichkeiten, um die beschleunigte Einführung von Sicherheitstechnologien positiv zu beeinflussen. </w:t>
      </w:r>
    </w:p>
    <w:p w:rsidR="00F15ABE" w:rsidRDefault="007B1A2A">
      <w:pPr>
        <w:spacing w:before="240" w:after="0" w:line="240" w:lineRule="auto"/>
        <w:jc w:val="both"/>
        <w:outlineLvl w:val="0"/>
        <w:rPr>
          <w:rFonts w:ascii="Times New Roman" w:hAnsi="Times New Roman"/>
          <w:noProof/>
          <w:sz w:val="24"/>
          <w:szCs w:val="24"/>
        </w:rPr>
      </w:pPr>
      <w:r>
        <w:rPr>
          <w:rFonts w:ascii="Times New Roman" w:hAnsi="Times New Roman"/>
          <w:noProof/>
          <w:sz w:val="24"/>
        </w:rPr>
        <w:t>Außerdem schlägt die Komm</w:t>
      </w:r>
      <w:r>
        <w:rPr>
          <w:rFonts w:ascii="Times New Roman" w:hAnsi="Times New Roman"/>
          <w:noProof/>
          <w:sz w:val="24"/>
        </w:rPr>
        <w:t xml:space="preserve">ission eine Überarbeitung der Verordnung über die Kennzeichnung von Reifen vor, um die Information der Verbraucher zu verbessern, vor allem über das </w:t>
      </w:r>
      <w:r>
        <w:rPr>
          <w:rFonts w:ascii="Times New Roman" w:hAnsi="Times New Roman"/>
          <w:b/>
          <w:noProof/>
          <w:sz w:val="24"/>
        </w:rPr>
        <w:t>Sicherheitsniveau von Reifen</w:t>
      </w:r>
      <w:r>
        <w:rPr>
          <w:rFonts w:ascii="Times New Roman" w:hAnsi="Times New Roman"/>
          <w:noProof/>
          <w:sz w:val="24"/>
        </w:rPr>
        <w:t>.</w:t>
      </w:r>
    </w:p>
    <w:p w:rsidR="00F15ABE" w:rsidRDefault="00F15ABE">
      <w:pPr>
        <w:spacing w:after="0" w:line="240" w:lineRule="auto"/>
        <w:jc w:val="both"/>
        <w:rPr>
          <w:rFonts w:ascii="Times New Roman" w:hAnsi="Times New Roman"/>
          <w:b/>
          <w:noProof/>
          <w:sz w:val="24"/>
          <w:szCs w:val="24"/>
        </w:rPr>
      </w:pPr>
    </w:p>
    <w:p w:rsidR="00F15ABE" w:rsidRDefault="007B1A2A">
      <w:pPr>
        <w:pBdr>
          <w:top w:val="single" w:sz="4" w:space="1" w:color="auto"/>
          <w:left w:val="single" w:sz="4" w:space="4" w:color="auto"/>
          <w:bottom w:val="single" w:sz="4" w:space="1" w:color="auto"/>
          <w:right w:val="single" w:sz="4" w:space="4" w:color="auto"/>
        </w:pBdr>
        <w:spacing w:after="240" w:line="240" w:lineRule="auto"/>
        <w:jc w:val="center"/>
        <w:outlineLvl w:val="0"/>
        <w:rPr>
          <w:rFonts w:ascii="Times New Roman" w:hAnsi="Times New Roman"/>
          <w:b/>
          <w:noProof/>
          <w:sz w:val="24"/>
          <w:szCs w:val="24"/>
        </w:rPr>
      </w:pPr>
      <w:r>
        <w:rPr>
          <w:rFonts w:ascii="Times New Roman" w:hAnsi="Times New Roman"/>
          <w:b/>
          <w:noProof/>
          <w:sz w:val="24"/>
        </w:rPr>
        <w:t>Zentrale Maßnahmen für sichere Fahrzeuge</w:t>
      </w:r>
    </w:p>
    <w:p w:rsidR="00F15ABE" w:rsidRDefault="007B1A2A">
      <w:pPr>
        <w:pBdr>
          <w:top w:val="single" w:sz="4" w:space="1" w:color="auto"/>
          <w:left w:val="single" w:sz="4" w:space="4" w:color="auto"/>
          <w:bottom w:val="single" w:sz="4" w:space="1" w:color="auto"/>
          <w:right w:val="single" w:sz="4" w:space="4" w:color="auto"/>
        </w:pBdr>
        <w:spacing w:after="240" w:line="240" w:lineRule="auto"/>
        <w:outlineLvl w:val="0"/>
        <w:rPr>
          <w:rFonts w:ascii="Times New Roman" w:hAnsi="Times New Roman"/>
          <w:b/>
          <w:noProof/>
          <w:sz w:val="24"/>
          <w:szCs w:val="24"/>
        </w:rPr>
      </w:pPr>
      <w:r>
        <w:rPr>
          <w:rFonts w:ascii="Times New Roman" w:hAnsi="Times New Roman"/>
          <w:b/>
          <w:noProof/>
          <w:sz w:val="24"/>
        </w:rPr>
        <w:t>Die Kommission wird</w:t>
      </w:r>
      <w:r>
        <w:rPr>
          <w:noProof/>
        </w:rPr>
        <w:t>:</w:t>
      </w:r>
      <w:r>
        <w:rPr>
          <w:rFonts w:ascii="Times New Roman" w:hAnsi="Times New Roman"/>
          <w:noProof/>
          <w:sz w:val="24"/>
        </w:rPr>
        <w:t xml:space="preserve"> </w:t>
      </w:r>
    </w:p>
    <w:p w:rsidR="00F15ABE" w:rsidRDefault="007B1A2A">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rPr>
        <w:t xml:space="preserve">bewerten, ob </w:t>
      </w:r>
      <w:r>
        <w:rPr>
          <w:rFonts w:ascii="Times New Roman" w:hAnsi="Times New Roman"/>
          <w:noProof/>
          <w:sz w:val="24"/>
        </w:rPr>
        <w:t>die nachträgliche Ausrüstung der bestehenden Fahrzeugflotte (vor allem Busse und Lastkraftwagen) mit fortschrittlichen Fahrerassistensystemen machbar und kosteneffizient ist [4. Quartal 2018]; und</w:t>
      </w:r>
    </w:p>
    <w:p w:rsidR="00F15ABE" w:rsidRDefault="007B1A2A">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rPr>
        <w:t>die Mitgliedstaaten ermutigen, unter Beibehaltung des Wettb</w:t>
      </w:r>
      <w:r>
        <w:rPr>
          <w:rFonts w:ascii="Times New Roman" w:hAnsi="Times New Roman"/>
          <w:noProof/>
          <w:sz w:val="24"/>
        </w:rPr>
        <w:t xml:space="preserve">ewerbs im Binnenmarkt nationale Anreize zu schaffen, um die Einführung bewährter Technologien durch eine breite Palette von Maßnahmen zu beschleunigen, zu denen auch die Auftragsvergabe, Strategien für sicheres Reisen, steuerliche und Versicherungsanreize </w:t>
      </w:r>
      <w:r>
        <w:rPr>
          <w:rFonts w:ascii="Times New Roman" w:hAnsi="Times New Roman"/>
          <w:noProof/>
          <w:sz w:val="24"/>
        </w:rPr>
        <w:t>zählen [2. Quartal 2018].</w:t>
      </w:r>
    </w:p>
    <w:p w:rsidR="00F15ABE" w:rsidRDefault="00F15ABE">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noProof/>
          <w:sz w:val="24"/>
          <w:szCs w:val="24"/>
        </w:rPr>
      </w:pPr>
    </w:p>
    <w:p w:rsidR="00F15ABE" w:rsidRDefault="007B1A2A">
      <w:pPr>
        <w:pBdr>
          <w:top w:val="single" w:sz="4" w:space="1" w:color="auto"/>
          <w:left w:val="single" w:sz="4" w:space="4" w:color="auto"/>
          <w:bottom w:val="single" w:sz="4" w:space="1" w:color="auto"/>
          <w:right w:val="single" w:sz="4" w:space="4" w:color="auto"/>
        </w:pBdr>
        <w:spacing w:after="240" w:line="240" w:lineRule="auto"/>
        <w:jc w:val="both"/>
        <w:rPr>
          <w:rFonts w:ascii="Times New Roman" w:hAnsi="Times New Roman"/>
          <w:b/>
          <w:noProof/>
          <w:sz w:val="24"/>
          <w:szCs w:val="24"/>
        </w:rPr>
      </w:pPr>
      <w:r>
        <w:rPr>
          <w:rFonts w:ascii="Times New Roman" w:hAnsi="Times New Roman"/>
          <w:b/>
          <w:noProof/>
          <w:sz w:val="24"/>
        </w:rPr>
        <w:t>Die Kommission setzt auf freiwillige Verpflichtungen</w:t>
      </w:r>
      <w:r>
        <w:rPr>
          <w:noProof/>
        </w:rPr>
        <w:t xml:space="preserve">, </w:t>
      </w:r>
      <w:r>
        <w:rPr>
          <w:rFonts w:ascii="Times New Roman" w:hAnsi="Times New Roman"/>
          <w:noProof/>
          <w:sz w:val="24"/>
        </w:rPr>
        <w:t>beispielsweise von</w:t>
      </w:r>
    </w:p>
    <w:p w:rsidR="00F15ABE" w:rsidRDefault="007B1A2A">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rPr>
        <w:t xml:space="preserve">Arbeitgebern/Verkehrsunternehmerverbänden (z. B. Nutzung von Fahrzeugen mit den neuesten Sicherheitsmerkmalen, bevor dies gesetzlich vorgeschrieben ist), </w:t>
      </w:r>
    </w:p>
    <w:p w:rsidR="00F15ABE" w:rsidRDefault="007B1A2A">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rPr>
        <w:t xml:space="preserve">Behörden (z. B. Städte, die bei der Vergabe öffentlicher Aufträge dem Kauf der sichersten und nicht nur der umweltfreundlichsten Fahrzeuge den Vorzug geben),  </w:t>
      </w:r>
    </w:p>
    <w:p w:rsidR="00F15ABE" w:rsidRDefault="007B1A2A">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rPr>
        <w:t>Herstellern (z. B. Einführung von über die Mindestanforderungen hinausgehenden Sicherheitsmerkma</w:t>
      </w:r>
      <w:r>
        <w:rPr>
          <w:rFonts w:ascii="Times New Roman" w:hAnsi="Times New Roman"/>
          <w:noProof/>
          <w:sz w:val="24"/>
        </w:rPr>
        <w:t xml:space="preserve">len in allen Preissegmenten),  </w:t>
      </w:r>
    </w:p>
    <w:p w:rsidR="00F15ABE" w:rsidRDefault="007B1A2A">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rPr>
        <w:t xml:space="preserve">Versicherern (z. B. Änderung der Prämienstruktur zugunsten sicherer Fahrzeuge),  </w:t>
      </w:r>
    </w:p>
    <w:p w:rsidR="00F15ABE" w:rsidRDefault="007B1A2A">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rPr>
        <w:t xml:space="preserve">Autovermietungs- und Car-Sharing-Firmen (z. B. Förderung sicherer Fahrzeuge bei Autoverleih und Leasing, regelmäßige Wartung), und </w:t>
      </w:r>
    </w:p>
    <w:p w:rsidR="00F15ABE" w:rsidRDefault="007B1A2A">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rPr>
        <w:t>Fahrschule</w:t>
      </w:r>
      <w:r>
        <w:rPr>
          <w:rFonts w:ascii="Times New Roman" w:hAnsi="Times New Roman"/>
          <w:noProof/>
          <w:sz w:val="24"/>
        </w:rPr>
        <w:t>n (z. B. Schulung von Fahrschülern und Führerscheininhabern in der Nutzung der neuen Sicherheitsmerkmale von Fahrzeugen).</w:t>
      </w:r>
    </w:p>
    <w:p w:rsidR="00F15ABE" w:rsidRDefault="00F15ABE">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noProof/>
          <w:sz w:val="24"/>
          <w:szCs w:val="24"/>
        </w:rPr>
      </w:pPr>
    </w:p>
    <w:p w:rsidR="00F15ABE" w:rsidRDefault="007B1A2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noProof/>
          <w:sz w:val="24"/>
          <w:szCs w:val="24"/>
        </w:rPr>
      </w:pPr>
      <w:r>
        <w:rPr>
          <w:rFonts w:ascii="Times New Roman" w:hAnsi="Times New Roman"/>
          <w:noProof/>
          <w:sz w:val="24"/>
        </w:rPr>
        <w:t>Die Kommission wird den Bedarf an weiteren Maßnahmen bewerten, die unter anderem die Vorschriften für die Prüfung der Haftung von Alt</w:t>
      </w:r>
      <w:r>
        <w:rPr>
          <w:rFonts w:ascii="Times New Roman" w:hAnsi="Times New Roman"/>
          <w:noProof/>
          <w:sz w:val="24"/>
        </w:rPr>
        <w:t>reifen, den Rechtsrahmen für die technische Überwachung von Kraftfahrzeugen – einschließlich Maßnahmen zur Bekämpfung potenzieller unbefugter Eingriffe durch Eigentümer/Halter – und die Tatsache, dass Sicherheitserwägungen bei der Vergabe öffentlicher Auft</w:t>
      </w:r>
      <w:r>
        <w:rPr>
          <w:rFonts w:ascii="Times New Roman" w:hAnsi="Times New Roman"/>
          <w:noProof/>
          <w:sz w:val="24"/>
        </w:rPr>
        <w:t>räge in der EU mehr im Vordergrund stehen sollten, betreffen.</w:t>
      </w:r>
    </w:p>
    <w:p w:rsidR="00F15ABE" w:rsidRDefault="007B1A2A">
      <w:pPr>
        <w:spacing w:before="360" w:after="0" w:line="240" w:lineRule="auto"/>
        <w:jc w:val="both"/>
        <w:outlineLvl w:val="0"/>
        <w:rPr>
          <w:rFonts w:ascii="Times New Roman" w:hAnsi="Times New Roman"/>
          <w:b/>
          <w:noProof/>
          <w:sz w:val="24"/>
          <w:szCs w:val="24"/>
        </w:rPr>
      </w:pPr>
      <w:r>
        <w:rPr>
          <w:rFonts w:ascii="Times New Roman" w:hAnsi="Times New Roman"/>
          <w:b/>
          <w:noProof/>
          <w:sz w:val="24"/>
        </w:rPr>
        <w:t xml:space="preserve">5.  </w:t>
      </w:r>
      <w:r>
        <w:rPr>
          <w:noProof/>
        </w:rPr>
        <w:tab/>
      </w:r>
      <w:r>
        <w:rPr>
          <w:rFonts w:ascii="Times New Roman" w:hAnsi="Times New Roman"/>
          <w:b/>
          <w:noProof/>
          <w:sz w:val="24"/>
        </w:rPr>
        <w:t>Sichere Teilnahme am Straßenverkehr</w:t>
      </w:r>
    </w:p>
    <w:p w:rsidR="00F15ABE" w:rsidRDefault="007B1A2A">
      <w:pPr>
        <w:spacing w:before="240" w:after="240" w:line="240" w:lineRule="auto"/>
        <w:jc w:val="both"/>
        <w:outlineLvl w:val="0"/>
        <w:rPr>
          <w:rFonts w:ascii="Times New Roman" w:hAnsi="Times New Roman"/>
          <w:noProof/>
          <w:sz w:val="24"/>
          <w:szCs w:val="24"/>
        </w:rPr>
      </w:pPr>
      <w:r>
        <w:rPr>
          <w:rFonts w:ascii="Times New Roman" w:hAnsi="Times New Roman"/>
          <w:noProof/>
          <w:sz w:val="24"/>
        </w:rPr>
        <w:t>Das Sicherheits</w:t>
      </w:r>
      <w:r>
        <w:rPr>
          <w:rFonts w:ascii="Times New Roman" w:hAnsi="Times New Roman"/>
          <w:b/>
          <w:noProof/>
          <w:sz w:val="24"/>
        </w:rPr>
        <w:t>verhalten</w:t>
      </w:r>
      <w:r>
        <w:rPr>
          <w:rFonts w:ascii="Times New Roman" w:hAnsi="Times New Roman"/>
          <w:noProof/>
          <w:sz w:val="24"/>
        </w:rPr>
        <w:t xml:space="preserve"> von Verkehrsteilnehmern (Geschwindigkeit, Verwendung von Schutzausrüstung wie Sicherheitsgurten und Sturzhelmen, Fahren ohne Alkohol und andere Drogen sowie Fahren und Gehen ohne Ablenkung) und die </w:t>
      </w:r>
      <w:r>
        <w:rPr>
          <w:rFonts w:ascii="Times New Roman" w:hAnsi="Times New Roman"/>
          <w:b/>
          <w:noProof/>
          <w:sz w:val="24"/>
        </w:rPr>
        <w:t>Durchsetzung</w:t>
      </w:r>
      <w:r>
        <w:rPr>
          <w:rFonts w:ascii="Times New Roman" w:hAnsi="Times New Roman"/>
          <w:noProof/>
          <w:sz w:val="24"/>
        </w:rPr>
        <w:t xml:space="preserve"> dieser Vorschriften sind ebenfalls von zentr</w:t>
      </w:r>
      <w:r>
        <w:rPr>
          <w:rFonts w:ascii="Times New Roman" w:hAnsi="Times New Roman"/>
          <w:noProof/>
          <w:sz w:val="24"/>
        </w:rPr>
        <w:t>aler Bedeutung für die Verhütung und Abmilderung schwerer Unfälle. Der Vorschlag für eine überarbeitete Verordnung über die allgemeine Sicherheit von Kraftfahrzeugen und den Schutz von Fußgängern deckt einige Merkmale ab, die deutlich mehr Sicherheit versp</w:t>
      </w:r>
      <w:r>
        <w:rPr>
          <w:rFonts w:ascii="Times New Roman" w:hAnsi="Times New Roman"/>
          <w:noProof/>
          <w:sz w:val="24"/>
        </w:rPr>
        <w:t xml:space="preserve">rechen (intelligente Fahrerassistenzsysteme, Technologie für die Fahrerzustandserkennung, standardisierte Schnittstellen für Alkohol-Wegfahrsperren). </w:t>
      </w:r>
    </w:p>
    <w:p w:rsidR="00F15ABE" w:rsidRDefault="007B1A2A">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b/>
          <w:noProof/>
          <w:sz w:val="24"/>
          <w:szCs w:val="24"/>
        </w:rPr>
      </w:pPr>
      <w:r>
        <w:rPr>
          <w:rFonts w:ascii="Times New Roman" w:hAnsi="Times New Roman"/>
          <w:b/>
          <w:noProof/>
          <w:sz w:val="24"/>
        </w:rPr>
        <w:t>Zentrale Maßnahmen für die sichere Teilnahme am Straßenverkehr</w:t>
      </w:r>
    </w:p>
    <w:p w:rsidR="00F15ABE" w:rsidRDefault="007B1A2A">
      <w:pPr>
        <w:pBdr>
          <w:top w:val="single" w:sz="4" w:space="1" w:color="auto"/>
          <w:left w:val="single" w:sz="4" w:space="4" w:color="auto"/>
          <w:bottom w:val="single" w:sz="4" w:space="1" w:color="auto"/>
          <w:right w:val="single" w:sz="4" w:space="4" w:color="auto"/>
        </w:pBdr>
        <w:spacing w:line="240" w:lineRule="auto"/>
        <w:rPr>
          <w:rFonts w:ascii="Times New Roman" w:hAnsi="Times New Roman"/>
          <w:b/>
          <w:noProof/>
          <w:sz w:val="24"/>
          <w:szCs w:val="24"/>
        </w:rPr>
      </w:pPr>
      <w:r>
        <w:rPr>
          <w:rFonts w:ascii="Times New Roman" w:hAnsi="Times New Roman"/>
          <w:b/>
          <w:noProof/>
          <w:sz w:val="24"/>
        </w:rPr>
        <w:t>Die Kommission wird:</w:t>
      </w:r>
    </w:p>
    <w:p w:rsidR="00F15ABE" w:rsidRDefault="007B1A2A">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rPr>
        <w:t>auf der Grundlage ein</w:t>
      </w:r>
      <w:r>
        <w:rPr>
          <w:rFonts w:ascii="Times New Roman" w:hAnsi="Times New Roman"/>
          <w:noProof/>
          <w:sz w:val="24"/>
        </w:rPr>
        <w:t>er 2016 durchgeführten Evaluierung Optionen zur Verbesserung der Wirksamkeit der Richtlinie über den grenzüberschreitenden Austausch von Informationen über Straßenverkehrsdelikte bewerten [4. Quartal 2018];</w:t>
      </w:r>
    </w:p>
    <w:p w:rsidR="00F15ABE" w:rsidRDefault="007B1A2A">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rPr>
        <w:t xml:space="preserve">eine Studie zur Durchführbarkeit einer möglichen </w:t>
      </w:r>
      <w:r>
        <w:rPr>
          <w:rFonts w:ascii="Times New Roman" w:hAnsi="Times New Roman"/>
          <w:noProof/>
          <w:sz w:val="24"/>
        </w:rPr>
        <w:t>Legislativinitiative über die gegenseitige Anerkennung des Entzugs der Fahrerlaubnis einleiten [1. Quartal 2019];</w:t>
      </w:r>
    </w:p>
    <w:p w:rsidR="00F15ABE" w:rsidRDefault="007B1A2A">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rPr>
        <w:t>die Regelung der Wirtschaftskommission der Vereinten Nationen für Europa (UNECE), durch die Gurtwarner für alle Sitzplätze verbindlich vorgesc</w:t>
      </w:r>
      <w:r>
        <w:rPr>
          <w:rFonts w:ascii="Times New Roman" w:hAnsi="Times New Roman"/>
          <w:noProof/>
          <w:sz w:val="24"/>
        </w:rPr>
        <w:t>hrieben werden, umsetzen [4. Quartal 2018];</w:t>
      </w:r>
    </w:p>
    <w:p w:rsidR="00F15ABE" w:rsidRDefault="007B1A2A">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contextualSpacing w:val="0"/>
        <w:jc w:val="both"/>
        <w:rPr>
          <w:rFonts w:ascii="Times New Roman" w:hAnsi="Times New Roman"/>
          <w:noProof/>
          <w:sz w:val="24"/>
          <w:szCs w:val="24"/>
        </w:rPr>
      </w:pPr>
      <w:r>
        <w:rPr>
          <w:rFonts w:ascii="Times New Roman" w:hAnsi="Times New Roman"/>
          <w:noProof/>
          <w:sz w:val="24"/>
        </w:rPr>
        <w:t xml:space="preserve">zusammen mit den Mitgliedstaaten daran arbeiten, die notwendigen Voraussetzungen für das Funktionieren einer übersteuerbaren intelligenten Geschwindigkeitsassistenz, auch im Hinblick auf die Verfügbarkeit von </w:t>
      </w:r>
      <w:r>
        <w:rPr>
          <w:rFonts w:ascii="Times New Roman" w:hAnsi="Times New Roman"/>
          <w:noProof/>
          <w:sz w:val="24"/>
        </w:rPr>
        <w:t>Geschwindigkeitsbeschränkungen in digitalem Format, zu schaffen, und die Durchführbarkeit und Annehmbarkeit einer nicht übersteuerbaren intelligenten Geschwindigkeitsassistenz in der Zukunft prüfen [3. Quartal 2019]; und</w:t>
      </w:r>
    </w:p>
    <w:p w:rsidR="00F15ABE" w:rsidRDefault="007B1A2A">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rPr>
        <w:t>bewerten, wie die EU-Empfehlung zur</w:t>
      </w:r>
      <w:r>
        <w:rPr>
          <w:rFonts w:ascii="Times New Roman" w:hAnsi="Times New Roman"/>
          <w:noProof/>
          <w:sz w:val="24"/>
        </w:rPr>
        <w:t xml:space="preserve"> zulässigen Blutalkoholkonzentration verschärft werden kann, z. B. durch die Empfehlung strengerer Grenzwerte für Berufskraftfahrer und/oder Fahranfänger und Leitlinien für die Verwendung von Alkohol-Wegfahrsperren [3. Quartal 2018].</w:t>
      </w:r>
    </w:p>
    <w:p w:rsidR="00F15ABE" w:rsidRDefault="00F15ABE">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noProof/>
          <w:sz w:val="24"/>
          <w:szCs w:val="24"/>
        </w:rPr>
      </w:pPr>
    </w:p>
    <w:p w:rsidR="00F15ABE" w:rsidRDefault="007B1A2A">
      <w:pPr>
        <w:pBdr>
          <w:top w:val="single" w:sz="4" w:space="1" w:color="auto"/>
          <w:left w:val="single" w:sz="4" w:space="4" w:color="auto"/>
          <w:bottom w:val="single" w:sz="4" w:space="1" w:color="auto"/>
          <w:right w:val="single" w:sz="4" w:space="4" w:color="auto"/>
        </w:pBdr>
        <w:spacing w:after="240" w:line="240" w:lineRule="auto"/>
        <w:rPr>
          <w:rFonts w:ascii="Times New Roman" w:hAnsi="Times New Roman"/>
          <w:noProof/>
          <w:sz w:val="24"/>
          <w:szCs w:val="24"/>
        </w:rPr>
      </w:pPr>
      <w:r>
        <w:rPr>
          <w:rFonts w:ascii="Times New Roman" w:hAnsi="Times New Roman"/>
          <w:b/>
          <w:noProof/>
          <w:sz w:val="24"/>
        </w:rPr>
        <w:t xml:space="preserve">Die Kommission setzt </w:t>
      </w:r>
      <w:r>
        <w:rPr>
          <w:rFonts w:ascii="Times New Roman" w:hAnsi="Times New Roman"/>
          <w:b/>
          <w:noProof/>
          <w:sz w:val="24"/>
        </w:rPr>
        <w:t>auf freiwillige Verpflichtungen</w:t>
      </w:r>
      <w:r>
        <w:rPr>
          <w:noProof/>
        </w:rPr>
        <w:t xml:space="preserve">, </w:t>
      </w:r>
      <w:r>
        <w:rPr>
          <w:rFonts w:ascii="Times New Roman" w:hAnsi="Times New Roman"/>
          <w:noProof/>
          <w:sz w:val="24"/>
        </w:rPr>
        <w:t xml:space="preserve">beispielsweise von </w:t>
      </w:r>
    </w:p>
    <w:p w:rsidR="00F15ABE" w:rsidRDefault="007B1A2A">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rPr>
        <w:t>Arbeitgebern/Verkehrsunternehmerverbänden (z. B. verstärkte Schulung und Sensibilisierung von Berufskraftfahrern, die über die gesetzlichen Vorschriften für die Ausbildung von Berufskraftfahrern hinausge</w:t>
      </w:r>
      <w:r>
        <w:rPr>
          <w:rFonts w:ascii="Times New Roman" w:hAnsi="Times New Roman"/>
          <w:noProof/>
          <w:sz w:val="24"/>
        </w:rPr>
        <w:t>ht),</w:t>
      </w:r>
    </w:p>
    <w:p w:rsidR="00F15ABE" w:rsidRDefault="007B1A2A">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rPr>
        <w:t xml:space="preserve">Bildungseinrichtungen (z. B. Aufnahme der Straßenverkehrssicherheit in die regulären Lehrpläne) und Verkehrsteilnehmerorganisationen (z. B. Förderung sicheren Verhaltens unter Berücksichtigung alters- und geschlechtsspezifischer Faktoren), </w:t>
      </w:r>
    </w:p>
    <w:p w:rsidR="00F15ABE" w:rsidRDefault="007B1A2A">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rPr>
        <w:t>Behörden (</w:t>
      </w:r>
      <w:r>
        <w:rPr>
          <w:rFonts w:ascii="Times New Roman" w:hAnsi="Times New Roman"/>
          <w:noProof/>
          <w:sz w:val="24"/>
        </w:rPr>
        <w:t xml:space="preserve">z. B. obligatorischer Einbau von Alkohol-Wegfahrsperren bei der Vergabe öffentlicher Aufträge), </w:t>
      </w:r>
    </w:p>
    <w:p w:rsidR="00F15ABE" w:rsidRDefault="007B1A2A">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rPr>
        <w:t>Reisebusunternehmern (z. B. Sensibilisierungskampagnen zu Sicherheitsgurten), und</w:t>
      </w:r>
    </w:p>
    <w:p w:rsidR="00F15ABE" w:rsidRDefault="007B1A2A">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rPr>
        <w:t xml:space="preserve">Taxi- und Mitfahrunternehmen (z. B. Ausrüstung ihrer Fahrzeuge mit </w:t>
      </w:r>
      <w:r>
        <w:rPr>
          <w:rFonts w:ascii="Times New Roman" w:hAnsi="Times New Roman"/>
          <w:noProof/>
          <w:sz w:val="24"/>
        </w:rPr>
        <w:t>Kindersitzen).</w:t>
      </w:r>
    </w:p>
    <w:p w:rsidR="00F15ABE" w:rsidRDefault="00F15ABE">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noProof/>
          <w:sz w:val="24"/>
          <w:szCs w:val="24"/>
        </w:rPr>
      </w:pPr>
    </w:p>
    <w:p w:rsidR="00F15ABE" w:rsidRDefault="007B1A2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noProof/>
          <w:sz w:val="24"/>
          <w:szCs w:val="24"/>
        </w:rPr>
      </w:pPr>
      <w:r>
        <w:rPr>
          <w:rFonts w:ascii="Times New Roman" w:hAnsi="Times New Roman"/>
          <w:noProof/>
          <w:sz w:val="24"/>
        </w:rPr>
        <w:t>Die Kommission wird außerdem im Rahmen des künftigen Forschungs- und Innovationsprogramms die Forschung im Hinblick auf die Entwicklung von Prüfmethoden und kostengünstigeren Instrumenten zum Aufspüren von Drogen sowie die automatische Bewe</w:t>
      </w:r>
      <w:r>
        <w:rPr>
          <w:rFonts w:ascii="Times New Roman" w:hAnsi="Times New Roman"/>
          <w:noProof/>
          <w:sz w:val="24"/>
        </w:rPr>
        <w:t>rtung der Fahrtüchtigkeit und die Vermeidung von Unaufmerksamkeit, auch aufgrund von Ablenkung durch im Fahrzeug eingebaute elektronische Systeme, fördern und unterstützen. Sie wird bewerten, ob individuelle elektronische Gurtwarner in Reisebussen verbindl</w:t>
      </w:r>
      <w:r>
        <w:rPr>
          <w:rFonts w:ascii="Times New Roman" w:hAnsi="Times New Roman"/>
          <w:noProof/>
          <w:sz w:val="24"/>
        </w:rPr>
        <w:t>ich vorgeschrieben werden sollten und ob mit der Industrie ein Kodex bewährter Verfahren ausgearbeitet werden sollte, um sicherzustellen, dass Informationssysteme und Telefone in Fahrzeugen so gestaltet sind, dass sie sicher genutzt werden können. Die Komm</w:t>
      </w:r>
      <w:r>
        <w:rPr>
          <w:rFonts w:ascii="Times New Roman" w:hAnsi="Times New Roman"/>
          <w:noProof/>
          <w:sz w:val="24"/>
        </w:rPr>
        <w:t>ission wird den Bedarf an weiteren Maßnahmen ermitteln, beispielsweise in Bezug auf die Festlegung und Anwendung des Begriffs der „sicheren Geschwindigkeit“; Fahrradhelme und Schutzkleidung für Kraftradfahrer; und/oder stufenweise Erteilung der Fahrerlaubn</w:t>
      </w:r>
      <w:r>
        <w:rPr>
          <w:rFonts w:ascii="Times New Roman" w:hAnsi="Times New Roman"/>
          <w:noProof/>
          <w:sz w:val="24"/>
        </w:rPr>
        <w:t>is für Fahranfänger.</w:t>
      </w:r>
    </w:p>
    <w:p w:rsidR="00F15ABE" w:rsidRDefault="007B1A2A">
      <w:pPr>
        <w:spacing w:before="480" w:after="0" w:line="240" w:lineRule="auto"/>
        <w:jc w:val="both"/>
        <w:outlineLvl w:val="0"/>
        <w:rPr>
          <w:rFonts w:ascii="Times New Roman" w:hAnsi="Times New Roman"/>
          <w:b/>
          <w:noProof/>
          <w:sz w:val="24"/>
          <w:szCs w:val="24"/>
        </w:rPr>
      </w:pPr>
      <w:r>
        <w:rPr>
          <w:rFonts w:ascii="Times New Roman" w:hAnsi="Times New Roman"/>
          <w:b/>
          <w:noProof/>
          <w:sz w:val="24"/>
        </w:rPr>
        <w:t xml:space="preserve">6.  </w:t>
      </w:r>
      <w:r>
        <w:rPr>
          <w:noProof/>
        </w:rPr>
        <w:tab/>
      </w:r>
      <w:r>
        <w:rPr>
          <w:rFonts w:ascii="Times New Roman" w:hAnsi="Times New Roman"/>
          <w:b/>
          <w:noProof/>
          <w:sz w:val="24"/>
        </w:rPr>
        <w:t>Schnelle und wirksame Notfalleinsätze</w:t>
      </w:r>
    </w:p>
    <w:p w:rsidR="00F15ABE" w:rsidRDefault="007B1A2A">
      <w:pPr>
        <w:spacing w:line="240" w:lineRule="auto"/>
        <w:jc w:val="both"/>
        <w:rPr>
          <w:rFonts w:ascii="Times New Roman" w:hAnsi="Times New Roman"/>
          <w:noProof/>
          <w:sz w:val="24"/>
          <w:szCs w:val="24"/>
        </w:rPr>
      </w:pPr>
      <w:r>
        <w:rPr>
          <w:rFonts w:ascii="Times New Roman" w:hAnsi="Times New Roman"/>
          <w:noProof/>
          <w:sz w:val="24"/>
          <w:szCs w:val="24"/>
        </w:rPr>
        <w:br/>
      </w:r>
      <w:r>
        <w:rPr>
          <w:rFonts w:ascii="Times New Roman" w:hAnsi="Times New Roman"/>
          <w:noProof/>
          <w:sz w:val="24"/>
        </w:rPr>
        <w:t>Durch wirksame Versorgung nach einem Unfall, einschließlich des raschen Transports zur geeigneten Einrichtung durch qualifiziertes Personal, werden Verletzungsfolgen verringert. In diesem Zus</w:t>
      </w:r>
      <w:r>
        <w:rPr>
          <w:rFonts w:ascii="Times New Roman" w:hAnsi="Times New Roman"/>
          <w:noProof/>
          <w:sz w:val="24"/>
        </w:rPr>
        <w:t xml:space="preserve">ammenhang sollten die Auswirkungen der Einführung von </w:t>
      </w:r>
      <w:r>
        <w:rPr>
          <w:rFonts w:ascii="Times New Roman" w:hAnsi="Times New Roman"/>
          <w:b/>
          <w:noProof/>
          <w:sz w:val="24"/>
        </w:rPr>
        <w:t>eCall</w:t>
      </w:r>
      <w:r>
        <w:rPr>
          <w:rFonts w:ascii="Times New Roman" w:hAnsi="Times New Roman"/>
          <w:noProof/>
          <w:sz w:val="24"/>
        </w:rPr>
        <w:t xml:space="preserve"> (automatischer Notruf bei Unfällen) genau überwacht werden.</w:t>
      </w:r>
    </w:p>
    <w:p w:rsidR="00F15ABE" w:rsidRDefault="007B1A2A">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b/>
          <w:noProof/>
          <w:sz w:val="24"/>
          <w:szCs w:val="24"/>
        </w:rPr>
      </w:pPr>
      <w:r>
        <w:rPr>
          <w:rFonts w:ascii="Times New Roman" w:hAnsi="Times New Roman"/>
          <w:b/>
          <w:noProof/>
          <w:sz w:val="24"/>
        </w:rPr>
        <w:t>Zentrale Maßnahmen für Notfalleinsätze</w:t>
      </w:r>
    </w:p>
    <w:p w:rsidR="00F15ABE" w:rsidRDefault="007B1A2A">
      <w:pPr>
        <w:pBdr>
          <w:top w:val="single" w:sz="4" w:space="1" w:color="auto"/>
          <w:left w:val="single" w:sz="4" w:space="4" w:color="auto"/>
          <w:bottom w:val="single" w:sz="4" w:space="1" w:color="auto"/>
          <w:right w:val="single" w:sz="4" w:space="4" w:color="auto"/>
        </w:pBdr>
        <w:spacing w:after="120" w:line="240" w:lineRule="auto"/>
        <w:rPr>
          <w:rFonts w:ascii="Times New Roman" w:hAnsi="Times New Roman"/>
          <w:b/>
          <w:noProof/>
          <w:sz w:val="24"/>
          <w:szCs w:val="24"/>
        </w:rPr>
      </w:pPr>
      <w:r>
        <w:rPr>
          <w:rFonts w:ascii="Times New Roman" w:hAnsi="Times New Roman"/>
          <w:b/>
          <w:noProof/>
          <w:sz w:val="24"/>
        </w:rPr>
        <w:t>Die Kommission wird:</w:t>
      </w:r>
    </w:p>
    <w:p w:rsidR="00F15ABE" w:rsidRDefault="007B1A2A">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contextualSpacing w:val="0"/>
        <w:jc w:val="both"/>
        <w:rPr>
          <w:rFonts w:ascii="Times New Roman" w:hAnsi="Times New Roman"/>
          <w:noProof/>
          <w:sz w:val="24"/>
          <w:szCs w:val="24"/>
        </w:rPr>
      </w:pPr>
      <w:r>
        <w:rPr>
          <w:rFonts w:ascii="Times New Roman" w:hAnsi="Times New Roman"/>
          <w:noProof/>
          <w:sz w:val="24"/>
        </w:rPr>
        <w:t xml:space="preserve">die Auswirkungen von eCall und die mögliche Ausweitung auf andere </w:t>
      </w:r>
      <w:r>
        <w:rPr>
          <w:rFonts w:ascii="Times New Roman" w:hAnsi="Times New Roman"/>
          <w:noProof/>
          <w:sz w:val="24"/>
        </w:rPr>
        <w:t>Fahrzeugkategorien (Lastkraftwagen, Kraftomnibusse, Krafträder und landwirtschaftliche Zugmaschinen) bewerten [3. Quartal 2019]. und</w:t>
      </w:r>
    </w:p>
    <w:p w:rsidR="00F15ABE" w:rsidRDefault="007B1A2A">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rPr>
        <w:t xml:space="preserve">engere Kontakte zwischen den für die Straßenverkehrssicherheit zuständigen Behörden und dem Gesundheitssektor erleichtern, </w:t>
      </w:r>
      <w:r>
        <w:rPr>
          <w:rFonts w:ascii="Times New Roman" w:hAnsi="Times New Roman"/>
          <w:noProof/>
          <w:sz w:val="24"/>
        </w:rPr>
        <w:t>um den weiteren praktischen und Forschungsbedarf zu bewerten (z. B. wie sichergestellt werden kann, dass Verletzungen von qualifizierten Personen in geeigneten medizinischen Einrichtungen behandelt werden) [3. Quartal 2018].</w:t>
      </w:r>
    </w:p>
    <w:p w:rsidR="00F15ABE" w:rsidRDefault="00F15ABE">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noProof/>
          <w:sz w:val="24"/>
          <w:szCs w:val="24"/>
        </w:rPr>
      </w:pPr>
    </w:p>
    <w:p w:rsidR="00F15ABE" w:rsidRDefault="007B1A2A">
      <w:pPr>
        <w:pBdr>
          <w:top w:val="single" w:sz="4" w:space="1" w:color="auto"/>
          <w:left w:val="single" w:sz="4" w:space="4" w:color="auto"/>
          <w:bottom w:val="single" w:sz="4" w:space="1" w:color="auto"/>
          <w:right w:val="single" w:sz="4" w:space="4" w:color="auto"/>
        </w:pBdr>
        <w:spacing w:after="120" w:line="240" w:lineRule="auto"/>
        <w:rPr>
          <w:rFonts w:ascii="Times New Roman" w:hAnsi="Times New Roman"/>
          <w:noProof/>
          <w:sz w:val="24"/>
          <w:szCs w:val="24"/>
        </w:rPr>
      </w:pPr>
      <w:r>
        <w:rPr>
          <w:rFonts w:ascii="Times New Roman" w:hAnsi="Times New Roman"/>
          <w:b/>
          <w:noProof/>
          <w:sz w:val="24"/>
        </w:rPr>
        <w:t>Die Kommission setzt auf freiw</w:t>
      </w:r>
      <w:r>
        <w:rPr>
          <w:rFonts w:ascii="Times New Roman" w:hAnsi="Times New Roman"/>
          <w:b/>
          <w:noProof/>
          <w:sz w:val="24"/>
        </w:rPr>
        <w:t>illige Verpflichtungen</w:t>
      </w:r>
      <w:r>
        <w:rPr>
          <w:noProof/>
        </w:rPr>
        <w:t xml:space="preserve">, </w:t>
      </w:r>
      <w:r>
        <w:rPr>
          <w:rFonts w:ascii="Times New Roman" w:hAnsi="Times New Roman"/>
          <w:noProof/>
          <w:sz w:val="24"/>
        </w:rPr>
        <w:t xml:space="preserve">beispielsweise von </w:t>
      </w:r>
    </w:p>
    <w:p w:rsidR="00F15ABE" w:rsidRDefault="007B1A2A">
      <w:pPr>
        <w:pStyle w:val="ListParagraph"/>
        <w:numPr>
          <w:ilvl w:val="0"/>
          <w:numId w:val="17"/>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noProof/>
          <w:sz w:val="24"/>
          <w:szCs w:val="24"/>
        </w:rPr>
      </w:pPr>
      <w:r>
        <w:rPr>
          <w:rFonts w:ascii="Times New Roman" w:hAnsi="Times New Roman"/>
          <w:noProof/>
          <w:sz w:val="24"/>
        </w:rPr>
        <w:t>gewerblichen und öffentlichen Verkehrsunternehmern (z. B. Erste-Hilfe-Ausbildung für Fahrer),</w:t>
      </w:r>
    </w:p>
    <w:p w:rsidR="00F15ABE" w:rsidRDefault="007B1A2A">
      <w:pPr>
        <w:pStyle w:val="ListParagraph"/>
        <w:numPr>
          <w:ilvl w:val="0"/>
          <w:numId w:val="17"/>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noProof/>
          <w:sz w:val="24"/>
          <w:szCs w:val="24"/>
        </w:rPr>
      </w:pPr>
      <w:r>
        <w:rPr>
          <w:rFonts w:ascii="Times New Roman" w:hAnsi="Times New Roman"/>
          <w:noProof/>
          <w:sz w:val="24"/>
        </w:rPr>
        <w:t>Herstellern (z. B. Einbau von eCall in Neufahrzeuge von bestehenden Fahrzeugtypen oder nachträglicher Einbau),</w:t>
      </w:r>
    </w:p>
    <w:p w:rsidR="00F15ABE" w:rsidRDefault="007B1A2A">
      <w:pPr>
        <w:pStyle w:val="ListParagraph"/>
        <w:numPr>
          <w:ilvl w:val="0"/>
          <w:numId w:val="17"/>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noProof/>
          <w:sz w:val="24"/>
          <w:szCs w:val="24"/>
        </w:rPr>
      </w:pPr>
      <w:r>
        <w:rPr>
          <w:rFonts w:ascii="Times New Roman" w:hAnsi="Times New Roman"/>
          <w:noProof/>
          <w:sz w:val="24"/>
        </w:rPr>
        <w:t>Versicherern (z. B. Senkung der Versicherungsprämien für mit eCall ausgerüstete Fahrzeuge).</w:t>
      </w:r>
    </w:p>
    <w:p w:rsidR="00F15ABE" w:rsidRDefault="007B1A2A">
      <w:pPr>
        <w:spacing w:before="360" w:after="0" w:line="240" w:lineRule="auto"/>
        <w:jc w:val="both"/>
        <w:outlineLvl w:val="0"/>
        <w:rPr>
          <w:rFonts w:ascii="Times New Roman" w:hAnsi="Times New Roman"/>
          <w:b/>
          <w:noProof/>
          <w:sz w:val="24"/>
          <w:szCs w:val="24"/>
        </w:rPr>
      </w:pPr>
      <w:r>
        <w:rPr>
          <w:rFonts w:ascii="Times New Roman" w:hAnsi="Times New Roman"/>
          <w:b/>
          <w:noProof/>
          <w:sz w:val="24"/>
        </w:rPr>
        <w:t>7.</w:t>
      </w:r>
      <w:r>
        <w:rPr>
          <w:noProof/>
        </w:rPr>
        <w:tab/>
      </w:r>
      <w:r>
        <w:rPr>
          <w:rFonts w:ascii="Times New Roman" w:hAnsi="Times New Roman"/>
          <w:b/>
          <w:noProof/>
          <w:sz w:val="24"/>
        </w:rPr>
        <w:t>Straßenverkehrssicherheit der Zukunft</w:t>
      </w:r>
    </w:p>
    <w:p w:rsidR="00F15ABE" w:rsidRDefault="007B1A2A">
      <w:pPr>
        <w:pStyle w:val="DefaultText"/>
        <w:rPr>
          <w:noProof/>
        </w:rPr>
      </w:pPr>
      <w:r>
        <w:rPr>
          <w:b/>
          <w:noProof/>
        </w:rPr>
        <w:t>Vernetzung und Automatisierung</w:t>
      </w:r>
      <w:r>
        <w:rPr>
          <w:noProof/>
        </w:rPr>
        <w:t xml:space="preserve"> verfügen langfristig über enormes Potenzial, doch muss auch auf ihre Risiken eingegangen wer</w:t>
      </w:r>
      <w:r>
        <w:rPr>
          <w:noProof/>
        </w:rPr>
        <w:t xml:space="preserve">den, beispielsweise in Zusammenhang mit der </w:t>
      </w:r>
      <w:r>
        <w:rPr>
          <w:b/>
          <w:noProof/>
        </w:rPr>
        <w:t>Cybersicherheit</w:t>
      </w:r>
      <w:r>
        <w:rPr>
          <w:noProof/>
        </w:rPr>
        <w:t xml:space="preserve"> und der Funktionsweise hoch automatisierter Fahrzeuge im </w:t>
      </w:r>
      <w:r>
        <w:rPr>
          <w:b/>
          <w:noProof/>
        </w:rPr>
        <w:t>gemischten Verkehr</w:t>
      </w:r>
      <w:r>
        <w:rPr>
          <w:noProof/>
        </w:rPr>
        <w:t>. Im Rahmen des Mobilitätspakets schlägt die Kommission daher eine umfassende Strategie zur vernetzten und automatisierte</w:t>
      </w:r>
      <w:r>
        <w:rPr>
          <w:noProof/>
        </w:rPr>
        <w:t xml:space="preserve">n Mobilität vor. </w:t>
      </w:r>
    </w:p>
    <w:p w:rsidR="00F15ABE" w:rsidRDefault="007B1A2A">
      <w:pPr>
        <w:pStyle w:val="DefaultText"/>
        <w:rPr>
          <w:noProof/>
        </w:rPr>
      </w:pPr>
      <w:r>
        <w:rPr>
          <w:noProof/>
        </w:rPr>
        <w:t xml:space="preserve">Die </w:t>
      </w:r>
      <w:r>
        <w:rPr>
          <w:b/>
          <w:noProof/>
        </w:rPr>
        <w:t>kollaborative Wirtschaft</w:t>
      </w:r>
      <w:r>
        <w:rPr>
          <w:noProof/>
        </w:rPr>
        <w:t xml:space="preserve"> (beispielsweise Car- und Bike-Sharing-Systeme) und einige </w:t>
      </w:r>
      <w:r>
        <w:rPr>
          <w:b/>
          <w:noProof/>
        </w:rPr>
        <w:t>Umweltschutzmaßnahmen</w:t>
      </w:r>
      <w:r>
        <w:rPr>
          <w:noProof/>
        </w:rPr>
        <w:t xml:space="preserve"> bieten, wenn sie mit Sicherheitsmaßnahmen für den Straßenverkehr kombiniert werden, für beide Seiten Vorteile (z. B. ein sicherer</w:t>
      </w:r>
      <w:r>
        <w:rPr>
          <w:noProof/>
        </w:rPr>
        <w:t xml:space="preserve">es und attraktiveres Umfeld für Fußgänger und Radfahrer), bergen jedoch auch Risiken, beispielsweise mehr verletzungsgefährdete Straßenverkehrsteilnehmer. </w:t>
      </w:r>
    </w:p>
    <w:p w:rsidR="00F15ABE" w:rsidRDefault="007B1A2A">
      <w:pPr>
        <w:pStyle w:val="DefaultText"/>
        <w:rPr>
          <w:noProof/>
        </w:rPr>
      </w:pPr>
      <w:r>
        <w:rPr>
          <w:noProof/>
        </w:rPr>
        <w:t xml:space="preserve">Künftige Initiativen müssen dem spezifischen Bedarf </w:t>
      </w:r>
      <w:r>
        <w:rPr>
          <w:b/>
          <w:noProof/>
        </w:rPr>
        <w:t>verletzungsgefährdeter Straßenverkehrsteilnehmer</w:t>
      </w:r>
      <w:r>
        <w:rPr>
          <w:noProof/>
        </w:rPr>
        <w:t xml:space="preserve"> und unterschiedlicher </w:t>
      </w:r>
      <w:r>
        <w:rPr>
          <w:b/>
          <w:noProof/>
        </w:rPr>
        <w:t>Gruppen von Verkehrsteilnehmern</w:t>
      </w:r>
      <w:r>
        <w:rPr>
          <w:noProof/>
        </w:rPr>
        <w:t xml:space="preserve"> (je nach Alter, Geschlecht, Beeinträchtigungen) Rechnung tragen. Außerdem müssen möglicherweise die Maßnahmen im Bereich der </w:t>
      </w:r>
      <w:r>
        <w:rPr>
          <w:b/>
          <w:noProof/>
        </w:rPr>
        <w:t>Sicherheit am Arbeitsplatz</w:t>
      </w:r>
      <w:r>
        <w:rPr>
          <w:noProof/>
        </w:rPr>
        <w:t xml:space="preserve"> verstärkt werden.</w:t>
      </w:r>
    </w:p>
    <w:p w:rsidR="00F15ABE" w:rsidRDefault="007B1A2A">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b/>
          <w:noProof/>
          <w:sz w:val="24"/>
          <w:szCs w:val="24"/>
        </w:rPr>
      </w:pPr>
      <w:r>
        <w:rPr>
          <w:rFonts w:ascii="Times New Roman" w:hAnsi="Times New Roman"/>
          <w:b/>
          <w:noProof/>
          <w:sz w:val="24"/>
        </w:rPr>
        <w:t>Zentrale Maßnahmen angesichts n</w:t>
      </w:r>
      <w:r>
        <w:rPr>
          <w:rFonts w:ascii="Times New Roman" w:hAnsi="Times New Roman"/>
          <w:b/>
          <w:noProof/>
          <w:sz w:val="24"/>
        </w:rPr>
        <w:t>euer Herausforderungen</w:t>
      </w:r>
    </w:p>
    <w:p w:rsidR="00F15ABE" w:rsidRDefault="007B1A2A">
      <w:pPr>
        <w:pBdr>
          <w:top w:val="single" w:sz="4" w:space="1" w:color="auto"/>
          <w:left w:val="single" w:sz="4" w:space="4" w:color="auto"/>
          <w:bottom w:val="single" w:sz="4" w:space="1" w:color="auto"/>
          <w:right w:val="single" w:sz="4" w:space="4" w:color="auto"/>
        </w:pBdr>
        <w:spacing w:line="240" w:lineRule="auto"/>
        <w:rPr>
          <w:rFonts w:ascii="Times New Roman" w:hAnsi="Times New Roman"/>
          <w:b/>
          <w:noProof/>
          <w:sz w:val="24"/>
          <w:szCs w:val="24"/>
        </w:rPr>
      </w:pPr>
      <w:r>
        <w:rPr>
          <w:rFonts w:ascii="Times New Roman" w:hAnsi="Times New Roman"/>
          <w:b/>
          <w:noProof/>
          <w:sz w:val="24"/>
        </w:rPr>
        <w:t>Die Kommission wird:</w:t>
      </w:r>
    </w:p>
    <w:p w:rsidR="00F15ABE" w:rsidRDefault="007B1A2A">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rPr>
        <w:t>Spezifikationen für kooperative intelligente Verkehrssysteme, einschließlich der Kommunikation zwischen Fahrzeugen bzw. zwischen Fahrzeugen und Infrastrukturen</w:t>
      </w:r>
      <w:r>
        <w:rPr>
          <w:rStyle w:val="FootnoteReference"/>
          <w:rFonts w:ascii="Times New Roman" w:hAnsi="Times New Roman"/>
          <w:noProof/>
          <w:sz w:val="24"/>
        </w:rPr>
        <w:footnoteReference w:id="3"/>
      </w:r>
      <w:r>
        <w:rPr>
          <w:rFonts w:ascii="Times New Roman" w:hAnsi="Times New Roman"/>
          <w:noProof/>
          <w:sz w:val="24"/>
        </w:rPr>
        <w:t xml:space="preserve">, verabschieden (delegierter Rechtsakt im Rahmen der Richtlinie über intelligente Verkehrssysteme) [4. Quartal 2018]; </w:t>
      </w:r>
    </w:p>
    <w:p w:rsidR="00F15ABE" w:rsidRDefault="007B1A2A">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rPr>
        <w:t>eng mit den Interessenträgern zusammenarbeiten, um einen Prozess zur Entwicklung eines Verhaltenskodex für den Übergang zu höheren Automa</w:t>
      </w:r>
      <w:r>
        <w:rPr>
          <w:rFonts w:ascii="Times New Roman" w:hAnsi="Times New Roman"/>
          <w:noProof/>
          <w:sz w:val="24"/>
        </w:rPr>
        <w:t>tisierungsgraden einzuleiten, damit gewährleistet ist, dass Anforderungen und Verfahren der Straßenverkehrssicherheit (gemischter Verkehr, Interaktion mit anderen Straßenverkehrsteilnehmern, Kolonnen) in vollem Umfang Rechnung tragen, indem vor allem siche</w:t>
      </w:r>
      <w:r>
        <w:rPr>
          <w:rFonts w:ascii="Times New Roman" w:hAnsi="Times New Roman"/>
          <w:noProof/>
          <w:sz w:val="24"/>
        </w:rPr>
        <w:t>rgestellt wird, dass die nationalen Verkehrsvorschriften kohärent sind und nicht in Widerspruch zu den EU-Kraftfahrzeugvorschriften stehen [3. Quartal 2019]; und</w:t>
      </w:r>
    </w:p>
    <w:p w:rsidR="00F15ABE" w:rsidRDefault="007B1A2A">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rPr>
        <w:t>einen „Sichere Stadt“-Wettbewerb oder -Preis ausloben [3. Quartal 2019].</w:t>
      </w:r>
    </w:p>
    <w:p w:rsidR="00F15ABE" w:rsidRDefault="00F15ABE">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noProof/>
          <w:sz w:val="24"/>
          <w:szCs w:val="24"/>
        </w:rPr>
      </w:pPr>
    </w:p>
    <w:p w:rsidR="00F15ABE" w:rsidRDefault="007B1A2A">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noProof/>
          <w:sz w:val="24"/>
          <w:szCs w:val="24"/>
        </w:rPr>
      </w:pPr>
      <w:r>
        <w:rPr>
          <w:rFonts w:ascii="Times New Roman" w:hAnsi="Times New Roman"/>
          <w:b/>
          <w:noProof/>
          <w:sz w:val="24"/>
        </w:rPr>
        <w:t>Die Kommission setzt</w:t>
      </w:r>
      <w:r>
        <w:rPr>
          <w:rFonts w:ascii="Times New Roman" w:hAnsi="Times New Roman"/>
          <w:b/>
          <w:noProof/>
          <w:sz w:val="24"/>
        </w:rPr>
        <w:t xml:space="preserve"> auf freiwillige Verpflichtungen</w:t>
      </w:r>
      <w:r>
        <w:rPr>
          <w:noProof/>
        </w:rPr>
        <w:t xml:space="preserve">, </w:t>
      </w:r>
      <w:r>
        <w:rPr>
          <w:rFonts w:ascii="Times New Roman" w:hAnsi="Times New Roman"/>
          <w:noProof/>
          <w:sz w:val="24"/>
        </w:rPr>
        <w:t>beispielsweise von</w:t>
      </w:r>
    </w:p>
    <w:p w:rsidR="00F15ABE" w:rsidRDefault="007B1A2A">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rPr>
        <w:t>Betreibern, Flottenmanagern und Güterkraftverkehrsunternehmern (z. B. Annahme einer gemeinsamen Verkehrssicherheitsstrategie);</w:t>
      </w:r>
    </w:p>
    <w:p w:rsidR="00F15ABE" w:rsidRDefault="007B1A2A">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rPr>
        <w:t>Handelsverbänden (z. B. Orientierungshilfe zur Straßenverkehrssicherheit für</w:t>
      </w:r>
      <w:r>
        <w:rPr>
          <w:rFonts w:ascii="Times New Roman" w:hAnsi="Times New Roman"/>
          <w:noProof/>
          <w:sz w:val="24"/>
        </w:rPr>
        <w:t xml:space="preserve"> KMU, vor allem in Hinblick auf Lieferwagen in städtischen Gebieten); und</w:t>
      </w:r>
    </w:p>
    <w:p w:rsidR="00F15ABE" w:rsidRDefault="007B1A2A">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rPr>
        <w:t>nationalen Behörden (z. B. Umsetzung bewährter Verfahren beim Vorgehen gegen und Sensibilisierung für unbefugte Eingriffe an Fahrzeugen).</w:t>
      </w:r>
    </w:p>
    <w:p w:rsidR="00F15ABE" w:rsidRDefault="00F15ABE">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noProof/>
          <w:sz w:val="24"/>
          <w:szCs w:val="24"/>
        </w:rPr>
      </w:pPr>
    </w:p>
    <w:p w:rsidR="00F15ABE" w:rsidRDefault="007B1A2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noProof/>
          <w:sz w:val="24"/>
          <w:szCs w:val="24"/>
        </w:rPr>
      </w:pPr>
      <w:r>
        <w:rPr>
          <w:rFonts w:ascii="Times New Roman" w:hAnsi="Times New Roman"/>
          <w:noProof/>
          <w:sz w:val="24"/>
        </w:rPr>
        <w:t>Im Rahmenzeitraum wird die Kommission den B</w:t>
      </w:r>
      <w:r>
        <w:rPr>
          <w:rFonts w:ascii="Times New Roman" w:hAnsi="Times New Roman"/>
          <w:noProof/>
          <w:sz w:val="24"/>
        </w:rPr>
        <w:t>edarf an weiteren EU-Maßnahmen ermitteln, beispielsweise die Förderung der Harmonisierung der in Fahrzeuge eingebauten Mensch-Maschine-Schnittstellen, um sicherzustellen, dass alle Fahrer und Verkehrsteilnehmer mit Fahrzeugen interagieren können, ohne dass</w:t>
      </w:r>
      <w:r>
        <w:rPr>
          <w:rFonts w:ascii="Times New Roman" w:hAnsi="Times New Roman"/>
          <w:noProof/>
          <w:sz w:val="24"/>
        </w:rPr>
        <w:t xml:space="preserve"> ihre Sicherheit gefährdet wird, und den Zugriff auf Fahrzeugdaten zu regeln. Die Kommission wird bewerten, ob die Rechtsvorschriften für den Führerschein, die technische Überwachung, die Ausbildung von Berufskraftfahrern und die Lenkzeit überarbeitet werd</w:t>
      </w:r>
      <w:r>
        <w:rPr>
          <w:rFonts w:ascii="Times New Roman" w:hAnsi="Times New Roman"/>
          <w:noProof/>
          <w:sz w:val="24"/>
        </w:rPr>
        <w:t>en müssen, um Entwicklungen im Bereich der kooperativen, vernetzten und autonomen Mobilität Rechnung zu tragen. Darüber hinaus wird die Kommission Aspekte der Straßenverkehrssicherheit im Rahmen der Mobilitätsplanung in Städten, der Sicherheit am Arbeitspl</w:t>
      </w:r>
      <w:r>
        <w:rPr>
          <w:rFonts w:ascii="Times New Roman" w:hAnsi="Times New Roman"/>
          <w:noProof/>
          <w:sz w:val="24"/>
        </w:rPr>
        <w:t>atz, der Fahrtauglichkeit und neuer Geschäftsmodelle in der Personenbeförderung prüfen.</w:t>
      </w:r>
    </w:p>
    <w:p w:rsidR="00F15ABE" w:rsidRDefault="00F15ABE">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noProof/>
          <w:sz w:val="24"/>
          <w:szCs w:val="24"/>
        </w:rPr>
      </w:pPr>
    </w:p>
    <w:p w:rsidR="00F15ABE" w:rsidRDefault="007B1A2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noProof/>
          <w:sz w:val="24"/>
          <w:szCs w:val="24"/>
        </w:rPr>
      </w:pPr>
      <w:r>
        <w:rPr>
          <w:rFonts w:ascii="Times New Roman" w:hAnsi="Times New Roman"/>
          <w:noProof/>
          <w:sz w:val="24"/>
        </w:rPr>
        <w:t>Die Kommission wird ferner im nächsten Rahmenprogramm Forschung und Innovation fördern und unterstützen mit dem Ziel, einen Beitrag zur Politik im Bereich der Straßenverkehrssicherheit zu leisten, u. a. in Bezug auf neue Mobilitätsmuster und gesellschaftli</w:t>
      </w:r>
      <w:r>
        <w:rPr>
          <w:rFonts w:ascii="Times New Roman" w:hAnsi="Times New Roman"/>
          <w:noProof/>
          <w:sz w:val="24"/>
        </w:rPr>
        <w:t xml:space="preserve">che Veränderungen, die Interaktion zwischen Mensch und Technologie, vor allem die Mensch-Maschine-Schnittstellen und den sicheren Übergang zur Automatisierung, Durchsetzung und Sicherheit. </w:t>
      </w:r>
    </w:p>
    <w:p w:rsidR="00F15ABE" w:rsidRDefault="00F15ABE">
      <w:pPr>
        <w:spacing w:line="240" w:lineRule="auto"/>
        <w:rPr>
          <w:rFonts w:ascii="Times New Roman" w:hAnsi="Times New Roman"/>
          <w:b/>
          <w:noProof/>
          <w:sz w:val="24"/>
          <w:szCs w:val="24"/>
          <w:u w:val="single"/>
        </w:rPr>
      </w:pPr>
    </w:p>
    <w:p w:rsidR="00F15ABE" w:rsidRDefault="007B1A2A">
      <w:pPr>
        <w:spacing w:before="480" w:after="0" w:line="240" w:lineRule="auto"/>
        <w:jc w:val="both"/>
        <w:outlineLvl w:val="0"/>
        <w:rPr>
          <w:rFonts w:ascii="Times New Roman" w:hAnsi="Times New Roman"/>
          <w:b/>
          <w:noProof/>
          <w:sz w:val="24"/>
          <w:szCs w:val="24"/>
        </w:rPr>
      </w:pPr>
      <w:r>
        <w:rPr>
          <w:rFonts w:ascii="Times New Roman" w:hAnsi="Times New Roman"/>
          <w:b/>
          <w:noProof/>
          <w:sz w:val="24"/>
        </w:rPr>
        <w:t xml:space="preserve">8.  </w:t>
      </w:r>
      <w:r>
        <w:rPr>
          <w:noProof/>
        </w:rPr>
        <w:tab/>
      </w:r>
      <w:r>
        <w:rPr>
          <w:rFonts w:ascii="Times New Roman" w:hAnsi="Times New Roman"/>
          <w:b/>
          <w:noProof/>
          <w:sz w:val="24"/>
        </w:rPr>
        <w:t xml:space="preserve">Die globale Rolle der EU: Export von Sicherheit im </w:t>
      </w:r>
      <w:r>
        <w:rPr>
          <w:rFonts w:ascii="Times New Roman" w:hAnsi="Times New Roman"/>
          <w:b/>
          <w:noProof/>
          <w:sz w:val="24"/>
        </w:rPr>
        <w:t>Straßenverkehr</w:t>
      </w:r>
    </w:p>
    <w:p w:rsidR="00F15ABE" w:rsidRDefault="007B1A2A">
      <w:pPr>
        <w:spacing w:line="240" w:lineRule="auto"/>
        <w:jc w:val="both"/>
        <w:rPr>
          <w:rFonts w:ascii="Times New Roman" w:hAnsi="Times New Roman"/>
          <w:noProof/>
          <w:sz w:val="24"/>
          <w:szCs w:val="24"/>
        </w:rPr>
      </w:pPr>
      <w:r>
        <w:rPr>
          <w:rFonts w:ascii="Times New Roman" w:hAnsi="Times New Roman"/>
          <w:noProof/>
          <w:sz w:val="24"/>
          <w:szCs w:val="24"/>
        </w:rPr>
        <w:br/>
      </w:r>
      <w:r>
        <w:rPr>
          <w:rFonts w:ascii="Times New Roman" w:hAnsi="Times New Roman"/>
          <w:noProof/>
          <w:sz w:val="24"/>
        </w:rPr>
        <w:t xml:space="preserve">Bei der Straßenverkehrssicherheit legt die Kommission den Schwerpunkt jenseits der EU auf die unmittelbaren EU-Nachbarn, vor allem die </w:t>
      </w:r>
      <w:r>
        <w:rPr>
          <w:rFonts w:ascii="Times New Roman" w:hAnsi="Times New Roman"/>
          <w:b/>
          <w:noProof/>
          <w:sz w:val="24"/>
        </w:rPr>
        <w:t>westlichen Balkanländer</w:t>
      </w:r>
      <w:r>
        <w:rPr>
          <w:rFonts w:ascii="Times New Roman" w:hAnsi="Times New Roman"/>
          <w:noProof/>
          <w:sz w:val="24"/>
        </w:rPr>
        <w:t xml:space="preserve"> und die Länder der </w:t>
      </w:r>
      <w:r>
        <w:rPr>
          <w:rFonts w:ascii="Times New Roman" w:hAnsi="Times New Roman"/>
          <w:b/>
          <w:noProof/>
          <w:sz w:val="24"/>
        </w:rPr>
        <w:t>Östlichen Partnerschaft</w:t>
      </w:r>
      <w:r>
        <w:rPr>
          <w:rFonts w:ascii="Times New Roman" w:hAnsi="Times New Roman"/>
          <w:noProof/>
          <w:sz w:val="24"/>
        </w:rPr>
        <w:t>, die sich auf die Unterzeichnung von E</w:t>
      </w:r>
      <w:r>
        <w:rPr>
          <w:rFonts w:ascii="Times New Roman" w:hAnsi="Times New Roman"/>
          <w:noProof/>
          <w:sz w:val="24"/>
        </w:rPr>
        <w:t>rklärungen zur Straßenverkehrssicherheit im Jahr 2018 vorbereiten, sowie die Türkei.</w:t>
      </w:r>
    </w:p>
    <w:p w:rsidR="00F15ABE" w:rsidRDefault="007B1A2A">
      <w:pPr>
        <w:spacing w:line="240" w:lineRule="auto"/>
        <w:jc w:val="both"/>
        <w:rPr>
          <w:rFonts w:ascii="Times New Roman" w:hAnsi="Times New Roman"/>
          <w:noProof/>
          <w:sz w:val="24"/>
          <w:szCs w:val="24"/>
        </w:rPr>
      </w:pPr>
      <w:r>
        <w:rPr>
          <w:rFonts w:ascii="Times New Roman" w:hAnsi="Times New Roman"/>
          <w:noProof/>
          <w:sz w:val="24"/>
        </w:rPr>
        <w:t xml:space="preserve">Außerdem sollte die Rolle der EU im Bereich der Straßenverkehrssicherheit gegenüber den </w:t>
      </w:r>
      <w:r>
        <w:rPr>
          <w:rFonts w:ascii="Times New Roman" w:hAnsi="Times New Roman"/>
          <w:b/>
          <w:noProof/>
          <w:sz w:val="24"/>
        </w:rPr>
        <w:t>Vereinten Nationen</w:t>
      </w:r>
      <w:r>
        <w:rPr>
          <w:rFonts w:ascii="Times New Roman" w:hAnsi="Times New Roman"/>
          <w:noProof/>
          <w:sz w:val="24"/>
        </w:rPr>
        <w:t xml:space="preserve"> und insbesondere der Wirtschaftskommission für Europa der Verein</w:t>
      </w:r>
      <w:r>
        <w:rPr>
          <w:rFonts w:ascii="Times New Roman" w:hAnsi="Times New Roman"/>
          <w:noProof/>
          <w:sz w:val="24"/>
        </w:rPr>
        <w:t>ten Nationen neu bewertet werden.</w:t>
      </w:r>
    </w:p>
    <w:p w:rsidR="00F15ABE" w:rsidRDefault="00F15ABE">
      <w:pPr>
        <w:spacing w:line="240" w:lineRule="auto"/>
        <w:jc w:val="both"/>
        <w:rPr>
          <w:rFonts w:ascii="Times New Roman" w:hAnsi="Times New Roman"/>
          <w:noProof/>
          <w:sz w:val="24"/>
          <w:szCs w:val="24"/>
        </w:rPr>
      </w:pPr>
    </w:p>
    <w:p w:rsidR="00F15ABE" w:rsidRDefault="007B1A2A">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b/>
          <w:noProof/>
          <w:sz w:val="24"/>
          <w:szCs w:val="24"/>
        </w:rPr>
      </w:pPr>
      <w:r>
        <w:rPr>
          <w:rFonts w:ascii="Times New Roman" w:hAnsi="Times New Roman"/>
          <w:b/>
          <w:noProof/>
          <w:sz w:val="24"/>
        </w:rPr>
        <w:t>Zentrale Maßnahmen zur Verbesserung der Straßenverkehrssicherheit außerhalb der EU</w:t>
      </w:r>
    </w:p>
    <w:p w:rsidR="00F15ABE" w:rsidRDefault="007B1A2A">
      <w:pPr>
        <w:pBdr>
          <w:top w:val="single" w:sz="4" w:space="1" w:color="auto"/>
          <w:left w:val="single" w:sz="4" w:space="4" w:color="auto"/>
          <w:bottom w:val="single" w:sz="4" w:space="1" w:color="auto"/>
          <w:right w:val="single" w:sz="4" w:space="4" w:color="auto"/>
        </w:pBdr>
        <w:spacing w:line="240" w:lineRule="auto"/>
        <w:rPr>
          <w:rFonts w:ascii="Times New Roman" w:hAnsi="Times New Roman"/>
          <w:b/>
          <w:noProof/>
          <w:sz w:val="24"/>
          <w:szCs w:val="24"/>
        </w:rPr>
      </w:pPr>
      <w:r>
        <w:rPr>
          <w:rFonts w:ascii="Times New Roman" w:hAnsi="Times New Roman"/>
          <w:b/>
          <w:noProof/>
          <w:sz w:val="24"/>
        </w:rPr>
        <w:t>Die Kommission wird:</w:t>
      </w:r>
    </w:p>
    <w:p w:rsidR="00F15ABE" w:rsidRDefault="007B1A2A">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rPr>
        <w:t>Die Zusammenarbeit im Bereich der Straßenverkehrssicherheit mit den EU-Nachbarn,  insbesondere den westlichen Balkanl</w:t>
      </w:r>
      <w:r>
        <w:rPr>
          <w:rFonts w:ascii="Times New Roman" w:hAnsi="Times New Roman"/>
          <w:noProof/>
          <w:sz w:val="24"/>
        </w:rPr>
        <w:t>ändern und den Ländern der Östlichen Partnerschaft, weiter ausbauen, gestützt auf die Erklärungen zur Straßenverkehrssicherheit, die 2018 verabschiedet werden, vor allem durch den Austausch bewährter Verfahren und Unterstützung des Kapazitätsaufbaus [3. Qu</w:t>
      </w:r>
      <w:r>
        <w:rPr>
          <w:rFonts w:ascii="Times New Roman" w:hAnsi="Times New Roman"/>
          <w:noProof/>
          <w:sz w:val="24"/>
        </w:rPr>
        <w:t>artal 2018].</w:t>
      </w:r>
    </w:p>
    <w:p w:rsidR="00F15ABE" w:rsidRDefault="00F15ABE">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noProof/>
          <w:sz w:val="24"/>
          <w:szCs w:val="24"/>
        </w:rPr>
      </w:pPr>
    </w:p>
    <w:p w:rsidR="00F15ABE" w:rsidRDefault="007B1A2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noProof/>
          <w:sz w:val="24"/>
          <w:szCs w:val="24"/>
          <w:u w:val="single"/>
        </w:rPr>
      </w:pPr>
      <w:r>
        <w:rPr>
          <w:rFonts w:ascii="Times New Roman" w:hAnsi="Times New Roman"/>
          <w:noProof/>
          <w:sz w:val="24"/>
        </w:rPr>
        <w:t xml:space="preserve">Die Kommission wird ferner prüfen, wie die Koordinierung der Verkehrsvorschriften (Genfer Abkommen und Wiener Übereinkommen der VN), auch auf EU-Ebene, gestärkt werden kann, damit die Verkehrsvorschriften auf harmonisierte Weise an die </w:t>
      </w:r>
      <w:r>
        <w:rPr>
          <w:rFonts w:ascii="Times New Roman" w:hAnsi="Times New Roman"/>
          <w:noProof/>
          <w:sz w:val="24"/>
        </w:rPr>
        <w:t>kooperative, vernetzte und autonome Mobilität angepasst werden können. Des weiteren wird die Kommission untersuchen, wie die Zusammenarbeit mit internationalen Finanzierungsinitiativen, beispielsweise dem VN-Treuhandsfonds für Straßenverkehrssicherheit, er</w:t>
      </w:r>
      <w:r>
        <w:rPr>
          <w:rFonts w:ascii="Times New Roman" w:hAnsi="Times New Roman"/>
          <w:noProof/>
          <w:sz w:val="24"/>
        </w:rPr>
        <w:t>folgen kann.</w:t>
      </w:r>
    </w:p>
    <w:sectPr w:rsidR="00F15ABE">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ABE" w:rsidRDefault="007B1A2A">
      <w:pPr>
        <w:spacing w:after="0" w:line="240" w:lineRule="auto"/>
      </w:pPr>
      <w:r>
        <w:separator/>
      </w:r>
    </w:p>
  </w:endnote>
  <w:endnote w:type="continuationSeparator" w:id="0">
    <w:p w:rsidR="00F15ABE" w:rsidRDefault="007B1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EC Square Sans Pro">
    <w:panose1 w:val="020B0506040000020004"/>
    <w:charset w:val="00"/>
    <w:family w:val="swiss"/>
    <w:pitch w:val="variable"/>
    <w:sig w:usb0="A00002BF" w:usb1="5000E0F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A2A" w:rsidRDefault="007B1A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ABE" w:rsidRDefault="00F15ABE">
    <w:pPr>
      <w:pStyle w:val="FooterCoverPage"/>
      <w:rPr>
        <w:rFonts w:ascii="Arial" w:hAnsi="Arial" w:cs="Arial"/>
        <w:b/>
        <w:sz w:val="4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A2A" w:rsidRDefault="007B1A2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ABE" w:rsidRDefault="00F15AB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860127"/>
      <w:docPartObj>
        <w:docPartGallery w:val="Page Numbers (Bottom of Page)"/>
        <w:docPartUnique/>
      </w:docPartObj>
    </w:sdtPr>
    <w:sdtEndPr>
      <w:rPr>
        <w:noProof/>
      </w:rPr>
    </w:sdtEndPr>
    <w:sdtContent>
      <w:p w:rsidR="00F15ABE" w:rsidRDefault="007B1A2A">
        <w:pPr>
          <w:pStyle w:val="Footer"/>
          <w:jc w:val="center"/>
        </w:pPr>
        <w:r>
          <w:fldChar w:fldCharType="begin"/>
        </w:r>
        <w:r>
          <w:instrText xml:space="preserve"> PAGE   \* MERGEFORMAT </w:instrText>
        </w:r>
        <w:r>
          <w:fldChar w:fldCharType="separate"/>
        </w:r>
        <w:r>
          <w:rPr>
            <w:noProof/>
          </w:rPr>
          <w:t>7</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ABE" w:rsidRDefault="00F15A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ABE" w:rsidRDefault="007B1A2A">
      <w:pPr>
        <w:spacing w:after="0" w:line="240" w:lineRule="auto"/>
      </w:pPr>
      <w:r>
        <w:separator/>
      </w:r>
    </w:p>
  </w:footnote>
  <w:footnote w:type="continuationSeparator" w:id="0">
    <w:p w:rsidR="00F15ABE" w:rsidRDefault="007B1A2A">
      <w:pPr>
        <w:spacing w:after="0" w:line="240" w:lineRule="auto"/>
      </w:pPr>
      <w:r>
        <w:continuationSeparator/>
      </w:r>
    </w:p>
  </w:footnote>
  <w:footnote w:id="1">
    <w:p w:rsidR="00F15ABE" w:rsidRDefault="007B1A2A">
      <w:pPr>
        <w:pStyle w:val="FootnoteText"/>
        <w:tabs>
          <w:tab w:val="left" w:pos="284"/>
        </w:tabs>
        <w:ind w:left="284" w:hanging="284"/>
        <w:jc w:val="both"/>
      </w:pPr>
      <w:r>
        <w:rPr>
          <w:rStyle w:val="FootnoteReference"/>
        </w:rPr>
        <w:footnoteRef/>
      </w:r>
      <w:r>
        <w:tab/>
        <w:t>Die Europäische Charta für Straßenverkehrssicherheit ist eine von der Kommission eingerichtete zivilgesellschaftliche Plattform zur Straßenverkehrssicherheit mit derzeit über 3500 Mitgliedern.</w:t>
      </w:r>
    </w:p>
  </w:footnote>
  <w:footnote w:id="2">
    <w:p w:rsidR="00F15ABE" w:rsidRDefault="007B1A2A">
      <w:pPr>
        <w:pStyle w:val="FootnoteText"/>
        <w:tabs>
          <w:tab w:val="left" w:pos="284"/>
        </w:tabs>
      </w:pPr>
      <w:r>
        <w:rPr>
          <w:rStyle w:val="FootnoteReference"/>
        </w:rPr>
        <w:footnoteRef/>
      </w:r>
      <w:r>
        <w:tab/>
      </w:r>
      <w:hyperlink r:id="rId1">
        <w:r>
          <w:rPr>
            <w:rStyle w:val="Hyperlink"/>
          </w:rPr>
          <w:t>http://www.eib.org/projects/sectors/transport/cleaner-transport-facility</w:t>
        </w:r>
      </w:hyperlink>
      <w:r>
        <w:t xml:space="preserve"> </w:t>
      </w:r>
    </w:p>
  </w:footnote>
  <w:footnote w:id="3">
    <w:p w:rsidR="00F15ABE" w:rsidRDefault="007B1A2A">
      <w:pPr>
        <w:pStyle w:val="FootnoteText"/>
        <w:tabs>
          <w:tab w:val="left" w:pos="284"/>
        </w:tabs>
        <w:ind w:left="284" w:hanging="284"/>
      </w:pPr>
      <w:r>
        <w:rPr>
          <w:rStyle w:val="FootnoteReference"/>
        </w:rPr>
        <w:footnoteRef/>
      </w:r>
      <w:r>
        <w:tab/>
      </w:r>
      <w:r w:rsidRPr="007B1A2A">
        <w:t xml:space="preserve">Siehe </w:t>
      </w:r>
      <w:r w:rsidRPr="007B1A2A">
        <w:t>COM(2018)</w:t>
      </w:r>
      <w:r>
        <w:t xml:space="preserve"> </w:t>
      </w:r>
      <w:bookmarkStart w:id="1" w:name="_GoBack"/>
      <w:bookmarkEnd w:id="1"/>
      <w:r w:rsidRPr="007B1A2A">
        <w:t>283</w:t>
      </w:r>
      <w:r w:rsidRPr="007B1A2A">
        <w:t xml:space="preserve">  -</w:t>
      </w:r>
      <w:r>
        <w:t xml:space="preserve"> Mitteilung: „Auf dem Weg zur automatisierten Mobilität: Eine EU-Strategie für die Mobilität der Zukunft“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A2A" w:rsidRDefault="007B1A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A2A" w:rsidRDefault="007B1A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A2A" w:rsidRDefault="007B1A2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ABE" w:rsidRDefault="00F15AB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ABE" w:rsidRDefault="00F15AB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ABE" w:rsidRDefault="00F15A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37A2"/>
    <w:multiLevelType w:val="hybridMultilevel"/>
    <w:tmpl w:val="DC52E516"/>
    <w:lvl w:ilvl="0" w:tplc="50041C60">
      <w:numFmt w:val="bullet"/>
      <w:lvlText w:val="-"/>
      <w:lvlJc w:val="left"/>
      <w:pPr>
        <w:ind w:left="720" w:hanging="360"/>
      </w:pPr>
      <w:rPr>
        <w:rFonts w:ascii="Calibri" w:eastAsia="SimSu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636457"/>
    <w:multiLevelType w:val="hybridMultilevel"/>
    <w:tmpl w:val="41328A6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nsid w:val="07126540"/>
    <w:multiLevelType w:val="hybridMultilevel"/>
    <w:tmpl w:val="213C7D64"/>
    <w:lvl w:ilvl="0" w:tplc="D5B647DC">
      <w:numFmt w:val="bullet"/>
      <w:lvlText w:val="-"/>
      <w:lvlJc w:val="left"/>
      <w:pPr>
        <w:ind w:left="720" w:hanging="360"/>
      </w:pPr>
      <w:rPr>
        <w:rFonts w:ascii="Calibri" w:eastAsia="Calibri" w:hAnsi="Calibri" w:cs="Times New Roman"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5C3CD4"/>
    <w:multiLevelType w:val="hybridMultilevel"/>
    <w:tmpl w:val="C4441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9D369E"/>
    <w:multiLevelType w:val="hybridMultilevel"/>
    <w:tmpl w:val="02CA5520"/>
    <w:lvl w:ilvl="0" w:tplc="FD7E75AC">
      <w:start w:val="1"/>
      <w:numFmt w:val="decimal"/>
      <w:lvlText w:val="%1."/>
      <w:lvlJc w:val="left"/>
      <w:pPr>
        <w:tabs>
          <w:tab w:val="num" w:pos="0"/>
        </w:tabs>
        <w:ind w:left="0" w:firstLine="0"/>
      </w:pPr>
      <w:rPr>
        <w:rFonts w:ascii="Times New Roman" w:hAnsi="Times New Roman" w:cs="Times New Roman"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939656B"/>
    <w:multiLevelType w:val="hybridMultilevel"/>
    <w:tmpl w:val="FF7E0E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9B8567F"/>
    <w:multiLevelType w:val="hybridMultilevel"/>
    <w:tmpl w:val="8856C138"/>
    <w:lvl w:ilvl="0" w:tplc="D46602AA">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726713"/>
    <w:multiLevelType w:val="hybridMultilevel"/>
    <w:tmpl w:val="229AD49A"/>
    <w:lvl w:ilvl="0" w:tplc="08090001">
      <w:start w:val="1"/>
      <w:numFmt w:val="bullet"/>
      <w:lvlText w:val=""/>
      <w:lvlJc w:val="left"/>
      <w:pPr>
        <w:ind w:left="720" w:hanging="360"/>
      </w:pPr>
      <w:rPr>
        <w:rFonts w:ascii="Symbol" w:hAnsi="Symbol" w:hint="default"/>
      </w:rPr>
    </w:lvl>
    <w:lvl w:ilvl="1" w:tplc="CF326596">
      <w:start w:val="3"/>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BA4BA5"/>
    <w:multiLevelType w:val="hybridMultilevel"/>
    <w:tmpl w:val="769CA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9C57C9"/>
    <w:multiLevelType w:val="hybridMultilevel"/>
    <w:tmpl w:val="EA6A87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4E566AC"/>
    <w:multiLevelType w:val="hybridMultilevel"/>
    <w:tmpl w:val="2AEAA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7B02C04"/>
    <w:multiLevelType w:val="hybridMultilevel"/>
    <w:tmpl w:val="7EAC0BC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7E45813"/>
    <w:multiLevelType w:val="hybridMultilevel"/>
    <w:tmpl w:val="2C16C1E6"/>
    <w:lvl w:ilvl="0" w:tplc="50041C60">
      <w:numFmt w:val="bullet"/>
      <w:lvlText w:val="-"/>
      <w:lvlJc w:val="left"/>
      <w:pPr>
        <w:ind w:left="720" w:hanging="360"/>
      </w:pPr>
      <w:rPr>
        <w:rFonts w:ascii="Calibri" w:eastAsia="SimSu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C455F2D"/>
    <w:multiLevelType w:val="hybridMultilevel"/>
    <w:tmpl w:val="60AABF30"/>
    <w:lvl w:ilvl="0" w:tplc="08090001">
      <w:start w:val="1"/>
      <w:numFmt w:val="bullet"/>
      <w:lvlText w:val=""/>
      <w:lvlJc w:val="left"/>
      <w:pPr>
        <w:ind w:left="720" w:hanging="360"/>
      </w:pPr>
      <w:rPr>
        <w:rFonts w:ascii="Symbol" w:hAnsi="Symbol" w:hint="default"/>
      </w:rPr>
    </w:lvl>
    <w:lvl w:ilvl="1" w:tplc="16589068">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44C56C8"/>
    <w:multiLevelType w:val="hybridMultilevel"/>
    <w:tmpl w:val="1DD035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55D32FD"/>
    <w:multiLevelType w:val="hybridMultilevel"/>
    <w:tmpl w:val="A51CB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BCD3953"/>
    <w:multiLevelType w:val="hybridMultilevel"/>
    <w:tmpl w:val="AFF85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40049D6"/>
    <w:multiLevelType w:val="hybridMultilevel"/>
    <w:tmpl w:val="B3D2E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CE92DC9"/>
    <w:multiLevelType w:val="hybridMultilevel"/>
    <w:tmpl w:val="F69ED6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D6463DA"/>
    <w:multiLevelType w:val="hybridMultilevel"/>
    <w:tmpl w:val="E9AAB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FEF7687"/>
    <w:multiLevelType w:val="hybridMultilevel"/>
    <w:tmpl w:val="D37244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5FC2916"/>
    <w:multiLevelType w:val="hybridMultilevel"/>
    <w:tmpl w:val="E3724A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6712CC7"/>
    <w:multiLevelType w:val="hybridMultilevel"/>
    <w:tmpl w:val="746A93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6F601E1"/>
    <w:multiLevelType w:val="hybridMultilevel"/>
    <w:tmpl w:val="89BA2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EF95BF3"/>
    <w:multiLevelType w:val="hybridMultilevel"/>
    <w:tmpl w:val="A90E0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0"/>
  </w:num>
  <w:num w:numId="4">
    <w:abstractNumId w:val="5"/>
  </w:num>
  <w:num w:numId="5">
    <w:abstractNumId w:val="18"/>
  </w:num>
  <w:num w:numId="6">
    <w:abstractNumId w:val="14"/>
  </w:num>
  <w:num w:numId="7">
    <w:abstractNumId w:val="15"/>
  </w:num>
  <w:num w:numId="8">
    <w:abstractNumId w:val="22"/>
  </w:num>
  <w:num w:numId="9">
    <w:abstractNumId w:val="7"/>
  </w:num>
  <w:num w:numId="10">
    <w:abstractNumId w:val="9"/>
  </w:num>
  <w:num w:numId="11">
    <w:abstractNumId w:val="17"/>
  </w:num>
  <w:num w:numId="12">
    <w:abstractNumId w:val="11"/>
  </w:num>
  <w:num w:numId="13">
    <w:abstractNumId w:val="8"/>
  </w:num>
  <w:num w:numId="14">
    <w:abstractNumId w:val="20"/>
  </w:num>
  <w:num w:numId="15">
    <w:abstractNumId w:val="1"/>
  </w:num>
  <w:num w:numId="16">
    <w:abstractNumId w:val="10"/>
  </w:num>
  <w:num w:numId="17">
    <w:abstractNumId w:val="21"/>
  </w:num>
  <w:num w:numId="18">
    <w:abstractNumId w:val="24"/>
  </w:num>
  <w:num w:numId="19">
    <w:abstractNumId w:val="23"/>
  </w:num>
  <w:num w:numId="20">
    <w:abstractNumId w:val="6"/>
  </w:num>
  <w:num w:numId="21">
    <w:abstractNumId w:val="16"/>
  </w:num>
  <w:num w:numId="22">
    <w:abstractNumId w:val="13"/>
  </w:num>
  <w:num w:numId="23">
    <w:abstractNumId w:val="2"/>
  </w:num>
  <w:num w:numId="24">
    <w:abstractNumId w:val="19"/>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Red"/>
    <w:docVar w:name="LW_ACCOMPAGNANT.CP" w:val="der"/>
    <w:docVar w:name="LW_ANNEX_NBR_FIRST" w:val="1"/>
    <w:docVar w:name="LW_ANNEX_NBR_LAST" w:val="1"/>
    <w:docVar w:name="LW_ANNEX_UNIQUE" w:val="0"/>
    <w:docVar w:name="LW_CORRIGENDUM" w:val="&lt;UNUSED&gt;"/>
    <w:docVar w:name="LW_COVERPAGE_EXISTS" w:val="True"/>
    <w:docVar w:name="LW_COVERPAGE_GUID" w:val="ACA158CA-41CD-480A-BB74-45BFF19636D8"/>
    <w:docVar w:name="LW_COVERPAGE_TYPE" w:val="1"/>
    <w:docVar w:name="LW_CROSSREFERENCE" w:val="&lt;UNUSED&gt;"/>
    <w:docVar w:name="LW_DocType" w:val="NORMAL"/>
    <w:docVar w:name="LW_EMISSION" w:val="17.5.2018"/>
    <w:docVar w:name="LW_EMISSION_ISODATE" w:val="2018-05-17"/>
    <w:docVar w:name="LW_EMISSION_LOCATION" w:val="BRX"/>
    <w:docVar w:name="LW_EMISSION_PREFIX" w:val="Brüssel, den "/>
    <w:docVar w:name="LW_EMISSION_SUFFIX" w:val="&lt;EMPTY&gt;"/>
    <w:docVar w:name="LW_ID_DOCTYPE_NONLW" w:val="CP-039"/>
    <w:docVar w:name="LW_LANGUE" w:val="DE"/>
    <w:docVar w:name="LW_LEVEL_OF_SENSITIVITY" w:val="Standard treatment"/>
    <w:docVar w:name="LW_NOM.INST" w:val="EUROPÄISCHE KOMMISSION"/>
    <w:docVar w:name="LW_NOM.INST_JOINTDOC" w:val="&lt;EMPTY&gt;"/>
    <w:docVar w:name="LW_OBJETACTEPRINCIPAL.CP" w:val="EUROPA IN BEWEGUNG_x000b_Nachhaltige Mobilität für Europa: sicher, vernetzt und umweltfreundlich"/>
    <w:docVar w:name="LW_PART_NBR" w:val="1"/>
    <w:docVar w:name="LW_PART_NBR_TOTAL" w:val="1"/>
    <w:docVar w:name="LW_REF.INST.NEW" w:val="COM"/>
    <w:docVar w:name="LW_REF.INST.NEW_ADOPTED" w:val="final"/>
    <w:docVar w:name="LW_REF.INST.NEW_TEXT" w:val="(2018) 29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ANHANG_x000b_"/>
    <w:docVar w:name="LW_TYPEACTEPRINCIPAL.CP" w:val="MITTEILUNG DER KOMMISSION AN DAS EUROPÄISCHE PARLAMENT, DEN RAT, DEN EUROPÄISCHEN WIRTSCHAFTS- UND SOZIALAUSSCHUSS UND DEN AUSSCHUSS DER REGIONEN"/>
  </w:docVars>
  <w:rsids>
    <w:rsidRoot w:val="00F15ABE"/>
    <w:rsid w:val="007B1A2A"/>
    <w:rsid w:val="00F15AB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ußnote,Char,Carattere,fn,Footnotes,Footnote ak,Footnote Text Char1,Footnote Text Char Char,fn Char Char,footnote text Char Char,Footnotes Char Char,Footnote ak Char Char,fn Char1,footnote text Char1,Footnotes Char1,ft"/>
    <w:basedOn w:val="Normal"/>
    <w:link w:val="FootnoteTextChar"/>
    <w:qFormat/>
    <w:pPr>
      <w:spacing w:after="0" w:line="240" w:lineRule="auto"/>
    </w:pPr>
    <w:rPr>
      <w:rFonts w:ascii="Times New Roman" w:eastAsia="Times New Roman" w:hAnsi="Times New Roman"/>
      <w:sz w:val="20"/>
      <w:szCs w:val="20"/>
    </w:rPr>
  </w:style>
  <w:style w:type="character" w:customStyle="1" w:styleId="FootnoteTextChar">
    <w:name w:val="Footnote Text Char"/>
    <w:aliases w:val="Footnote Char,Fußnote Char,Char Char,Carattere Char,fn Char,Footnotes Char,Footnote ak Char,Footnote Text Char1 Char,Footnote Text Char Char Char,fn Char Char Char,footnote text Char Char Char,Footnotes Char Char Char,fn Char1 Char"/>
    <w:basedOn w:val="DefaultParagraphFont"/>
    <w:link w:val="FootnoteText"/>
    <w:rPr>
      <w:rFonts w:ascii="Times New Roman" w:eastAsia="Times New Roman" w:hAnsi="Times New Roman" w:cs="Times New Roman"/>
      <w:sz w:val="20"/>
      <w:szCs w:val="20"/>
      <w:lang w:eastAsia="de-DE"/>
    </w:rPr>
  </w:style>
  <w:style w:type="character" w:styleId="FootnoteReference">
    <w:name w:val="footnote reference"/>
    <w:aliases w:val="Footnote Reference Superscript,Footnote symbol,Footnote reference number,note TESI,SUPERS,EN Footnote Reference,Voetnootverwijzing,Times 10 Point,Exposant 3 Point,Appel note de bas de p,BVI fnr,Ref,de nota al pie,EN Footnote text,numb"/>
    <w:link w:val="Footnotenumber"/>
    <w:qFormat/>
    <w:rPr>
      <w:vertAlign w:val="superscript"/>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eastAsiaTheme="minorHAnsi" w:hAnsi="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eastAsiaTheme="minorHAnsi" w:hAnsi="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heme="minorHAnsi" w:hAnsi="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outlineLvl w:val="0"/>
    </w:pPr>
    <w:rPr>
      <w:rFonts w:ascii="Times New Roman" w:hAnsi="Times New Roman"/>
      <w:sz w:val="24"/>
    </w:rPr>
  </w:style>
  <w:style w:type="character" w:customStyle="1" w:styleId="FooterCoverPageChar">
    <w:name w:val="Footer Cover Page Char"/>
    <w:basedOn w:val="DefaultParagraphFont"/>
    <w:link w:val="FooterCoverPage"/>
    <w:rPr>
      <w:rFonts w:ascii="Times New Roman" w:eastAsia="Calibri"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outlineLvl w:val="0"/>
    </w:pPr>
    <w:rPr>
      <w:rFonts w:ascii="Times New Roman" w:hAnsi="Times New Roman"/>
      <w:sz w:val="24"/>
    </w:rPr>
  </w:style>
  <w:style w:type="character" w:customStyle="1" w:styleId="HeaderCoverPageChar">
    <w:name w:val="Header Cover Page Char"/>
    <w:basedOn w:val="DefaultParagraphFont"/>
    <w:link w:val="HeaderCoverPage"/>
    <w:rPr>
      <w:rFonts w:ascii="Times New Roman" w:eastAsia="Calibri" w:hAnsi="Times New Roman" w:cs="Times New Roman"/>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character" w:styleId="Strong">
    <w:name w:val="Strong"/>
    <w:basedOn w:val="DefaultParagraphFont"/>
    <w:uiPriority w:val="22"/>
    <w:qFormat/>
    <w:rPr>
      <w:b/>
      <w:bCs/>
    </w:rPr>
  </w:style>
  <w:style w:type="paragraph" w:customStyle="1" w:styleId="Default">
    <w:name w:val="Default"/>
    <w:pPr>
      <w:autoSpaceDE w:val="0"/>
      <w:autoSpaceDN w:val="0"/>
      <w:adjustRightInd w:val="0"/>
      <w:spacing w:after="0" w:line="240" w:lineRule="auto"/>
    </w:pPr>
    <w:rPr>
      <w:rFonts w:ascii="EC Square Sans Pro" w:hAnsi="EC Square Sans Pro" w:cs="EC Square Sans Pro"/>
      <w:color w:val="000000"/>
      <w:sz w:val="24"/>
      <w:szCs w:val="24"/>
    </w:rPr>
  </w:style>
  <w:style w:type="character" w:customStyle="1" w:styleId="truncate">
    <w:name w:val="truncate"/>
    <w:basedOn w:val="DefaultParagraphFont"/>
  </w:style>
  <w:style w:type="character" w:styleId="Emphasis">
    <w:name w:val="Emphasis"/>
    <w:basedOn w:val="DefaultParagraphFont"/>
    <w:uiPriority w:val="20"/>
    <w:qFormat/>
    <w:rPr>
      <w:b/>
      <w:bCs/>
      <w:i w:val="0"/>
      <w:iCs w:val="0"/>
    </w:rPr>
  </w:style>
  <w:style w:type="character" w:customStyle="1" w:styleId="st1">
    <w:name w:val="st1"/>
    <w:basedOn w:val="DefaultParagraphFont"/>
  </w:style>
  <w:style w:type="character" w:customStyle="1" w:styleId="tgc">
    <w:name w:val="_tgc"/>
    <w:basedOn w:val="DefaultParagraphFont"/>
  </w:style>
  <w:style w:type="paragraph" w:styleId="Revision">
    <w:name w:val="Revision"/>
    <w:hidden/>
    <w:uiPriority w:val="99"/>
    <w:semiHidden/>
    <w:pPr>
      <w:spacing w:after="0" w:line="240" w:lineRule="auto"/>
    </w:pPr>
    <w:rPr>
      <w:rFonts w:ascii="Calibri" w:eastAsia="Calibri" w:hAnsi="Calibri" w:cs="Times New Roman"/>
    </w:rPr>
  </w:style>
  <w:style w:type="paragraph" w:customStyle="1" w:styleId="Declassification">
    <w:name w:val="Declassification"/>
    <w:basedOn w:val="Normal"/>
    <w:next w:val="Normal"/>
    <w:pPr>
      <w:spacing w:after="0" w:line="240" w:lineRule="auto"/>
      <w:jc w:val="both"/>
    </w:pPr>
    <w:rPr>
      <w:rFonts w:ascii="Times New Roman" w:eastAsiaTheme="minorHAnsi" w:hAnsi="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eastAsiaTheme="minorHAnsi" w:hAnsi="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eastAsiaTheme="minorHAnsi" w:hAnsi="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number">
    <w:name w:val="Footnote number"/>
    <w:aliases w:val="fr"/>
    <w:basedOn w:val="Normal"/>
    <w:link w:val="FootnoteReference"/>
    <w:uiPriority w:val="99"/>
    <w:pPr>
      <w:spacing w:after="160" w:line="240" w:lineRule="exact"/>
    </w:pPr>
    <w:rPr>
      <w:rFonts w:asciiTheme="minorHAnsi" w:eastAsiaTheme="minorHAnsi" w:hAnsiTheme="minorHAnsi" w:cstheme="minorBidi"/>
      <w:vertAlign w:val="superscript"/>
    </w:rPr>
  </w:style>
  <w:style w:type="paragraph" w:customStyle="1" w:styleId="DefaultText">
    <w:name w:val="Default Text"/>
    <w:basedOn w:val="Normal"/>
    <w:link w:val="DefaultTextChar"/>
    <w:autoRedefine/>
    <w:qFormat/>
    <w:pPr>
      <w:spacing w:before="240" w:after="240" w:line="240" w:lineRule="auto"/>
      <w:jc w:val="both"/>
    </w:pPr>
    <w:rPr>
      <w:rFonts w:ascii="Times New Roman" w:eastAsia="Times New Roman" w:hAnsi="Times New Roman"/>
    </w:rPr>
  </w:style>
  <w:style w:type="character" w:customStyle="1" w:styleId="DefaultTextChar">
    <w:name w:val="Default Text Char"/>
    <w:basedOn w:val="DefaultParagraphFont"/>
    <w:link w:val="DefaultText"/>
    <w:rPr>
      <w:rFonts w:ascii="Times New Roman" w:eastAsia="Times New Roman" w:hAnsi="Times New Roman" w:cs="Times New Roman"/>
      <w:lang w:eastAsia="de-DE"/>
    </w:rPr>
  </w:style>
  <w:style w:type="character" w:styleId="Hyperlink">
    <w:name w:val="Hyperlink"/>
    <w:basedOn w:val="DefaultParagraphFont"/>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ußnote,Char,Carattere,fn,Footnotes,Footnote ak,Footnote Text Char1,Footnote Text Char Char,fn Char Char,footnote text Char Char,Footnotes Char Char,Footnote ak Char Char,fn Char1,footnote text Char1,Footnotes Char1,ft"/>
    <w:basedOn w:val="Normal"/>
    <w:link w:val="FootnoteTextChar"/>
    <w:qFormat/>
    <w:pPr>
      <w:spacing w:after="0" w:line="240" w:lineRule="auto"/>
    </w:pPr>
    <w:rPr>
      <w:rFonts w:ascii="Times New Roman" w:eastAsia="Times New Roman" w:hAnsi="Times New Roman"/>
      <w:sz w:val="20"/>
      <w:szCs w:val="20"/>
    </w:rPr>
  </w:style>
  <w:style w:type="character" w:customStyle="1" w:styleId="FootnoteTextChar">
    <w:name w:val="Footnote Text Char"/>
    <w:aliases w:val="Footnote Char,Fußnote Char,Char Char,Carattere Char,fn Char,Footnotes Char,Footnote ak Char,Footnote Text Char1 Char,Footnote Text Char Char Char,fn Char Char Char,footnote text Char Char Char,Footnotes Char Char Char,fn Char1 Char"/>
    <w:basedOn w:val="DefaultParagraphFont"/>
    <w:link w:val="FootnoteText"/>
    <w:rPr>
      <w:rFonts w:ascii="Times New Roman" w:eastAsia="Times New Roman" w:hAnsi="Times New Roman" w:cs="Times New Roman"/>
      <w:sz w:val="20"/>
      <w:szCs w:val="20"/>
      <w:lang w:eastAsia="de-DE"/>
    </w:rPr>
  </w:style>
  <w:style w:type="character" w:styleId="FootnoteReference">
    <w:name w:val="footnote reference"/>
    <w:aliases w:val="Footnote Reference Superscript,Footnote symbol,Footnote reference number,note TESI,SUPERS,EN Footnote Reference,Voetnootverwijzing,Times 10 Point,Exposant 3 Point,Appel note de bas de p,BVI fnr,Ref,de nota al pie,EN Footnote text,numb"/>
    <w:link w:val="Footnotenumber"/>
    <w:qFormat/>
    <w:rPr>
      <w:vertAlign w:val="superscript"/>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eastAsiaTheme="minorHAnsi" w:hAnsi="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eastAsiaTheme="minorHAnsi" w:hAnsi="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heme="minorHAnsi" w:hAnsi="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outlineLvl w:val="0"/>
    </w:pPr>
    <w:rPr>
      <w:rFonts w:ascii="Times New Roman" w:hAnsi="Times New Roman"/>
      <w:sz w:val="24"/>
    </w:rPr>
  </w:style>
  <w:style w:type="character" w:customStyle="1" w:styleId="FooterCoverPageChar">
    <w:name w:val="Footer Cover Page Char"/>
    <w:basedOn w:val="DefaultParagraphFont"/>
    <w:link w:val="FooterCoverPage"/>
    <w:rPr>
      <w:rFonts w:ascii="Times New Roman" w:eastAsia="Calibri"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outlineLvl w:val="0"/>
    </w:pPr>
    <w:rPr>
      <w:rFonts w:ascii="Times New Roman" w:hAnsi="Times New Roman"/>
      <w:sz w:val="24"/>
    </w:rPr>
  </w:style>
  <w:style w:type="character" w:customStyle="1" w:styleId="HeaderCoverPageChar">
    <w:name w:val="Header Cover Page Char"/>
    <w:basedOn w:val="DefaultParagraphFont"/>
    <w:link w:val="HeaderCoverPage"/>
    <w:rPr>
      <w:rFonts w:ascii="Times New Roman" w:eastAsia="Calibri" w:hAnsi="Times New Roman" w:cs="Times New Roman"/>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character" w:styleId="Strong">
    <w:name w:val="Strong"/>
    <w:basedOn w:val="DefaultParagraphFont"/>
    <w:uiPriority w:val="22"/>
    <w:qFormat/>
    <w:rPr>
      <w:b/>
      <w:bCs/>
    </w:rPr>
  </w:style>
  <w:style w:type="paragraph" w:customStyle="1" w:styleId="Default">
    <w:name w:val="Default"/>
    <w:pPr>
      <w:autoSpaceDE w:val="0"/>
      <w:autoSpaceDN w:val="0"/>
      <w:adjustRightInd w:val="0"/>
      <w:spacing w:after="0" w:line="240" w:lineRule="auto"/>
    </w:pPr>
    <w:rPr>
      <w:rFonts w:ascii="EC Square Sans Pro" w:hAnsi="EC Square Sans Pro" w:cs="EC Square Sans Pro"/>
      <w:color w:val="000000"/>
      <w:sz w:val="24"/>
      <w:szCs w:val="24"/>
    </w:rPr>
  </w:style>
  <w:style w:type="character" w:customStyle="1" w:styleId="truncate">
    <w:name w:val="truncate"/>
    <w:basedOn w:val="DefaultParagraphFont"/>
  </w:style>
  <w:style w:type="character" w:styleId="Emphasis">
    <w:name w:val="Emphasis"/>
    <w:basedOn w:val="DefaultParagraphFont"/>
    <w:uiPriority w:val="20"/>
    <w:qFormat/>
    <w:rPr>
      <w:b/>
      <w:bCs/>
      <w:i w:val="0"/>
      <w:iCs w:val="0"/>
    </w:rPr>
  </w:style>
  <w:style w:type="character" w:customStyle="1" w:styleId="st1">
    <w:name w:val="st1"/>
    <w:basedOn w:val="DefaultParagraphFont"/>
  </w:style>
  <w:style w:type="character" w:customStyle="1" w:styleId="tgc">
    <w:name w:val="_tgc"/>
    <w:basedOn w:val="DefaultParagraphFont"/>
  </w:style>
  <w:style w:type="paragraph" w:styleId="Revision">
    <w:name w:val="Revision"/>
    <w:hidden/>
    <w:uiPriority w:val="99"/>
    <w:semiHidden/>
    <w:pPr>
      <w:spacing w:after="0" w:line="240" w:lineRule="auto"/>
    </w:pPr>
    <w:rPr>
      <w:rFonts w:ascii="Calibri" w:eastAsia="Calibri" w:hAnsi="Calibri" w:cs="Times New Roman"/>
    </w:rPr>
  </w:style>
  <w:style w:type="paragraph" w:customStyle="1" w:styleId="Declassification">
    <w:name w:val="Declassification"/>
    <w:basedOn w:val="Normal"/>
    <w:next w:val="Normal"/>
    <w:pPr>
      <w:spacing w:after="0" w:line="240" w:lineRule="auto"/>
      <w:jc w:val="both"/>
    </w:pPr>
    <w:rPr>
      <w:rFonts w:ascii="Times New Roman" w:eastAsiaTheme="minorHAnsi" w:hAnsi="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eastAsiaTheme="minorHAnsi" w:hAnsi="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eastAsiaTheme="minorHAnsi" w:hAnsi="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number">
    <w:name w:val="Footnote number"/>
    <w:aliases w:val="fr"/>
    <w:basedOn w:val="Normal"/>
    <w:link w:val="FootnoteReference"/>
    <w:uiPriority w:val="99"/>
    <w:pPr>
      <w:spacing w:after="160" w:line="240" w:lineRule="exact"/>
    </w:pPr>
    <w:rPr>
      <w:rFonts w:asciiTheme="minorHAnsi" w:eastAsiaTheme="minorHAnsi" w:hAnsiTheme="minorHAnsi" w:cstheme="minorBidi"/>
      <w:vertAlign w:val="superscript"/>
    </w:rPr>
  </w:style>
  <w:style w:type="paragraph" w:customStyle="1" w:styleId="DefaultText">
    <w:name w:val="Default Text"/>
    <w:basedOn w:val="Normal"/>
    <w:link w:val="DefaultTextChar"/>
    <w:autoRedefine/>
    <w:qFormat/>
    <w:pPr>
      <w:spacing w:before="240" w:after="240" w:line="240" w:lineRule="auto"/>
      <w:jc w:val="both"/>
    </w:pPr>
    <w:rPr>
      <w:rFonts w:ascii="Times New Roman" w:eastAsia="Times New Roman" w:hAnsi="Times New Roman"/>
    </w:rPr>
  </w:style>
  <w:style w:type="character" w:customStyle="1" w:styleId="DefaultTextChar">
    <w:name w:val="Default Text Char"/>
    <w:basedOn w:val="DefaultParagraphFont"/>
    <w:link w:val="DefaultText"/>
    <w:rPr>
      <w:rFonts w:ascii="Times New Roman" w:eastAsia="Times New Roman" w:hAnsi="Times New Roman" w:cs="Times New Roman"/>
      <w:lang w:eastAsia="de-DE"/>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680">
      <w:bodyDiv w:val="1"/>
      <w:marLeft w:val="0"/>
      <w:marRight w:val="0"/>
      <w:marTop w:val="0"/>
      <w:marBottom w:val="0"/>
      <w:divBdr>
        <w:top w:val="none" w:sz="0" w:space="0" w:color="auto"/>
        <w:left w:val="none" w:sz="0" w:space="0" w:color="auto"/>
        <w:bottom w:val="none" w:sz="0" w:space="0" w:color="auto"/>
        <w:right w:val="none" w:sz="0" w:space="0" w:color="auto"/>
      </w:divBdr>
    </w:div>
    <w:div w:id="187781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ib.org/projects/sectors/transport/cleaner-transport-fac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B5660-E843-492E-A50C-9DD8ACF99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3150</Words>
  <Characters>17955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2018-04-30T18:22:00Z</dcterms:created>
  <dcterms:modified xsi:type="dcterms:W3CDTF">2018-05-17T08:41:00Z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st annex">
    <vt:lpwstr>1</vt:lpwstr>
  </property>
  <property fmtid="{D5CDD505-2E9C-101B-9397-08002B2CF9AE}" pid="3" name="Last annex">
    <vt:lpwstr>1</vt:lpwstr>
  </property>
  <property fmtid="{D5CDD505-2E9C-101B-9397-08002B2CF9AE}" pid="4" name="Part">
    <vt:lpwstr>1</vt:lpwstr>
  </property>
  <property fmtid="{D5CDD505-2E9C-101B-9397-08002B2CF9AE}" pid="5" name="Total parts">
    <vt:lpwstr>1</vt:lpwstr>
  </property>
  <property fmtid="{D5CDD505-2E9C-101B-9397-08002B2CF9AE}" pid="6" name="DocStatus">
    <vt:lpwstr>Red</vt:lpwstr>
  </property>
  <property fmtid="{D5CDD505-2E9C-101B-9397-08002B2CF9AE}" pid="7" name="Level of sensitivity">
    <vt:lpwstr>Standard treatment</vt:lpwstr>
  </property>
  <property fmtid="{D5CDD505-2E9C-101B-9397-08002B2CF9AE}" pid="8" name="Unique annex">
    <vt:lpwstr>0</vt:lpwstr>
  </property>
</Properties>
</file>