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A08B19A-DCC5-4242-B08C-4C87211C9B15" style="width:450.75pt;height:397.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 xml:space="preserve">BIJLAGE </w:t>
      </w:r>
    </w:p>
    <w:p>
      <w:pPr>
        <w:ind w:left="1440" w:hanging="1440"/>
        <w:jc w:val="center"/>
        <w:rPr>
          <w:b/>
          <w:noProof/>
          <w:szCs w:val="24"/>
        </w:rPr>
      </w:pPr>
      <w:r>
        <w:rPr>
          <w:b/>
          <w:noProof/>
          <w:szCs w:val="24"/>
        </w:rPr>
        <w:t>Deel I</w:t>
      </w:r>
    </w:p>
    <w:p>
      <w:pPr>
        <w:pStyle w:val="Point0"/>
        <w:rPr>
          <w:noProof/>
        </w:rPr>
      </w:pPr>
      <w:r>
        <w:rPr>
          <w:b/>
          <w:noProof/>
        </w:rPr>
        <w:t>A.</w:t>
      </w:r>
      <w:r>
        <w:rPr>
          <w:noProof/>
        </w:rPr>
        <w:tab/>
      </w:r>
      <w:r>
        <w:rPr>
          <w:b/>
          <w:noProof/>
        </w:rPr>
        <w:t>Artikel 1, onder a), punt i) – plaatsen van overheidsopdrachten:</w:t>
      </w:r>
      <w:r>
        <w:rPr>
          <w:noProof/>
        </w:rPr>
        <w:t xml:space="preserve"> </w:t>
      </w:r>
    </w:p>
    <w:p>
      <w:pPr>
        <w:pStyle w:val="NumPar1"/>
        <w:numPr>
          <w:ilvl w:val="0"/>
          <w:numId w:val="12"/>
        </w:numPr>
        <w:rPr>
          <w:noProof/>
        </w:rPr>
      </w:pPr>
      <w:r>
        <w:rPr>
          <w:noProof/>
        </w:rPr>
        <w:t xml:space="preserve">Procedures voor het plaatsen van opdrachten voor de levering van defensiegoederen en opdrachten voor leveringen en diensten voor water- en energievoorziening, vervoer en postdiensten zoals die zijn geregeld krachtens de wetgeving van de Unie: </w:t>
      </w:r>
    </w:p>
    <w:p>
      <w:pPr>
        <w:pStyle w:val="Point0"/>
        <w:rPr>
          <w:noProof/>
        </w:rPr>
      </w:pPr>
      <w:r>
        <w:rPr>
          <w:noProof/>
        </w:rPr>
        <w:t xml:space="preserve"> (i)</w:t>
      </w:r>
      <w:r>
        <w:rPr>
          <w:noProof/>
        </w:rPr>
        <w:tab/>
        <w:t>R</w:t>
      </w:r>
      <w:r>
        <w:rPr>
          <w:bCs/>
          <w:noProof/>
        </w:rPr>
        <w:t xml:space="preserve">ichtlijn 2014/23/EU van het Europees Parlement en de Raad van 26 februari 2014 betreffende het plaatsen van concessieovereenkomsten </w:t>
      </w:r>
      <w:r>
        <w:rPr>
          <w:noProof/>
        </w:rPr>
        <w:t>(PB L 94 van 28.3.2014, blz. 1);</w:t>
      </w:r>
    </w:p>
    <w:p>
      <w:pPr>
        <w:pStyle w:val="Point0"/>
        <w:rPr>
          <w:noProof/>
        </w:rPr>
      </w:pPr>
      <w:r>
        <w:rPr>
          <w:noProof/>
        </w:rPr>
        <w:t>(ii)</w:t>
      </w:r>
      <w:r>
        <w:rPr>
          <w:noProof/>
        </w:rPr>
        <w:tab/>
      </w:r>
      <w:r>
        <w:rPr>
          <w:bCs/>
          <w:noProof/>
        </w:rPr>
        <w:t xml:space="preserve">Richtlijn 2014/24/EU van het Europees Parlement de Raad van 26 februari 2014 betreffende het plaatsen van overheidsopdrachten en tot intrekking van Richtlijn 2004/18/EG </w:t>
      </w:r>
      <w:r>
        <w:rPr>
          <w:noProof/>
        </w:rPr>
        <w:t>(PB L 94 van 28.3.2014, blz. 65);</w:t>
      </w:r>
    </w:p>
    <w:p>
      <w:pPr>
        <w:pStyle w:val="Point0"/>
        <w:rPr>
          <w:noProof/>
        </w:rPr>
      </w:pPr>
      <w:r>
        <w:rPr>
          <w:noProof/>
        </w:rPr>
        <w:t>(iii)</w:t>
      </w:r>
      <w:r>
        <w:rPr>
          <w:noProof/>
        </w:rPr>
        <w:tab/>
      </w:r>
      <w:r>
        <w:rPr>
          <w:bCs/>
          <w:noProof/>
        </w:rPr>
        <w:t xml:space="preserve">Richtlijn 2014/25/EU van het Europees Parlement en de Raad van 26 februari 2014 betreffende het plaatsen van opdrachten in de sectoren water- en energievoorziening, vervoer en postdiensten en houdende intrekking van Richtlijn 2004/17/EG </w:t>
      </w:r>
      <w:r>
        <w:rPr>
          <w:noProof/>
        </w:rPr>
        <w:t>(PB L 94 van 28.3.2014, blz. 243);</w:t>
      </w:r>
    </w:p>
    <w:p>
      <w:pPr>
        <w:pStyle w:val="Point0"/>
        <w:rPr>
          <w:bCs/>
          <w:noProof/>
        </w:rPr>
      </w:pPr>
      <w:r>
        <w:rPr>
          <w:rFonts w:eastAsia="Calibri"/>
          <w:noProof/>
        </w:rPr>
        <w:t>(iv)</w:t>
      </w:r>
      <w:r>
        <w:rPr>
          <w:rFonts w:eastAsia="Calibri"/>
          <w:noProof/>
        </w:rPr>
        <w:tab/>
      </w:r>
      <w:r>
        <w:rPr>
          <w:noProof/>
        </w:rPr>
        <w:t xml:space="preserve">Richtlijn 2009/81/EG van het Europees Parlement en de Raad van 13 juli 2009 betreffende de coördinatie van de procedures voor het plaatsen door aanbestedende diensten van bepaalde opdrachten voor werken, leveringen en diensten op defensie- en veiligheidsgebied, en tot wijziging van Richtlijnen 2004/17/EG en 2004/18/EG </w:t>
      </w:r>
      <w:r>
        <w:rPr>
          <w:bCs/>
          <w:noProof/>
        </w:rPr>
        <w:t>(PB L 216 van 20.8.2009, blz. 76).</w:t>
      </w:r>
    </w:p>
    <w:p>
      <w:pPr>
        <w:pStyle w:val="NumPar1"/>
        <w:rPr>
          <w:noProof/>
        </w:rPr>
      </w:pPr>
      <w:r>
        <w:rPr>
          <w:noProof/>
        </w:rPr>
        <w:t>Beroepsprocedures als geregeld bij:</w:t>
      </w:r>
    </w:p>
    <w:p>
      <w:pPr>
        <w:pStyle w:val="Point0"/>
        <w:rPr>
          <w:noProof/>
        </w:rPr>
      </w:pPr>
      <w:r>
        <w:rPr>
          <w:noProof/>
        </w:rPr>
        <w:t>(i)</w:t>
      </w:r>
      <w:r>
        <w:rPr>
          <w:noProof/>
        </w:rPr>
        <w:tab/>
      </w:r>
      <w:r>
        <w:rPr>
          <w:bCs/>
          <w:noProof/>
        </w:rPr>
        <w:t xml:space="preserve">Richtlijn 92/13/EEG van de Raad van 25 februari 1992 tot coördinatie van de wettelijke en bestuursrechtelijke bepalingen betreffende de toepassing van de communautaire voorschriften inzake de procedures voor het plaatsen van opdrachten door diensten die werkzaam zijn in de sectoren water- en energievoorziening, vervoer en </w:t>
      </w:r>
      <w:r>
        <w:rPr>
          <w:noProof/>
        </w:rPr>
        <w:t>(PB L 76 van 23.3.1992, blz. 14);</w:t>
      </w:r>
    </w:p>
    <w:p>
      <w:pPr>
        <w:pStyle w:val="Point0"/>
        <w:rPr>
          <w:noProof/>
        </w:rPr>
      </w:pPr>
      <w:r>
        <w:rPr>
          <w:noProof/>
        </w:rPr>
        <w:t>(ii)</w:t>
      </w:r>
      <w:r>
        <w:rPr>
          <w:noProof/>
        </w:rPr>
        <w:tab/>
      </w:r>
      <w:r>
        <w:rPr>
          <w:bCs/>
          <w:noProof/>
        </w:rPr>
        <w:t>Richtlijn 89/665/EEG van de Raad van 21 december 1989 houdende de coördinatie van de wettelijke en bestuursrechtelijke bepalingen betreffende de toepassing van de beroepsprocedures inzake het plaatsen van overheidsopdrachten voor leveringen en voor de uitvoering van werken</w:t>
      </w:r>
      <w:r>
        <w:rPr>
          <w:noProof/>
        </w:rPr>
        <w:t xml:space="preserve"> (PB L 395 van 30.12.1989, blz. 33).</w:t>
      </w:r>
    </w:p>
    <w:p>
      <w:pPr>
        <w:pStyle w:val="Point0"/>
        <w:rPr>
          <w:b/>
          <w:noProof/>
        </w:rPr>
      </w:pPr>
      <w:r>
        <w:rPr>
          <w:b/>
          <w:noProof/>
        </w:rPr>
        <w:t>B.</w:t>
      </w:r>
      <w:r>
        <w:rPr>
          <w:b/>
          <w:noProof/>
        </w:rPr>
        <w:tab/>
        <w:t xml:space="preserve">Artikel 1, onder a), punt ii) – financiële diensten, preventie van witwassen van geld en terrorismefinanciering: </w:t>
      </w:r>
    </w:p>
    <w:p>
      <w:pPr>
        <w:rPr>
          <w:noProof/>
        </w:rPr>
      </w:pPr>
      <w:r>
        <w:rPr>
          <w:noProof/>
        </w:rPr>
        <w:t>Regels tot vaststelling van een regelgevings- en toezichtskader en consumenten- en beleggersbescherming betreffende  de financiële diensten en kapitaalmarkten van de Unie, bankdiensten, kredietverstrekking, verzekering en herverzekering, individuele en bedrijfspensioenen, effecten, beleggingsfondsen, betalingen en beleggingsadviezen, met inbegrip van de diensten die zijn opgenomen in bijlage I bij 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(PB L 176 van 27.6.2013, blz. 338), als geregeld bij:</w:t>
      </w:r>
    </w:p>
    <w:p>
      <w:pPr>
        <w:pStyle w:val="Point0"/>
        <w:rPr>
          <w:noProof/>
        </w:rPr>
      </w:pPr>
      <w:r>
        <w:rPr>
          <w:noProof/>
        </w:rPr>
        <w:t>(i)</w:t>
      </w:r>
      <w:r>
        <w:rPr>
          <w:noProof/>
        </w:rPr>
        <w:tab/>
      </w:r>
      <w:r>
        <w:rPr>
          <w:bCs/>
          <w:noProof/>
        </w:rPr>
        <w:t xml:space="preserve">Richtlijn 2009/110/EG van het Europees Parlement en de Raad van 16 september 2009 betreffende de toegang tot, de uitoefening van en het prudentieel toezicht op de werkzaamheden van instellingen voor elektronisch geld, tot wijziging van de Richtlijnen 2005/60/EG en 2006/48/EG en tot intrekking van Richtlijn 2000/46/EG </w:t>
      </w:r>
      <w:r>
        <w:rPr>
          <w:noProof/>
        </w:rPr>
        <w:t>(PB L 267 van 10.10.2009, blz. 7);</w:t>
      </w:r>
    </w:p>
    <w:p>
      <w:pPr>
        <w:pStyle w:val="Point0"/>
        <w:rPr>
          <w:noProof/>
        </w:rPr>
      </w:pPr>
      <w:r>
        <w:rPr>
          <w:noProof/>
        </w:rPr>
        <w:t>(ii)</w:t>
      </w:r>
      <w:r>
        <w:rPr>
          <w:noProof/>
        </w:rPr>
        <w:tab/>
      </w:r>
      <w:r>
        <w:rPr>
          <w:bCs/>
          <w:noProof/>
        </w:rPr>
        <w:t xml:space="preserve">Richtlijn 2011/61/EU van het Europees Parlement en de Raad van 8 juni 2011 inzake beheerders van alternatieve beleggingsinstellingen en tot wijziging van de Richtlijnen 2003/41/EG en 2009/65/EG en van de Verordeningen (EG) nr. 1060/2009 en (EU) nr. 1095/2010 </w:t>
      </w:r>
      <w:r>
        <w:rPr>
          <w:noProof/>
        </w:rPr>
        <w:t>(PB L 174 van 1.7.2011, blz. 1);</w:t>
      </w:r>
    </w:p>
    <w:p>
      <w:pPr>
        <w:pStyle w:val="Point0"/>
        <w:rPr>
          <w:bCs/>
          <w:noProof/>
        </w:rPr>
      </w:pPr>
      <w:r>
        <w:rPr>
          <w:noProof/>
        </w:rPr>
        <w:t>(iii)</w:t>
      </w:r>
      <w:r>
        <w:rPr>
          <w:noProof/>
        </w:rPr>
        <w:tab/>
        <w:t xml:space="preserve">Verordening (EU) nr. 236/2012 van het Europees Parlement en de Raad van 14 maart 2012 betreffende short selling en bepaalde aspecten van kredietverzuimswaps </w:t>
      </w:r>
      <w:r>
        <w:rPr>
          <w:bCs/>
          <w:noProof/>
        </w:rPr>
        <w:t>(PB L 86 van 24.3.2012, blz. 1);</w:t>
      </w:r>
    </w:p>
    <w:p>
      <w:pPr>
        <w:pStyle w:val="Point0"/>
        <w:rPr>
          <w:bCs/>
          <w:noProof/>
        </w:rPr>
      </w:pPr>
      <w:r>
        <w:rPr>
          <w:bCs/>
          <w:noProof/>
        </w:rPr>
        <w:t>(iv)</w:t>
      </w:r>
      <w:r>
        <w:rPr>
          <w:bCs/>
          <w:noProof/>
        </w:rPr>
        <w:tab/>
      </w:r>
      <w:r>
        <w:rPr>
          <w:noProof/>
        </w:rPr>
        <w:t xml:space="preserve">Verordening (EU) nr. 345/2013 van het Europees Parlement en de Raad van 17 april 2013 betreffende Europese durfkapitaalfondsen </w:t>
      </w:r>
      <w:r>
        <w:rPr>
          <w:bCs/>
          <w:noProof/>
        </w:rPr>
        <w:t>(PB L 115 van 25.4.2013, blz. 1);</w:t>
      </w:r>
    </w:p>
    <w:p>
      <w:pPr>
        <w:pStyle w:val="Point0"/>
        <w:rPr>
          <w:bCs/>
          <w:noProof/>
        </w:rPr>
      </w:pPr>
      <w:r>
        <w:rPr>
          <w:bCs/>
          <w:noProof/>
        </w:rPr>
        <w:t>(v)</w:t>
      </w:r>
      <w:r>
        <w:rPr>
          <w:bCs/>
          <w:noProof/>
        </w:rPr>
        <w:tab/>
      </w:r>
      <w:r>
        <w:rPr>
          <w:noProof/>
        </w:rPr>
        <w:t xml:space="preserve">Verordening (EU) nr. 346/2013 van het Europees Parlement en de Raad van 17 april 2013 inzake Europese sociaalondernemerschapsfondsen </w:t>
      </w:r>
      <w:r>
        <w:rPr>
          <w:bCs/>
          <w:noProof/>
        </w:rPr>
        <w:t>(PB L 115 van 25.4.2013, blz. 18);</w:t>
      </w:r>
    </w:p>
    <w:p>
      <w:pPr>
        <w:pStyle w:val="Point0"/>
        <w:rPr>
          <w:bCs/>
          <w:noProof/>
        </w:rPr>
      </w:pPr>
      <w:r>
        <w:rPr>
          <w:bCs/>
          <w:noProof/>
        </w:rPr>
        <w:t>(vi)</w:t>
      </w:r>
      <w:r>
        <w:rPr>
          <w:bCs/>
          <w:noProof/>
        </w:rPr>
        <w:tab/>
      </w:r>
      <w:r>
        <w:rPr>
          <w:noProof/>
        </w:rPr>
        <w:t xml:space="preserve">Richtlijn 2014/17/ЕU van het Europees Parlement en de Raad van 4 februari 2014 inzake kredietovereenkomsten voor consumenten met betrekking tot voor bewoning bestemde onroerende goederen en tot wijziging van de Richtlijnen 2008/48/EG en 2013/36/EU en Verordening (EU) nr. 1093/2010 </w:t>
      </w:r>
      <w:r>
        <w:rPr>
          <w:bCs/>
          <w:noProof/>
        </w:rPr>
        <w:t>(PB L 60 van 28.2.2014, blz. 34);</w:t>
      </w:r>
    </w:p>
    <w:p>
      <w:pPr>
        <w:pStyle w:val="Point0"/>
        <w:rPr>
          <w:noProof/>
        </w:rPr>
      </w:pPr>
      <w:r>
        <w:rPr>
          <w:noProof/>
        </w:rPr>
        <w:t>(vii)</w:t>
      </w:r>
      <w:r>
        <w:rPr>
          <w:noProof/>
        </w:rPr>
        <w:tab/>
      </w:r>
      <w:r>
        <w:rPr>
          <w:bCs/>
          <w:noProof/>
        </w:rPr>
        <w:t xml:space="preserve">Verordening (EU) nr. 537/2014 van het Europees Parlement en de Raad van 16 april 2014 betreffende specifieke eisen voor de wettelijke controles van financiële overzichten van organisaties van openbaar belang en tot intrekking van Besluit 2005/909/EG van de Commissie </w:t>
      </w:r>
      <w:r>
        <w:rPr>
          <w:noProof/>
        </w:rPr>
        <w:t>(PB L 158 van 27.5.2014, blz. 77);</w:t>
      </w:r>
    </w:p>
    <w:p>
      <w:pPr>
        <w:pStyle w:val="Point0"/>
        <w:rPr>
          <w:noProof/>
        </w:rPr>
      </w:pPr>
      <w:r>
        <w:rPr>
          <w:noProof/>
        </w:rPr>
        <w:t>(viii)</w:t>
      </w:r>
      <w:r>
        <w:rPr>
          <w:noProof/>
        </w:rPr>
        <w:tab/>
      </w:r>
      <w:r>
        <w:rPr>
          <w:bCs/>
          <w:noProof/>
        </w:rPr>
        <w:t xml:space="preserve">Verordening (EU) nr. 600/2014 van het Europees Parlement en de Raad van 15 mei 2014 betreffende markten in financiële instrumenten en tot wijziging van Verordening (EU) nr. 648/2012 </w:t>
      </w:r>
      <w:r>
        <w:rPr>
          <w:noProof/>
        </w:rPr>
        <w:t>(PB L 173 van 12.6.2014, blz. 84);</w:t>
      </w:r>
    </w:p>
    <w:p>
      <w:pPr>
        <w:pStyle w:val="Point0"/>
        <w:rPr>
          <w:noProof/>
        </w:rPr>
      </w:pPr>
      <w:r>
        <w:rPr>
          <w:noProof/>
        </w:rPr>
        <w:t>(ix)</w:t>
      </w:r>
      <w:r>
        <w:rPr>
          <w:noProof/>
        </w:rPr>
        <w:tab/>
      </w:r>
      <w:r>
        <w:rPr>
          <w:bCs/>
          <w:noProof/>
        </w:rPr>
        <w:t xml:space="preserve">Richtlijn (EU) 2015/2366 van het Europees Parlement en de Raad van 25 november 2015 betreffende betalingsdiensten in de interne markt, houdende wijziging van de Richtlijnen 2002/65/EG, 2009/110/EG en 2013/36/EU en Verordening (EU) nr. 1093/2010 en houdende intrekking van Richtlijn 2007/64/EG </w:t>
      </w:r>
      <w:r>
        <w:rPr>
          <w:noProof/>
        </w:rPr>
        <w:t>(PB L 337 van 23.12.2015, blz. 35);</w:t>
      </w:r>
    </w:p>
    <w:p>
      <w:pPr>
        <w:pStyle w:val="Point0"/>
        <w:rPr>
          <w:noProof/>
        </w:rPr>
      </w:pPr>
      <w:r>
        <w:rPr>
          <w:noProof/>
        </w:rPr>
        <w:t>(x)</w:t>
      </w:r>
      <w:r>
        <w:rPr>
          <w:noProof/>
        </w:rPr>
        <w:tab/>
      </w:r>
      <w:r>
        <w:rPr>
          <w:bCs/>
          <w:noProof/>
        </w:rPr>
        <w:t xml:space="preserve">Richtlijn 2004/25/EG van het Europees Parlement en de Raad van 21 april 2004 betreffende het openbaar overnamebod </w:t>
      </w:r>
      <w:r>
        <w:rPr>
          <w:noProof/>
        </w:rPr>
        <w:t>(PB L 142 van 30.4.2004, blz. 12);</w:t>
      </w:r>
    </w:p>
    <w:p>
      <w:pPr>
        <w:pStyle w:val="Point0"/>
        <w:rPr>
          <w:noProof/>
        </w:rPr>
      </w:pPr>
      <w:r>
        <w:rPr>
          <w:noProof/>
        </w:rPr>
        <w:t>(xi)</w:t>
      </w:r>
      <w:r>
        <w:rPr>
          <w:noProof/>
        </w:rPr>
        <w:tab/>
      </w:r>
      <w:r>
        <w:rPr>
          <w:bCs/>
          <w:noProof/>
        </w:rPr>
        <w:t>Richtlijn 2007/36/EG van het Europees Parlement en de Raad van 11 juli 2007 betreffende de uitoefening van bepaalde rechten van aandeelhouders in beursgenoteerde vennootschappen</w:t>
      </w:r>
      <w:r>
        <w:rPr>
          <w:noProof/>
        </w:rPr>
        <w:t xml:space="preserve"> (PB L 184 van 14.7.2007, blz. 17).</w:t>
      </w:r>
    </w:p>
    <w:p>
      <w:pPr>
        <w:pStyle w:val="Point0"/>
        <w:rPr>
          <w:b/>
          <w:noProof/>
        </w:rPr>
      </w:pPr>
      <w:r>
        <w:rPr>
          <w:b/>
          <w:noProof/>
        </w:rPr>
        <w:t>C.</w:t>
      </w:r>
      <w:r>
        <w:rPr>
          <w:b/>
          <w:noProof/>
        </w:rPr>
        <w:tab/>
        <w:t xml:space="preserve">Artikel 1, onder a), punt iii) – productveiligheid: </w:t>
      </w:r>
    </w:p>
    <w:p>
      <w:pPr>
        <w:pStyle w:val="Point0"/>
        <w:rPr>
          <w:bCs/>
          <w:noProof/>
        </w:rPr>
      </w:pPr>
      <w:r>
        <w:rPr>
          <w:bCs/>
          <w:noProof/>
        </w:rPr>
        <w:t>1.</w:t>
      </w:r>
      <w:r>
        <w:rPr>
          <w:bCs/>
          <w:noProof/>
        </w:rPr>
        <w:tab/>
        <w:t xml:space="preserve">Algemene veiligheidseisen voor producten die in de Unie in de handel worden gebracht, als  omschreven en geregeld bij: </w:t>
      </w:r>
    </w:p>
    <w:p>
      <w:pPr>
        <w:pStyle w:val="Point0"/>
        <w:rPr>
          <w:bCs/>
          <w:noProof/>
        </w:rPr>
      </w:pPr>
      <w:r>
        <w:rPr>
          <w:bCs/>
          <w:noProof/>
        </w:rPr>
        <w:t>(i)</w:t>
      </w:r>
      <w:r>
        <w:rPr>
          <w:bCs/>
          <w:noProof/>
        </w:rPr>
        <w:tab/>
      </w:r>
      <w:r>
        <w:rPr>
          <w:noProof/>
        </w:rPr>
        <w:t xml:space="preserve">Richtlijn 2001/95/EG van het Europees Parlement en de Raad van 3 december 2001 inzake algemene productveiligheid </w:t>
      </w:r>
      <w:r>
        <w:rPr>
          <w:bCs/>
          <w:noProof/>
        </w:rPr>
        <w:t>(PB L 11 van 15.1.2002, blz. 4);</w:t>
      </w:r>
    </w:p>
    <w:p>
      <w:pPr>
        <w:pStyle w:val="Point0"/>
        <w:rPr>
          <w:bCs/>
          <w:noProof/>
        </w:rPr>
      </w:pPr>
      <w:r>
        <w:rPr>
          <w:bCs/>
          <w:noProof/>
        </w:rPr>
        <w:t>(ii)</w:t>
      </w:r>
      <w:r>
        <w:rPr>
          <w:bCs/>
          <w:noProof/>
        </w:rPr>
        <w:tab/>
        <w:t>Harmonisatiewetgeving van de Unie die van toepassing is op vervaardigde producten, met uitzondering van levensmiddelen, diervoeder, geneesmiddelen voor menselijk en diergeneeskundig gebruik, levende planten en dieren, producten van menselijke oorsprong en producten van planten en dieren, rechtstreeks verband houdend met toekomstige vermeerdering ervan, zoals vermeld in Verordening XX tot vaststelling van voorschriften en procedures voor de naleving en de handhaving van de harmonisatiewetgeving van de Unie</w:t>
      </w:r>
      <w:r>
        <w:rPr>
          <w:rStyle w:val="FootnoteReference"/>
          <w:noProof/>
        </w:rPr>
        <w:footnoteReference w:id="2"/>
      </w:r>
      <w:r>
        <w:rPr>
          <w:bCs/>
          <w:noProof/>
        </w:rPr>
        <w:t xml:space="preserve">; </w:t>
      </w:r>
    </w:p>
    <w:p>
      <w:pPr>
        <w:pStyle w:val="Point0"/>
        <w:rPr>
          <w:bCs/>
          <w:noProof/>
        </w:rPr>
      </w:pPr>
      <w:r>
        <w:rPr>
          <w:bCs/>
          <w:noProof/>
        </w:rPr>
        <w:t>(iii)</w:t>
      </w:r>
      <w:r>
        <w:rPr>
          <w:bCs/>
          <w:noProof/>
        </w:rPr>
        <w:tab/>
      </w:r>
      <w:r>
        <w:rPr>
          <w:noProof/>
        </w:rPr>
        <w:t>Richtlijn 2007/46/EG van het Europees Parlement en de Raad van 5 september 2007 tot vaststelling van een kader voor de goedkeuring van motorvoertuigen en aanhangwagens daarvan en van systemen, onderdelen en technische eenheden die voor dergelijke voertuigen zijn bestemd (Kaderrichtlijn)</w:t>
      </w:r>
      <w:r>
        <w:rPr>
          <w:bCs/>
          <w:noProof/>
        </w:rPr>
        <w:t xml:space="preserve"> (PB L 263 van 9.10.2007, blz. 1).</w:t>
      </w:r>
    </w:p>
    <w:p>
      <w:pPr>
        <w:pStyle w:val="Point0"/>
        <w:rPr>
          <w:bCs/>
          <w:noProof/>
        </w:rPr>
      </w:pPr>
      <w:r>
        <w:rPr>
          <w:bCs/>
          <w:noProof/>
        </w:rPr>
        <w:t>2.</w:t>
      </w:r>
      <w:r>
        <w:rPr>
          <w:bCs/>
          <w:noProof/>
        </w:rPr>
        <w:tab/>
        <w:t>Het op de markt brengen en het gebruik van gevoelige en gevaarlijke producten, zoals geregeld bij:</w:t>
      </w:r>
    </w:p>
    <w:p>
      <w:pPr>
        <w:pStyle w:val="Point0"/>
        <w:rPr>
          <w:bCs/>
          <w:noProof/>
        </w:rPr>
      </w:pPr>
      <w:r>
        <w:rPr>
          <w:bCs/>
          <w:noProof/>
        </w:rPr>
        <w:t>(i)</w:t>
      </w:r>
      <w:r>
        <w:rPr>
          <w:bCs/>
          <w:noProof/>
        </w:rPr>
        <w:tab/>
      </w:r>
      <w:r>
        <w:rPr>
          <w:noProof/>
        </w:rPr>
        <w:t xml:space="preserve">Richtlijn 2009/43/EG van het Europees Parlement en de Raad van 6 mei 2009 betreffende de vereenvoudiging van de voorwaarden voor de overdracht van defensiegerelateerde producten binnen de Gemeenschap </w:t>
      </w:r>
      <w:r>
        <w:rPr>
          <w:bCs/>
          <w:noProof/>
        </w:rPr>
        <w:t>(PB L 146 van 10.06.2009, blz. 1);</w:t>
      </w:r>
    </w:p>
    <w:p>
      <w:pPr>
        <w:pStyle w:val="Point0"/>
        <w:rPr>
          <w:bCs/>
          <w:noProof/>
        </w:rPr>
      </w:pPr>
      <w:r>
        <w:rPr>
          <w:bCs/>
          <w:noProof/>
        </w:rPr>
        <w:t>(ii)</w:t>
      </w:r>
      <w:r>
        <w:rPr>
          <w:bCs/>
          <w:noProof/>
        </w:rPr>
        <w:tab/>
      </w:r>
      <w:r>
        <w:rPr>
          <w:noProof/>
        </w:rPr>
        <w:t>Richtlijn 91/477/EEG van de Raad van 18 juni 1991 inzake de controle op de verwerving en het voorhanden hebben van wapens</w:t>
      </w:r>
      <w:r>
        <w:rPr>
          <w:bCs/>
          <w:noProof/>
        </w:rPr>
        <w:t xml:space="preserve"> (PB L 256 van 13.9.1991, blz. 51);</w:t>
      </w:r>
    </w:p>
    <w:p>
      <w:pPr>
        <w:pStyle w:val="Point0"/>
        <w:rPr>
          <w:bCs/>
          <w:noProof/>
        </w:rPr>
      </w:pPr>
      <w:r>
        <w:rPr>
          <w:bCs/>
          <w:noProof/>
        </w:rPr>
        <w:t>(iii)</w:t>
      </w:r>
      <w:r>
        <w:rPr>
          <w:bCs/>
          <w:noProof/>
        </w:rPr>
        <w:tab/>
      </w:r>
      <w:r>
        <w:rPr>
          <w:noProof/>
        </w:rPr>
        <w:t>Verordening (EU) nr. 258/2012 van het Europees Parlement en de Raad van 14 maart 2012 tot uitvoering van artikel 10 van het Protocol van de Verenigde Naties tegen de illegale vervaardiging van en handel in vuurwapens, hun onderdelen, componenten en munitie, tot aanvulling van het Verdrag van de Verenigde Naties ter bestrijding van grensoverschrijdende georganiseerde misdaad (VN-protocol inzake vuurwapens), en tot vaststelling van uitvoervergunningen voor vuurwapens, hun onderdelen, componenten en munitie en maatregelen betreffende de invoer en doorvoer ervan</w:t>
      </w:r>
      <w:r>
        <w:rPr>
          <w:bCs/>
          <w:noProof/>
        </w:rPr>
        <w:t xml:space="preserve"> (PB L 94 van 30.3.2012, blz. 1);</w:t>
      </w:r>
    </w:p>
    <w:p>
      <w:pPr>
        <w:pStyle w:val="Point0"/>
        <w:rPr>
          <w:bCs/>
          <w:noProof/>
        </w:rPr>
      </w:pPr>
      <w:r>
        <w:rPr>
          <w:bCs/>
          <w:noProof/>
        </w:rPr>
        <w:t>(iv)</w:t>
      </w:r>
      <w:r>
        <w:rPr>
          <w:bCs/>
          <w:noProof/>
        </w:rPr>
        <w:tab/>
      </w:r>
      <w:r>
        <w:rPr>
          <w:noProof/>
        </w:rPr>
        <w:t xml:space="preserve">Verordening (EU) nr. 98/2013 van het Europees Parlement en de Raad van 15 januari 2013 over het op de markt brengen en het gebruik van precursoren voor explosieven </w:t>
      </w:r>
      <w:r>
        <w:rPr>
          <w:bCs/>
          <w:noProof/>
        </w:rPr>
        <w:t>(PB L 39 van 9.2.2013, blz. 1).</w:t>
      </w:r>
    </w:p>
    <w:p>
      <w:pPr>
        <w:pStyle w:val="Point0"/>
        <w:rPr>
          <w:b/>
          <w:noProof/>
        </w:rPr>
      </w:pPr>
      <w:r>
        <w:rPr>
          <w:b/>
          <w:noProof/>
        </w:rPr>
        <w:t>D.</w:t>
      </w:r>
      <w:r>
        <w:rPr>
          <w:b/>
          <w:noProof/>
        </w:rPr>
        <w:tab/>
        <w:t xml:space="preserve">Artikel 1, onder a), punt iv) – veiligheid van het vervoer: </w:t>
      </w:r>
    </w:p>
    <w:p>
      <w:pPr>
        <w:pStyle w:val="NumPar1"/>
        <w:numPr>
          <w:ilvl w:val="0"/>
          <w:numId w:val="9"/>
        </w:numPr>
        <w:rPr>
          <w:noProof/>
        </w:rPr>
      </w:pPr>
      <w:r>
        <w:rPr>
          <w:noProof/>
        </w:rPr>
        <w:t xml:space="preserve">Veiligheidseisen in de spoorwegsector, als geregeld bij Richtlijn (EU) 2016/798 van het Europees Parlement en de Raad van 11 mei 2016 inzake veiligheid op het spoor (PB L 138 van 26.5.2016, blz. 102). </w:t>
      </w:r>
    </w:p>
    <w:p>
      <w:pPr>
        <w:pStyle w:val="NumPar1"/>
        <w:rPr>
          <w:noProof/>
        </w:rPr>
      </w:pPr>
      <w:r>
        <w:rPr>
          <w:noProof/>
        </w:rPr>
        <w:t>Veiligheidseisen in de burgerluchtvaart, als geregeld bij Verordening (EU) nr. 996/2010 van het Europees Parlement en de Raad van 20 oktober 2010 inzake onderzoek en preventie van ongevallen en incidenten in de burgerluchtvaart en houdende intrekking van Richtlijn 94/56/EG (PB L 295 van 12.11.2010, blz. 35).</w:t>
      </w:r>
    </w:p>
    <w:p>
      <w:pPr>
        <w:pStyle w:val="NumPar1"/>
        <w:rPr>
          <w:noProof/>
        </w:rPr>
      </w:pPr>
      <w:r>
        <w:rPr>
          <w:noProof/>
        </w:rPr>
        <w:t xml:space="preserve">Veiligheidseisen in het wegvervoer, als geregeld bij: </w:t>
      </w:r>
    </w:p>
    <w:p>
      <w:pPr>
        <w:pStyle w:val="Point0"/>
        <w:rPr>
          <w:noProof/>
        </w:rPr>
      </w:pPr>
      <w:r>
        <w:rPr>
          <w:noProof/>
        </w:rPr>
        <w:t>(i)</w:t>
      </w:r>
      <w:r>
        <w:rPr>
          <w:noProof/>
        </w:rPr>
        <w:tab/>
      </w:r>
      <w:r>
        <w:rPr>
          <w:bCs/>
          <w:noProof/>
        </w:rPr>
        <w:t>Richtlijn 2008/96/EG van het Europees Parlement en de Raad van 19 november 2008 betreffende het beheer van de verkeersveiligheid van weginfrastructuur</w:t>
      </w:r>
      <w:r>
        <w:rPr>
          <w:noProof/>
        </w:rPr>
        <w:t xml:space="preserve"> (PB L 319 van 29.11.2008, blz. 59); </w:t>
      </w:r>
    </w:p>
    <w:p>
      <w:pPr>
        <w:pStyle w:val="Point0"/>
        <w:rPr>
          <w:noProof/>
        </w:rPr>
      </w:pPr>
      <w:r>
        <w:rPr>
          <w:noProof/>
        </w:rPr>
        <w:t>(ii)</w:t>
      </w:r>
      <w:r>
        <w:rPr>
          <w:noProof/>
        </w:rPr>
        <w:tab/>
      </w:r>
      <w:r>
        <w:rPr>
          <w:bCs/>
          <w:noProof/>
        </w:rPr>
        <w:t>Richtlijn 2004/54/EG van het Europees Parlement en de Raad van 29 april 2004 inzake minimumveiligheidseisen voor tunnels in het trans-Europese wegennet</w:t>
      </w:r>
      <w:r>
        <w:rPr>
          <w:noProof/>
        </w:rPr>
        <w:t xml:space="preserve"> (PB L 167 van 30.4.2004, blz. 39).</w:t>
      </w:r>
    </w:p>
    <w:p>
      <w:pPr>
        <w:pStyle w:val="NumPar1"/>
        <w:rPr>
          <w:noProof/>
        </w:rPr>
      </w:pPr>
      <w:r>
        <w:rPr>
          <w:noProof/>
        </w:rPr>
        <w:t>Veiligheidseisen in de zeevaart, als geregeld bij:</w:t>
      </w:r>
    </w:p>
    <w:p>
      <w:pPr>
        <w:pStyle w:val="Point0"/>
        <w:rPr>
          <w:noProof/>
        </w:rPr>
      </w:pPr>
      <w:r>
        <w:rPr>
          <w:noProof/>
        </w:rPr>
        <w:t>(i)</w:t>
      </w:r>
      <w:r>
        <w:rPr>
          <w:noProof/>
        </w:rPr>
        <w:tab/>
      </w:r>
      <w:r>
        <w:rPr>
          <w:bCs/>
          <w:noProof/>
        </w:rPr>
        <w:t>Verordening (EG) nr. 391/2009 van het Europees Parlement en de Raad van 23 april 2009 inzake gemeenschappelijke voorschriften en normen voor met de inspectie en controle van schepen belaste organisaties</w:t>
      </w:r>
      <w:r>
        <w:rPr>
          <w:noProof/>
        </w:rPr>
        <w:t xml:space="preserve"> (herziening) (PB L 131 van 28.5.2009, blz. 11);</w:t>
      </w:r>
    </w:p>
    <w:p>
      <w:pPr>
        <w:pStyle w:val="Point0"/>
        <w:rPr>
          <w:noProof/>
        </w:rPr>
      </w:pPr>
      <w:r>
        <w:rPr>
          <w:noProof/>
        </w:rPr>
        <w:t>(ii)</w:t>
      </w:r>
      <w:r>
        <w:rPr>
          <w:noProof/>
        </w:rPr>
        <w:tab/>
      </w:r>
      <w:r>
        <w:rPr>
          <w:bCs/>
          <w:noProof/>
        </w:rPr>
        <w:t xml:space="preserve">Verordening (EG) nr. 392/2009 van het Europees Parlement en de Raad van 23 april 2009 betreffende de aansprakelijkheid van vervoerders van passagiers over zee bij ongevallen </w:t>
      </w:r>
      <w:r>
        <w:rPr>
          <w:noProof/>
        </w:rPr>
        <w:t>(PB L 131 van 28.5.2009, blz. 24);</w:t>
      </w:r>
    </w:p>
    <w:p>
      <w:pPr>
        <w:pStyle w:val="Point0"/>
        <w:rPr>
          <w:noProof/>
        </w:rPr>
      </w:pPr>
      <w:r>
        <w:rPr>
          <w:noProof/>
        </w:rPr>
        <w:t>(iii)</w:t>
      </w:r>
      <w:r>
        <w:rPr>
          <w:noProof/>
        </w:rPr>
        <w:tab/>
      </w:r>
      <w:r>
        <w:rPr>
          <w:bCs/>
          <w:noProof/>
        </w:rPr>
        <w:t xml:space="preserve">Richtlijn 2014/90/EU van het Europees Parlement en de Raad van 23 juli 2014 inzake uitrusting van zeeschepen en tot intrekking van Richtlijn 96/98/EG van de Raad </w:t>
      </w:r>
      <w:r>
        <w:rPr>
          <w:noProof/>
        </w:rPr>
        <w:t>(PB L 257 van 28.8.2014, blz. 146);</w:t>
      </w:r>
    </w:p>
    <w:p>
      <w:pPr>
        <w:pStyle w:val="Point0"/>
        <w:rPr>
          <w:noProof/>
        </w:rPr>
      </w:pPr>
      <w:r>
        <w:rPr>
          <w:noProof/>
        </w:rPr>
        <w:t>(iv)</w:t>
      </w:r>
      <w:r>
        <w:rPr>
          <w:noProof/>
        </w:rPr>
        <w:tab/>
      </w:r>
      <w:r>
        <w:rPr>
          <w:bCs/>
          <w:noProof/>
        </w:rPr>
        <w:t xml:space="preserve">Richtlijn 2009/18/EG van het Europees Parlement en de Raad van 23 april 2009 tot vaststelling van de grondbeginselen voor het onderzoek van ongevallen in de zeescheepvaartsector en tot wijziging van de Richtlijn 1999/35/EG van de Raad en Richtlijn 2002/59/EG van het Europees Parlement en de Raad </w:t>
      </w:r>
      <w:r>
        <w:rPr>
          <w:noProof/>
        </w:rPr>
        <w:t>(PB L 131 van 28.5.2009, blz. 114);</w:t>
      </w:r>
    </w:p>
    <w:p>
      <w:pPr>
        <w:pStyle w:val="Point0"/>
        <w:rPr>
          <w:noProof/>
        </w:rPr>
      </w:pPr>
      <w:r>
        <w:rPr>
          <w:noProof/>
        </w:rPr>
        <w:t>(v)</w:t>
      </w:r>
      <w:r>
        <w:rPr>
          <w:noProof/>
        </w:rPr>
        <w:tab/>
      </w:r>
      <w:r>
        <w:rPr>
          <w:bCs/>
          <w:noProof/>
        </w:rPr>
        <w:t xml:space="preserve">Richtlijn 2008/106/EG van het Europees Parlement en de Raad van 19 november 2008 inzake het minimum opleidingsniveau van zeevarenden </w:t>
      </w:r>
      <w:r>
        <w:rPr>
          <w:noProof/>
        </w:rPr>
        <w:t>(PB L 323 van 3.12.2008, blz. 33);</w:t>
      </w:r>
    </w:p>
    <w:p>
      <w:pPr>
        <w:pStyle w:val="Point0"/>
        <w:rPr>
          <w:noProof/>
        </w:rPr>
      </w:pPr>
      <w:r>
        <w:rPr>
          <w:noProof/>
        </w:rPr>
        <w:t>(vi)</w:t>
      </w:r>
      <w:r>
        <w:rPr>
          <w:noProof/>
        </w:rPr>
        <w:tab/>
      </w:r>
      <w:r>
        <w:rPr>
          <w:bCs/>
          <w:noProof/>
        </w:rPr>
        <w:t>Richtlijn 98/41/EG van de Raad van 18 juni 1998 inzake de registratie van de opvarenden van passagiersschepen die vanuit of naar havens in de lidstaten van de Gemeenschap varen</w:t>
      </w:r>
      <w:r>
        <w:rPr>
          <w:noProof/>
        </w:rPr>
        <w:t xml:space="preserve"> (PB L 188 van 2.7.1998, blz.35);</w:t>
      </w:r>
    </w:p>
    <w:p>
      <w:pPr>
        <w:pStyle w:val="Point0"/>
        <w:rPr>
          <w:noProof/>
        </w:rPr>
      </w:pPr>
      <w:r>
        <w:rPr>
          <w:noProof/>
        </w:rPr>
        <w:t>(vii)</w:t>
      </w:r>
      <w:r>
        <w:rPr>
          <w:noProof/>
        </w:rPr>
        <w:tab/>
      </w:r>
      <w:r>
        <w:rPr>
          <w:bCs/>
          <w:noProof/>
        </w:rPr>
        <w:t xml:space="preserve">Richtlĳn 2001/96/EG van het Europees Parlement en de Raad van 4 december 2001 tot vaststelling van geharmoniseerde voorschriften en procedures voor veilig laden en lossen van bulkschepen </w:t>
      </w:r>
      <w:r>
        <w:rPr>
          <w:noProof/>
        </w:rPr>
        <w:t>(PB L 13 van 16.1.2002, blz. 9).</w:t>
      </w:r>
    </w:p>
    <w:p>
      <w:pPr>
        <w:pStyle w:val="Point0"/>
        <w:rPr>
          <w:noProof/>
        </w:rPr>
      </w:pPr>
      <w:r>
        <w:rPr>
          <w:noProof/>
        </w:rPr>
        <w:t>E.</w:t>
      </w:r>
      <w:r>
        <w:rPr>
          <w:noProof/>
        </w:rPr>
        <w:tab/>
        <w:t xml:space="preserve">Artikel 1, onder a), punt v) – milieubescherming: </w:t>
      </w:r>
    </w:p>
    <w:p>
      <w:pPr>
        <w:pStyle w:val="Point0"/>
        <w:rPr>
          <w:noProof/>
        </w:rPr>
      </w:pPr>
      <w:r>
        <w:rPr>
          <w:noProof/>
        </w:rPr>
        <w:t>(i)</w:t>
      </w:r>
      <w:r>
        <w:rPr>
          <w:noProof/>
        </w:rPr>
        <w:tab/>
        <w:t xml:space="preserve">Strafbare feiten ten aanzien van de bescherming van het milieu, zoals geregeld bij Richtlijn 2008/99/EC van het Europees Parlement en de Raad van 19 november 2008 inzake de bescherming van het milieu door middel van het strafrecht (PB L 328 van 6.12.2008, blz. 28) of onrechtmatige gedragingen waarbij inbreuk wordt gemaakt op de in de bijlagen bij Richtlijn 2008/99/EC vermelde wetgeving; </w:t>
      </w:r>
    </w:p>
    <w:p>
      <w:pPr>
        <w:pStyle w:val="Point0"/>
        <w:rPr>
          <w:noProof/>
        </w:rPr>
      </w:pPr>
      <w:r>
        <w:rPr>
          <w:noProof/>
        </w:rPr>
        <w:t>(ii)</w:t>
      </w:r>
      <w:r>
        <w:rPr>
          <w:noProof/>
        </w:rPr>
        <w:tab/>
        <w:t xml:space="preserve">Richtlijn 2004/35/EG van het Europees Parlement en de Raad van 21 april 2004 betreffende milieuaansprakelijkheid met betrekking tot het voorkomen en herstellen van milieuschade (PB L 143 van 30.4.2004, blz. 56); </w:t>
      </w:r>
    </w:p>
    <w:p>
      <w:pPr>
        <w:pStyle w:val="Point0"/>
        <w:rPr>
          <w:noProof/>
        </w:rPr>
      </w:pPr>
      <w:r>
        <w:rPr>
          <w:noProof/>
        </w:rPr>
        <w:t>(iii)</w:t>
      </w:r>
      <w:r>
        <w:rPr>
          <w:noProof/>
        </w:rPr>
        <w:tab/>
        <w:t>Verordening (EU) nr. 995/2010 van het Europees Parlement en de Raad van 20 oktober 2010 tot vaststelling van de verplichtingen van marktdeelnemers die hout en houtproducten op de markt brengen (PB L 295 van 12.11.2010, blz. 23);</w:t>
      </w:r>
    </w:p>
    <w:p>
      <w:pPr>
        <w:pStyle w:val="Point0"/>
        <w:rPr>
          <w:noProof/>
        </w:rPr>
      </w:pPr>
      <w:r>
        <w:rPr>
          <w:noProof/>
        </w:rPr>
        <w:t>(iv)</w:t>
      </w:r>
      <w:r>
        <w:rPr>
          <w:noProof/>
        </w:rPr>
        <w:tab/>
      </w:r>
      <w:r>
        <w:rPr>
          <w:bCs/>
          <w:noProof/>
        </w:rPr>
        <w:t xml:space="preserve">Richtlijn 2009/123/EG van het Europees Parlement en de Raad van 21 oktober 2009 tot wijziging van Richtlijn 2005/35/EG inzake verontreiniging vanaf schepen en invoering van sancties voor inbreuken </w:t>
      </w:r>
      <w:r>
        <w:rPr>
          <w:noProof/>
        </w:rPr>
        <w:t xml:space="preserve">(PB L 280 van 27.10.2009, blz. 52); </w:t>
      </w:r>
    </w:p>
    <w:p>
      <w:pPr>
        <w:pStyle w:val="Point0"/>
        <w:rPr>
          <w:noProof/>
        </w:rPr>
      </w:pPr>
      <w:r>
        <w:rPr>
          <w:noProof/>
        </w:rPr>
        <w:t>(v)</w:t>
      </w:r>
      <w:r>
        <w:rPr>
          <w:noProof/>
        </w:rPr>
        <w:tab/>
      </w:r>
      <w:r>
        <w:rPr>
          <w:bCs/>
          <w:noProof/>
        </w:rPr>
        <w:t xml:space="preserve">Verordening (EU) 2015/757 van het Europees Parlement en de Raad van 29 april 2015 betreffende de monitoring, de rapportage en de verificatie van kooldioxide-emissies door maritiem vervoer en tot wijziging van Richtlijn 2009/16/EG </w:t>
      </w:r>
      <w:r>
        <w:rPr>
          <w:noProof/>
        </w:rPr>
        <w:t>(PB L 123 van 19.5.2015, blz. 55);</w:t>
      </w:r>
    </w:p>
    <w:p>
      <w:pPr>
        <w:pStyle w:val="Point0"/>
        <w:rPr>
          <w:noProof/>
        </w:rPr>
      </w:pPr>
      <w:r>
        <w:rPr>
          <w:noProof/>
        </w:rPr>
        <w:t>(vi)</w:t>
      </w:r>
      <w:r>
        <w:rPr>
          <w:noProof/>
        </w:rPr>
        <w:tab/>
      </w:r>
      <w:r>
        <w:rPr>
          <w:bCs/>
          <w:noProof/>
        </w:rPr>
        <w:t xml:space="preserve">Verordening (EU) nr. 1257/2013 van het Europees Parlement en de Raad van 20 november 2013 inzake scheepsrecycling, en tot wijziging van Verordening (EG) nr. 1013/2006 en van Richtlijn 2009/16/EG </w:t>
      </w:r>
      <w:r>
        <w:rPr>
          <w:noProof/>
        </w:rPr>
        <w:t xml:space="preserve">(PB L 330 van 10.12.2013, blz. 1); </w:t>
      </w:r>
    </w:p>
    <w:p>
      <w:pPr>
        <w:pStyle w:val="Point0"/>
        <w:rPr>
          <w:noProof/>
        </w:rPr>
      </w:pPr>
      <w:r>
        <w:rPr>
          <w:noProof/>
        </w:rPr>
        <w:t>(vii)</w:t>
      </w:r>
      <w:r>
        <w:rPr>
          <w:noProof/>
        </w:rPr>
        <w:tab/>
      </w:r>
      <w:r>
        <w:rPr>
          <w:bCs/>
          <w:noProof/>
        </w:rPr>
        <w:t xml:space="preserve">Verordening (EU) nr. 649/2012 van het Europees Parlement en de Raad van 4 juli 2012 betreffende de in- en uitvoer van gevaarlijke chemische stoffen </w:t>
      </w:r>
      <w:r>
        <w:rPr>
          <w:noProof/>
        </w:rPr>
        <w:t xml:space="preserve">(PB L 201 van 27.7.2012, blz. 60); </w:t>
      </w:r>
    </w:p>
    <w:p>
      <w:pPr>
        <w:pStyle w:val="Point0"/>
        <w:rPr>
          <w:noProof/>
        </w:rPr>
      </w:pPr>
      <w:r>
        <w:rPr>
          <w:noProof/>
        </w:rPr>
        <w:t>(viii)</w:t>
      </w:r>
      <w:r>
        <w:rPr>
          <w:noProof/>
        </w:rPr>
        <w:tab/>
      </w:r>
      <w:r>
        <w:rPr>
          <w:bCs/>
          <w:noProof/>
        </w:rPr>
        <w:t>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w:t>
      </w:r>
      <w:r>
        <w:rPr>
          <w:noProof/>
        </w:rPr>
        <w:t xml:space="preserve"> (PB L 396 van 30.12.2006, blz. 1);</w:t>
      </w:r>
    </w:p>
    <w:p>
      <w:pPr>
        <w:pStyle w:val="Point0"/>
        <w:rPr>
          <w:noProof/>
        </w:rPr>
      </w:pPr>
      <w:r>
        <w:rPr>
          <w:noProof/>
        </w:rPr>
        <w:t>(ix)</w:t>
      </w:r>
      <w:r>
        <w:rPr>
          <w:noProof/>
        </w:rPr>
        <w:tab/>
      </w:r>
      <w:r>
        <w:rPr>
          <w:bCs/>
          <w:noProof/>
        </w:rPr>
        <w:t>Richtlijn (EU) 2015/2193 van het Europees Parlement en de Raad van 25 november 2015 inzake de beperking van de emissies van bepaalde verontreinigende stoffen in de lucht door middelgrote stookinstallaties</w:t>
      </w:r>
      <w:r>
        <w:rPr>
          <w:noProof/>
        </w:rPr>
        <w:t xml:space="preserve"> (PB L 313 van 28.11.2015, blz. 1).</w:t>
      </w:r>
    </w:p>
    <w:p>
      <w:pPr>
        <w:pStyle w:val="Point0"/>
        <w:rPr>
          <w:b/>
          <w:noProof/>
        </w:rPr>
      </w:pPr>
      <w:r>
        <w:rPr>
          <w:b/>
          <w:noProof/>
        </w:rPr>
        <w:t>F.</w:t>
      </w:r>
      <w:r>
        <w:rPr>
          <w:b/>
          <w:noProof/>
        </w:rPr>
        <w:tab/>
        <w:t>Artikel 1, onder a), punt vi) – nucleaire veiligheid</w:t>
      </w:r>
    </w:p>
    <w:p>
      <w:pPr>
        <w:rPr>
          <w:noProof/>
        </w:rPr>
      </w:pPr>
      <w:r>
        <w:rPr>
          <w:noProof/>
        </w:rPr>
        <w:t>Regels inzake nucleaire veiligheid, zoals geregeld bij:</w:t>
      </w:r>
    </w:p>
    <w:p>
      <w:pPr>
        <w:pStyle w:val="Point0"/>
        <w:rPr>
          <w:bCs/>
          <w:noProof/>
        </w:rPr>
      </w:pPr>
      <w:r>
        <w:rPr>
          <w:bCs/>
          <w:noProof/>
        </w:rPr>
        <w:t>(i)</w:t>
      </w:r>
      <w:r>
        <w:rPr>
          <w:bCs/>
          <w:noProof/>
        </w:rPr>
        <w:tab/>
      </w:r>
      <w:r>
        <w:rPr>
          <w:noProof/>
        </w:rPr>
        <w:t>Richtlijn 2009/71/Euratom van de Raad van 25 juni 2009 tot vaststelling van een communautair kader voor de nucleaire veiligheid van kerninstallaties</w:t>
      </w:r>
      <w:r>
        <w:rPr>
          <w:bCs/>
          <w:noProof/>
        </w:rPr>
        <w:t xml:space="preserve"> (PB L 172 van 2.7.2009, blz. 18);</w:t>
      </w:r>
    </w:p>
    <w:p>
      <w:pPr>
        <w:pStyle w:val="Point0"/>
        <w:rPr>
          <w:bCs/>
          <w:noProof/>
        </w:rPr>
      </w:pPr>
      <w:r>
        <w:rPr>
          <w:bCs/>
          <w:noProof/>
        </w:rPr>
        <w:t>(ii)</w:t>
      </w:r>
      <w:r>
        <w:rPr>
          <w:bCs/>
          <w:noProof/>
        </w:rPr>
        <w:tab/>
      </w:r>
      <w:r>
        <w:rPr>
          <w:noProof/>
        </w:rPr>
        <w:t>Richtlijn 2013/51/Euratom van de Raad van 22 oktober 2013 tot vaststelling van voorschriften voor de bescherming van de volksgezondheid tegen radioactieve stoffen in voor menselijke consumptie bestemd water</w:t>
      </w:r>
      <w:r>
        <w:rPr>
          <w:bCs/>
          <w:noProof/>
        </w:rPr>
        <w:t xml:space="preserve"> (PB L 296 van 7.11.2013, blz. 12);</w:t>
      </w:r>
    </w:p>
    <w:p>
      <w:pPr>
        <w:pStyle w:val="Point0"/>
        <w:rPr>
          <w:bCs/>
          <w:noProof/>
        </w:rPr>
      </w:pPr>
      <w:r>
        <w:rPr>
          <w:bCs/>
          <w:noProof/>
        </w:rPr>
        <w:t>(iii)</w:t>
      </w:r>
      <w:r>
        <w:rPr>
          <w:bCs/>
          <w:noProof/>
        </w:rPr>
        <w:tab/>
      </w:r>
      <w:r>
        <w:rPr>
          <w:noProof/>
        </w:rPr>
        <w:t>Richtlijn 2013/59/Euratom van de Raad van 5 december 2013 tot vaststelling van de basisnormen voor de bescherming tegen de gevaren verbonden aan de blootstelling aan ioniserende straling, en houdende intrekking van de Richtlijnen 89/618/Euratom, 90/641/Euratom, 96/29/Euratom, 97/43/Euratom en 2003/122/Euratom</w:t>
      </w:r>
      <w:r>
        <w:rPr>
          <w:bCs/>
          <w:noProof/>
        </w:rPr>
        <w:t xml:space="preserve"> (PB L 13 van 17.1.2014, blz. 1);</w:t>
      </w:r>
    </w:p>
    <w:p>
      <w:pPr>
        <w:pStyle w:val="Point0"/>
        <w:rPr>
          <w:bCs/>
          <w:noProof/>
        </w:rPr>
      </w:pPr>
      <w:r>
        <w:rPr>
          <w:bCs/>
          <w:noProof/>
        </w:rPr>
        <w:t>(iv)</w:t>
      </w:r>
      <w:r>
        <w:rPr>
          <w:bCs/>
          <w:noProof/>
        </w:rPr>
        <w:tab/>
      </w:r>
      <w:r>
        <w:rPr>
          <w:noProof/>
        </w:rPr>
        <w:t>Richtlijn 2011/70/Euratom van de Raad van 19 juli 2011 tot vaststelling van een communautair kader voor een verantwoord en veilig beheer van verbruikte splijtstof en radioactief afval</w:t>
      </w:r>
      <w:r>
        <w:rPr>
          <w:bCs/>
          <w:noProof/>
        </w:rPr>
        <w:t xml:space="preserve"> (PB L 199 van 2.8.2011, blz. 48);</w:t>
      </w:r>
    </w:p>
    <w:p>
      <w:pPr>
        <w:pStyle w:val="Point0"/>
        <w:rPr>
          <w:bCs/>
          <w:noProof/>
        </w:rPr>
      </w:pPr>
      <w:r>
        <w:rPr>
          <w:bCs/>
          <w:noProof/>
        </w:rPr>
        <w:t>(v)</w:t>
      </w:r>
      <w:r>
        <w:rPr>
          <w:bCs/>
          <w:noProof/>
        </w:rPr>
        <w:tab/>
      </w:r>
      <w:r>
        <w:rPr>
          <w:noProof/>
        </w:rPr>
        <w:t>Richtlijn 2006/117/Euratom van de Raad van 20 november 2006 betreffende toezicht en controle op overbrenging van radioactieve afvalstoffen en bestraalde splijtstof</w:t>
      </w:r>
      <w:r>
        <w:rPr>
          <w:bCs/>
          <w:noProof/>
        </w:rPr>
        <w:t xml:space="preserve"> (PB L 337 van 5.12.2006, blz. 21).</w:t>
      </w:r>
    </w:p>
    <w:p>
      <w:pPr>
        <w:pStyle w:val="Point0"/>
        <w:rPr>
          <w:b/>
          <w:noProof/>
        </w:rPr>
      </w:pPr>
      <w:r>
        <w:rPr>
          <w:b/>
          <w:noProof/>
        </w:rPr>
        <w:t>G.</w:t>
      </w:r>
      <w:r>
        <w:rPr>
          <w:b/>
          <w:noProof/>
        </w:rPr>
        <w:tab/>
        <w:t xml:space="preserve">Artikel 1, onder a), punt vii) – voedsel- en diervoederveiligheid, diergezondheid en dierenwelzijn: </w:t>
      </w:r>
    </w:p>
    <w:p>
      <w:pPr>
        <w:pStyle w:val="Point0"/>
        <w:ind w:firstLine="0"/>
        <w:rPr>
          <w:noProof/>
        </w:rPr>
      </w:pPr>
      <w:r>
        <w:rPr>
          <w:noProof/>
        </w:rPr>
        <w:t>Levensmiddelen- en diervoederwetgeving van de Unie waarvoor de algemene beginselen en voorschriften gelden die zijn vastgesteld bij Verordening (EG) nr. 178/2002 van het Europees Parlement en de Raad van 28 januari 2002 tot vaststelling van de algemene beginselen en voorschriften van de levensmiddelenwetgeving, tot oprichting van een Europese Autoriteit voor voedselveiligheid en tot vaststelling van procedures voor voedselveiligheidsaangelegenheden (PB L 31 van 1.2.2002, blz. 1).</w:t>
      </w:r>
    </w:p>
    <w:p>
      <w:pPr>
        <w:pStyle w:val="Point0"/>
        <w:ind w:firstLine="0"/>
        <w:rPr>
          <w:noProof/>
        </w:rPr>
      </w:pPr>
      <w:r>
        <w:rPr>
          <w:noProof/>
        </w:rPr>
        <w:t>Diergezondheid, zoals geregeld bij Verordening (EU) 2016/429 van het Europees Parlement en de Raad van 9 maart 2016 betreffende overdraagbare dierziekten en tot wijziging en intrekking van bepaalde handelingen op het gebied van diergezondheid ("diergezondheidswetgeving") (PB L 84 van 31.3.2016, blz. 1).</w:t>
      </w:r>
    </w:p>
    <w:p>
      <w:pPr>
        <w:pStyle w:val="Point0"/>
        <w:ind w:firstLine="0"/>
        <w:rPr>
          <w:noProof/>
        </w:rPr>
      </w:pPr>
      <w:r>
        <w:rPr>
          <w:bCs/>
          <w:noProof/>
        </w:rPr>
        <w:t>Verordening (EU) 2017/625 van het Europees Parlement en de Raad van 15 maart 2017 betreffende officiële controles en andere officiële activiteiten die worden uitgevoerd om de toepassing van de levensmiddelen- en diervoederwetgeving en van de voorschriften inzake diergezondheid, dierenwelzijn, plantgezondheid en gewasbeschermingsmiddelen te waarborgen, tot wijziging van de Verordeningen (EG) nr. 999/2001, (EG) nr. 396/2005, (EG) nr. 1069/2009, (EG) nr. 1107/2009, (EU) nr. 1151/2012, (EU) nr. 652/2014, (EU) 2016/429 en (EU) 2016/2031 van het Europees Parlement en de Raad, de Verordeningen (EG) nr. 1/2005 en (EG) nr. 1099/2009 van de Raad en de Richtlijnen 98/58/EG, 1999/74/EG, 2007/43/EG, 2008/119/EG en 2008/120/EG van de Raad, en tot intrekking van de Verordeningen (EG) nr. 854/2004 en (EG) nr. 882/2004 van het Europees Parlement en de Raad, de Richtlijnen 89/608/EEG, 89/662/EEG, 90/425/EEG, 91/496/EEG, 96/23/EG, 96/93/EG en 97/78/EG van de Raad en Besluit 92/438/EEG van de Raad (verordening officiële controles)</w:t>
      </w:r>
      <w:r>
        <w:rPr>
          <w:noProof/>
        </w:rPr>
        <w:t xml:space="preserve"> (PB L 95 van 7.4.2017, blz. 1).</w:t>
      </w:r>
    </w:p>
    <w:p>
      <w:pPr>
        <w:pStyle w:val="NumPar1"/>
        <w:rPr>
          <w:noProof/>
        </w:rPr>
      </w:pPr>
      <w:r>
        <w:rPr>
          <w:noProof/>
        </w:rPr>
        <w:t xml:space="preserve">Bescherming van het dierenwelzijn, zoals geregeld bij: </w:t>
      </w:r>
    </w:p>
    <w:p>
      <w:pPr>
        <w:pStyle w:val="Point0"/>
        <w:rPr>
          <w:bCs/>
          <w:noProof/>
        </w:rPr>
      </w:pPr>
      <w:r>
        <w:rPr>
          <w:bCs/>
          <w:noProof/>
        </w:rPr>
        <w:t>(i)</w:t>
      </w:r>
      <w:r>
        <w:rPr>
          <w:bCs/>
          <w:noProof/>
        </w:rPr>
        <w:tab/>
      </w:r>
      <w:r>
        <w:rPr>
          <w:noProof/>
        </w:rPr>
        <w:t>Richtlijn 98/58/EG van de Raad van 20 juli 1998 inzake de bescherming van voor landbouwdoeleinden gehouden dieren</w:t>
      </w:r>
      <w:r>
        <w:rPr>
          <w:bCs/>
          <w:noProof/>
        </w:rPr>
        <w:t xml:space="preserve"> (PB L 221 van 8.8.1998, blz. 23);</w:t>
      </w:r>
    </w:p>
    <w:p>
      <w:pPr>
        <w:pStyle w:val="Point0"/>
        <w:rPr>
          <w:bCs/>
          <w:noProof/>
        </w:rPr>
      </w:pPr>
      <w:r>
        <w:rPr>
          <w:bCs/>
          <w:noProof/>
        </w:rPr>
        <w:t>(ii)</w:t>
      </w:r>
      <w:r>
        <w:rPr>
          <w:bCs/>
          <w:noProof/>
        </w:rPr>
        <w:tab/>
      </w:r>
      <w:r>
        <w:rPr>
          <w:noProof/>
        </w:rPr>
        <w:t>Verordening (EG) nr. 1/2005 van de Raad van 22 december 2004 inzake de bescherming van dieren tijdens het vervoer en daarmee samenhangende activiteiten en tot wijziging van de Richtlijnen 64/432/EEG en 93/119/EG en van Verordening (EG) nr. 1255/97</w:t>
      </w:r>
      <w:r>
        <w:rPr>
          <w:bCs/>
          <w:noProof/>
        </w:rPr>
        <w:t xml:space="preserve"> (PB L 3 van 5.1.2005, blz. 1);</w:t>
      </w:r>
    </w:p>
    <w:p>
      <w:pPr>
        <w:pStyle w:val="Point0"/>
        <w:rPr>
          <w:bCs/>
          <w:noProof/>
        </w:rPr>
      </w:pPr>
      <w:r>
        <w:rPr>
          <w:bCs/>
          <w:noProof/>
        </w:rPr>
        <w:t>(iii)</w:t>
      </w:r>
      <w:r>
        <w:rPr>
          <w:bCs/>
          <w:noProof/>
        </w:rPr>
        <w:tab/>
      </w:r>
      <w:r>
        <w:rPr>
          <w:noProof/>
        </w:rPr>
        <w:t xml:space="preserve">Verordening (EG) nr. 1099/2009 van de Raad van 24 september 2009 inzake de bescherming van dieren bij het doden </w:t>
      </w:r>
      <w:r>
        <w:rPr>
          <w:bCs/>
          <w:noProof/>
        </w:rPr>
        <w:t>(PB L 303 van 18.11.2009, blz. 1).</w:t>
      </w:r>
    </w:p>
    <w:p>
      <w:pPr>
        <w:pStyle w:val="Point0"/>
        <w:rPr>
          <w:b/>
          <w:noProof/>
        </w:rPr>
      </w:pPr>
      <w:r>
        <w:rPr>
          <w:b/>
          <w:noProof/>
        </w:rPr>
        <w:t>H.</w:t>
      </w:r>
      <w:r>
        <w:rPr>
          <w:b/>
          <w:noProof/>
        </w:rPr>
        <w:tab/>
        <w:t xml:space="preserve">Artikel 1, onder a), punt viii) – volksgezondheid: </w:t>
      </w:r>
    </w:p>
    <w:p>
      <w:pPr>
        <w:pStyle w:val="NumPar1"/>
        <w:numPr>
          <w:ilvl w:val="0"/>
          <w:numId w:val="10"/>
        </w:numPr>
        <w:rPr>
          <w:noProof/>
        </w:rPr>
      </w:pPr>
      <w:r>
        <w:rPr>
          <w:noProof/>
        </w:rPr>
        <w:t xml:space="preserve">Maatregelen waarbij strenge kwaliteits- en veiligheidsnormen worden vastgesteld voor organen en stoffen van menselijke oorsprong, zoals geregeld bij: </w:t>
      </w:r>
    </w:p>
    <w:p>
      <w:pPr>
        <w:pStyle w:val="Point0"/>
        <w:rPr>
          <w:noProof/>
        </w:rPr>
      </w:pPr>
      <w:r>
        <w:rPr>
          <w:noProof/>
        </w:rPr>
        <w:t>(i)</w:t>
      </w:r>
      <w:r>
        <w:rPr>
          <w:noProof/>
        </w:rPr>
        <w:tab/>
      </w:r>
      <w:r>
        <w:rPr>
          <w:bCs/>
          <w:noProof/>
        </w:rPr>
        <w:t>Richtlĳn 2002/98/EG van het Europees Parlement en de Raad van 27 januari 2003 tot vaststelling van kwaliteits- en veiligheidsnormen voor het inzamelen, testen, bewerken, opslaan en distribueren van bloed en bloedbestanddelen van menselĳke oorsprong en tot wĳziging van Richtlĳn 2001/83/EG van de Raad</w:t>
      </w:r>
      <w:r>
        <w:rPr>
          <w:noProof/>
        </w:rPr>
        <w:t xml:space="preserve"> (PB L 33 van 8.2.2003, blz. 30); </w:t>
      </w:r>
    </w:p>
    <w:p>
      <w:pPr>
        <w:pStyle w:val="Point0"/>
        <w:rPr>
          <w:noProof/>
        </w:rPr>
      </w:pPr>
      <w:r>
        <w:rPr>
          <w:noProof/>
        </w:rPr>
        <w:t>(ii)</w:t>
      </w:r>
      <w:r>
        <w:rPr>
          <w:noProof/>
        </w:rPr>
        <w:tab/>
      </w:r>
      <w:r>
        <w:rPr>
          <w:bCs/>
          <w:noProof/>
        </w:rPr>
        <w:t>Richtlĳn 2004/23/EG van het Europees Parlement en de Raad van 31 maart 2004 tot vaststelling van kwaliteits- en veiligheidsnormen voor het doneren, verkrĳgen, testen, bewerken, bewaren en distribueren van menselĳke weefsels en cellen</w:t>
      </w:r>
      <w:r>
        <w:rPr>
          <w:noProof/>
        </w:rPr>
        <w:t xml:space="preserve"> (PB L 102 van 7.4.2004, blz. 48);</w:t>
      </w:r>
    </w:p>
    <w:p>
      <w:pPr>
        <w:pStyle w:val="Point0"/>
        <w:rPr>
          <w:noProof/>
        </w:rPr>
      </w:pPr>
      <w:r>
        <w:rPr>
          <w:noProof/>
        </w:rPr>
        <w:t>(iii)</w:t>
      </w:r>
      <w:r>
        <w:rPr>
          <w:noProof/>
        </w:rPr>
        <w:tab/>
      </w:r>
      <w:r>
        <w:rPr>
          <w:bCs/>
          <w:noProof/>
        </w:rPr>
        <w:t>Richtlijn 2010/45/EU van het Europees Parlement en de Raad van 7 juli 2010 inzake kwaliteits- en veiligheidsnormen voor menselijke organen, bestemd voor transplantatie</w:t>
      </w:r>
      <w:r>
        <w:rPr>
          <w:noProof/>
        </w:rPr>
        <w:t xml:space="preserve"> (PB L 207 van 6.8.2010, blz. 14).</w:t>
      </w:r>
    </w:p>
    <w:p>
      <w:pPr>
        <w:pStyle w:val="NumPar1"/>
        <w:rPr>
          <w:noProof/>
        </w:rPr>
      </w:pPr>
      <w:r>
        <w:rPr>
          <w:noProof/>
        </w:rPr>
        <w:t xml:space="preserve">Maatregelen waarbij strenge kwaliteits- en veiligheidseisen worden gesteld aan geneesmiddelen en medische hulpmiddelen, zoals geregeld bij: </w:t>
      </w:r>
    </w:p>
    <w:p>
      <w:pPr>
        <w:pStyle w:val="Point0"/>
        <w:rPr>
          <w:noProof/>
        </w:rPr>
      </w:pPr>
      <w:r>
        <w:rPr>
          <w:noProof/>
        </w:rPr>
        <w:t>(i)</w:t>
      </w:r>
      <w:r>
        <w:rPr>
          <w:noProof/>
        </w:rPr>
        <w:tab/>
      </w:r>
      <w:r>
        <w:rPr>
          <w:bCs/>
          <w:noProof/>
        </w:rPr>
        <w:t>Verordening (EG) nr. 141/2000 van het Europees Parlement en de Raad van 16 december 1999 inzake weesgeneesmiddelen</w:t>
      </w:r>
      <w:r>
        <w:rPr>
          <w:noProof/>
        </w:rPr>
        <w:t xml:space="preserve"> (PB L 18 van 22.1.2000, blz. 1); </w:t>
      </w:r>
    </w:p>
    <w:p>
      <w:pPr>
        <w:pStyle w:val="Point0"/>
        <w:rPr>
          <w:noProof/>
        </w:rPr>
      </w:pPr>
      <w:r>
        <w:rPr>
          <w:noProof/>
        </w:rPr>
        <w:t>(ii)</w:t>
      </w:r>
      <w:r>
        <w:rPr>
          <w:noProof/>
        </w:rPr>
        <w:tab/>
      </w:r>
      <w:r>
        <w:rPr>
          <w:bCs/>
          <w:noProof/>
        </w:rPr>
        <w:t>Richtlijn 2001/83/EG van het Europees Parlement en de Raad van 6 november 2001 tot vaststelling van een communautair wetboek betreffende geneesmiddelen voor menselijk gebruik</w:t>
      </w:r>
      <w:r>
        <w:rPr>
          <w:noProof/>
        </w:rPr>
        <w:t xml:space="preserve"> (PB L 311 van 28.11.2001, blz. 67); </w:t>
      </w:r>
    </w:p>
    <w:p>
      <w:pPr>
        <w:pStyle w:val="Point0"/>
        <w:rPr>
          <w:noProof/>
        </w:rPr>
      </w:pPr>
      <w:r>
        <w:rPr>
          <w:noProof/>
        </w:rPr>
        <w:t>(iii)</w:t>
      </w:r>
      <w:r>
        <w:rPr>
          <w:noProof/>
        </w:rPr>
        <w:tab/>
      </w:r>
      <w:r>
        <w:rPr>
          <w:bCs/>
          <w:noProof/>
        </w:rPr>
        <w:t>Richtlijn 2001/82/EG van het Europees Parlement en de Raad van 6 november 2001 tot vaststelling van een communautair wetboek betreffende geneesmiddelen voor diergeneeskundig gebruik</w:t>
      </w:r>
      <w:r>
        <w:rPr>
          <w:noProof/>
        </w:rPr>
        <w:t xml:space="preserve"> (PB L 311 van 28.11.2001, blz. 1);</w:t>
      </w:r>
    </w:p>
    <w:p>
      <w:pPr>
        <w:pStyle w:val="Point0"/>
        <w:rPr>
          <w:noProof/>
        </w:rPr>
      </w:pPr>
      <w:r>
        <w:rPr>
          <w:noProof/>
        </w:rPr>
        <w:t>(iv)</w:t>
      </w:r>
      <w:r>
        <w:rPr>
          <w:noProof/>
        </w:rPr>
        <w:tab/>
      </w:r>
      <w:r>
        <w:rPr>
          <w:bCs/>
          <w:noProof/>
        </w:rPr>
        <w:t xml:space="preserve">Verordening (EG) nr. 726/2004 van het Europees Parlement en de Raad van 31 maart 2004 tot vaststelling van communautaire procedures voor het verlenen van vergunningen en het toezicht op geneesmiddelen voor menselijk en diergeneeskundig gebruik en tot oprichting van een Europees Geneesmiddelenbureau </w:t>
      </w:r>
      <w:r>
        <w:rPr>
          <w:noProof/>
        </w:rPr>
        <w:t>(PB L 136 van 30.4.2004, blz. 1);</w:t>
      </w:r>
    </w:p>
    <w:p>
      <w:pPr>
        <w:pStyle w:val="Point0"/>
        <w:rPr>
          <w:noProof/>
        </w:rPr>
      </w:pPr>
      <w:r>
        <w:rPr>
          <w:noProof/>
        </w:rPr>
        <w:t>(v)</w:t>
      </w:r>
      <w:r>
        <w:rPr>
          <w:noProof/>
        </w:rPr>
        <w:tab/>
      </w:r>
      <w:r>
        <w:rPr>
          <w:bCs/>
          <w:noProof/>
        </w:rPr>
        <w:t xml:space="preserve">Verordening (EG) nr. 1901/2006 van het Europees Parlement en de Raad van 12 december 2006 betreffende geneesmiddelen voor pediatrisch gebruik en tot wijziging van Verordening (EEG) nr. 1768/92, Richtlijn 2001/20/EG, Richtlijn 2001/83/EG en Verordening (EG) nr. 726/2004 </w:t>
      </w:r>
      <w:r>
        <w:rPr>
          <w:noProof/>
        </w:rPr>
        <w:t>(PB L 378 van 27.12.2006, blz. 1);</w:t>
      </w:r>
    </w:p>
    <w:p>
      <w:pPr>
        <w:pStyle w:val="Point0"/>
        <w:rPr>
          <w:noProof/>
        </w:rPr>
      </w:pPr>
      <w:r>
        <w:rPr>
          <w:noProof/>
        </w:rPr>
        <w:t>(vi)</w:t>
      </w:r>
      <w:r>
        <w:rPr>
          <w:noProof/>
        </w:rPr>
        <w:tab/>
      </w:r>
      <w:r>
        <w:rPr>
          <w:bCs/>
          <w:noProof/>
        </w:rPr>
        <w:t>Verordening (EG) nr. 1394/2007 van het Europees Parlement en de Raad van 13 november 2007 betreffende geneesmiddelen voor geavanceerde therapie en tot wijziging van Richtlijn 2001/83/EG en Verordening (EG) nr. 726/2004 (PB</w:t>
      </w:r>
      <w:r>
        <w:rPr>
          <w:noProof/>
        </w:rPr>
        <w:t xml:space="preserve"> L 324 van 10.12.2007, blz. 121); </w:t>
      </w:r>
    </w:p>
    <w:p>
      <w:pPr>
        <w:pStyle w:val="Point0"/>
        <w:rPr>
          <w:noProof/>
        </w:rPr>
      </w:pPr>
      <w:r>
        <w:rPr>
          <w:noProof/>
        </w:rPr>
        <w:t>(vii)</w:t>
      </w:r>
      <w:r>
        <w:rPr>
          <w:noProof/>
        </w:rPr>
        <w:tab/>
      </w:r>
      <w:r>
        <w:rPr>
          <w:bCs/>
          <w:noProof/>
        </w:rPr>
        <w:t xml:space="preserve">Verordening (EU) nr. 536/2014 van het Europees Parlement en de Raad van 16 april 2014 betreffende klinische proeven met geneesmiddelen voor menselijk gebruik en tot intrekking van Richtlijn 2001/20/EG </w:t>
      </w:r>
      <w:r>
        <w:rPr>
          <w:noProof/>
        </w:rPr>
        <w:t>(PB L 158 van 27.5.2014, blz. 1).</w:t>
      </w:r>
    </w:p>
    <w:p>
      <w:pPr>
        <w:pStyle w:val="NumPar1"/>
        <w:rPr>
          <w:noProof/>
        </w:rPr>
      </w:pPr>
      <w:r>
        <w:rPr>
          <w:noProof/>
        </w:rPr>
        <w:t>Ernstige grensoverschrijdende bedreigingen van de gezondheid, zoals geregeld bij Besluit nr. 1082/2013/EU van het Europees Parlement en de Raad van 22 oktober 2013 over ernstige grensoverschrijdende bedreigingen van de gezondheid en houdende intrekking van Beschikking nr. 2119/98/EG (PB L 293 van 5.11.2013, blz. 1).</w:t>
      </w:r>
    </w:p>
    <w:p>
      <w:pPr>
        <w:pStyle w:val="NumPar1"/>
        <w:rPr>
          <w:noProof/>
        </w:rPr>
      </w:pPr>
      <w:r>
        <w:rPr>
          <w:noProof/>
        </w:rPr>
        <w:t>Rechten van patiënten, zoals geregeld bij Richtlijn 2011/24/EU van het Europees Parlement en de Raad van 9 maart 2011 betreffende de toepassing van de rechten van patiënten bij grensoverschrijdende gezondheidszorg (PB L 88 van 4.4.2011, blz. 45).</w:t>
      </w:r>
    </w:p>
    <w:p>
      <w:pPr>
        <w:pStyle w:val="NumPar1"/>
        <w:rPr>
          <w:noProof/>
        </w:rPr>
      </w:pPr>
      <w:r>
        <w:rPr>
          <w:noProof/>
        </w:rPr>
        <w:t>Productie, presentatie en verkoop van tabaks- en aanverwante producten, zoals geregeld bij Richtlijn 2014/40/EU van het Europees Parlement en de Raad van 3 april 2014 betreffende de onderlinge aanpassing van de wettelijke en bestuursrechtelijke bepalingen van de lidstaten inzake de productie, de presentatie en de verkoop van tabaks- en aanverwante producten en tot intrekking van Richtlijn 2001/37/EG (PB L 127 van 29.4.2014, blz. 1).</w:t>
      </w:r>
    </w:p>
    <w:p>
      <w:pPr>
        <w:pStyle w:val="Point0"/>
        <w:rPr>
          <w:b/>
          <w:noProof/>
        </w:rPr>
      </w:pPr>
      <w:r>
        <w:rPr>
          <w:b/>
          <w:noProof/>
        </w:rPr>
        <w:t>I.</w:t>
      </w:r>
      <w:r>
        <w:rPr>
          <w:b/>
          <w:noProof/>
        </w:rPr>
        <w:tab/>
        <w:t xml:space="preserve">Artikel 1, onder a), punt ix) – consumentenbescherming: </w:t>
      </w:r>
    </w:p>
    <w:p>
      <w:pPr>
        <w:rPr>
          <w:noProof/>
        </w:rPr>
      </w:pPr>
      <w:r>
        <w:rPr>
          <w:noProof/>
        </w:rPr>
        <w:t>Consumentenrechten en consumentenbescherming, zoals geregeld bij:</w:t>
      </w:r>
    </w:p>
    <w:p>
      <w:pPr>
        <w:pStyle w:val="Point0"/>
        <w:rPr>
          <w:noProof/>
        </w:rPr>
      </w:pPr>
      <w:r>
        <w:rPr>
          <w:noProof/>
        </w:rPr>
        <w:t>(i)</w:t>
      </w:r>
      <w:r>
        <w:rPr>
          <w:noProof/>
        </w:rPr>
        <w:tab/>
      </w:r>
      <w:r>
        <w:rPr>
          <w:bCs/>
          <w:noProof/>
        </w:rPr>
        <w:t>Richtlijn 98/6/EG van het Europees Parlement en de Raad van 16 februari 1998 betreffende de bescherming van de consument inzake de prijsaanduiding van aan de consument aangeboden producten</w:t>
      </w:r>
      <w:r>
        <w:rPr>
          <w:noProof/>
        </w:rPr>
        <w:t xml:space="preserve"> (PB L 80 van 18.3.1998, blz. 27);</w:t>
      </w:r>
    </w:p>
    <w:p>
      <w:pPr>
        <w:pStyle w:val="Point0"/>
        <w:rPr>
          <w:noProof/>
        </w:rPr>
      </w:pPr>
      <w:r>
        <w:rPr>
          <w:noProof/>
        </w:rPr>
        <w:t>(ii)</w:t>
      </w:r>
      <w:r>
        <w:rPr>
          <w:noProof/>
        </w:rPr>
        <w:tab/>
      </w:r>
      <w:r>
        <w:rPr>
          <w:bCs/>
          <w:noProof/>
        </w:rPr>
        <w:t>Richtlijn 1999/44/EG van het Europees Parlement en de Raad van 25 mei 1999 betreffende bepaalde aspecten van de verkoop van en de garanties voor consumptiegoederen</w:t>
      </w:r>
      <w:r>
        <w:rPr>
          <w:noProof/>
        </w:rPr>
        <w:t xml:space="preserve"> (PB L 171 van 7.7.1999, blz. 12);</w:t>
      </w:r>
    </w:p>
    <w:p>
      <w:pPr>
        <w:pStyle w:val="Point0"/>
        <w:rPr>
          <w:noProof/>
        </w:rPr>
      </w:pPr>
      <w:r>
        <w:rPr>
          <w:noProof/>
        </w:rPr>
        <w:t>(iii)</w:t>
      </w:r>
      <w:r>
        <w:rPr>
          <w:noProof/>
        </w:rPr>
        <w:tab/>
      </w:r>
      <w:r>
        <w:rPr>
          <w:bCs/>
          <w:noProof/>
        </w:rPr>
        <w:t>Richtlĳn 2002/65/EG van het Europees Parlement en de Raad van 23 september 2002 betreffende de verkoop op afstand van financiële diensten aan consumenten en tot wĳziging van de Richtlĳnen 90/619/EEG, 97/7/EG en 98/27/EG van de Raad</w:t>
      </w:r>
      <w:r>
        <w:rPr>
          <w:noProof/>
        </w:rPr>
        <w:t xml:space="preserve"> (PB L 271 van 9.10.2002, blz. 16);</w:t>
      </w:r>
    </w:p>
    <w:p>
      <w:pPr>
        <w:pStyle w:val="Point0"/>
        <w:rPr>
          <w:noProof/>
        </w:rPr>
      </w:pPr>
      <w:r>
        <w:rPr>
          <w:noProof/>
        </w:rPr>
        <w:t>(iv)</w:t>
      </w:r>
      <w:r>
        <w:rPr>
          <w:noProof/>
        </w:rPr>
        <w:tab/>
      </w:r>
      <w:r>
        <w:rPr>
          <w:bCs/>
          <w:noProof/>
        </w:rPr>
        <w:t xml:space="preserve">Richtlijn 2005/29/EG van het Europees Parlement en de Raad van 11 mei 2005 betreffende oneerlijke handelspraktijken van ondernemingen jegens consumenten op de interne markt en tot wijziging van Richtlijn 84/450/EEG van de Raad, Richtlijnen 97/7/EG, 98/27/EG en 2002/65/EG van het Europees Parlement en de Raad en van Verordening (EG) nr. 2006/2004 van het Europees Parlement en de Raad („Richtlijn oneerlijke handelspraktijken”) </w:t>
      </w:r>
      <w:r>
        <w:rPr>
          <w:noProof/>
        </w:rPr>
        <w:t>(PB L 149 van 11.6.2005, blz. 22);</w:t>
      </w:r>
    </w:p>
    <w:p>
      <w:pPr>
        <w:pStyle w:val="Point0"/>
        <w:rPr>
          <w:noProof/>
        </w:rPr>
      </w:pPr>
      <w:r>
        <w:rPr>
          <w:noProof/>
        </w:rPr>
        <w:t>(v)</w:t>
      </w:r>
      <w:r>
        <w:rPr>
          <w:noProof/>
        </w:rPr>
        <w:tab/>
      </w:r>
      <w:r>
        <w:rPr>
          <w:bCs/>
          <w:noProof/>
        </w:rPr>
        <w:t>Richtlijn 2008/48/EG van het Europees Parlement en de Raad van 23 april 2008 inzake kredietovereenkomsten voor consumenten en tot intrekking van Richtlijn 87/102/EEG van de Raad</w:t>
      </w:r>
      <w:r>
        <w:rPr>
          <w:noProof/>
        </w:rPr>
        <w:t xml:space="preserve"> (PB L 133 van 22.5.2008, blz. 66);</w:t>
      </w:r>
    </w:p>
    <w:p>
      <w:pPr>
        <w:pStyle w:val="Point0"/>
        <w:rPr>
          <w:noProof/>
        </w:rPr>
      </w:pPr>
      <w:r>
        <w:rPr>
          <w:noProof/>
        </w:rPr>
        <w:t>(vi)</w:t>
      </w:r>
      <w:r>
        <w:rPr>
          <w:noProof/>
        </w:rPr>
        <w:tab/>
      </w:r>
      <w:r>
        <w:rPr>
          <w:bCs/>
          <w:noProof/>
        </w:rPr>
        <w:t xml:space="preserve">Richtlijn 2011/83/EU van het Europees Parlement en de Raad van 25 oktober 2011 betreffende consumentenrechten, tot wijziging van Richtlijn 93/13/EEG van de Raad en van Richtlijn 1999/44/EG van het Europees Parlement en de Raad en tot intrekking van Richtlijn 85/577/EEG en van Richtlijn 97/7/EG van het Europees Parlement en de Raad </w:t>
      </w:r>
      <w:r>
        <w:rPr>
          <w:noProof/>
        </w:rPr>
        <w:t>(PB L 304 van 22.11.2011, blz. 64);</w:t>
      </w:r>
    </w:p>
    <w:p>
      <w:pPr>
        <w:pStyle w:val="Point0"/>
        <w:rPr>
          <w:noProof/>
        </w:rPr>
      </w:pPr>
      <w:r>
        <w:rPr>
          <w:noProof/>
        </w:rPr>
        <w:t>(vii)</w:t>
      </w:r>
      <w:r>
        <w:rPr>
          <w:noProof/>
        </w:rPr>
        <w:tab/>
      </w:r>
      <w:r>
        <w:rPr>
          <w:bCs/>
          <w:noProof/>
        </w:rPr>
        <w:t xml:space="preserve">Richtlijn 2014/92/EU van het Europees Parlement en de Raad van 23 juli 2014 betreffende de vergelijkbaarheid van de in verband met betaalrekeningen aangerekende vergoedingen, het overstappen naar een andere betaalrekening en de toegang tot betaalrekeningen met basisfuncties </w:t>
      </w:r>
      <w:r>
        <w:rPr>
          <w:noProof/>
        </w:rPr>
        <w:t>(PB L 257 van 28.8.2014, blz. 214).</w:t>
      </w:r>
    </w:p>
    <w:p>
      <w:pPr>
        <w:pStyle w:val="Point0"/>
        <w:rPr>
          <w:b/>
          <w:noProof/>
        </w:rPr>
      </w:pPr>
      <w:r>
        <w:rPr>
          <w:b/>
          <w:noProof/>
        </w:rPr>
        <w:t>J.</w:t>
      </w:r>
      <w:r>
        <w:rPr>
          <w:b/>
          <w:noProof/>
        </w:rPr>
        <w:tab/>
        <w:t xml:space="preserve">Artikel 1, onder a), punt x) – bescherming van de persoonlĳke levenssfeer  en persoonsgegevens, en beveiliging van netwerk- en informatiesystemen: </w:t>
      </w:r>
    </w:p>
    <w:p>
      <w:pPr>
        <w:pStyle w:val="Point0"/>
        <w:rPr>
          <w:bCs/>
          <w:noProof/>
        </w:rPr>
      </w:pPr>
      <w:r>
        <w:rPr>
          <w:bCs/>
          <w:noProof/>
        </w:rPr>
        <w:t>(i)</w:t>
      </w:r>
      <w:r>
        <w:rPr>
          <w:bCs/>
          <w:noProof/>
        </w:rPr>
        <w:tab/>
      </w:r>
      <w:r>
        <w:rPr>
          <w:noProof/>
        </w:rPr>
        <w:t>Richtlĳn 2002/58/EG van het Europees Parlement en de Raad van 12 juli 2002 betreffende de verwerking van persoonsgegevens en de bescherming van de persoonlĳke levenssfeer in de sector elektronische communicatie (richtlĳn betreffende privacy en elektronische communicatie)</w:t>
      </w:r>
      <w:r>
        <w:rPr>
          <w:bCs/>
          <w:noProof/>
        </w:rPr>
        <w:t xml:space="preserve"> (PB L 201 van 31.7.2002, blz. 37);</w:t>
      </w:r>
    </w:p>
    <w:p>
      <w:pPr>
        <w:pStyle w:val="Point0"/>
        <w:rPr>
          <w:bCs/>
          <w:noProof/>
        </w:rPr>
      </w:pPr>
      <w:r>
        <w:rPr>
          <w:bCs/>
          <w:noProof/>
        </w:rPr>
        <w:t>(ii)</w:t>
      </w:r>
      <w:r>
        <w:rPr>
          <w:bCs/>
          <w:noProof/>
        </w:rPr>
        <w:tab/>
      </w:r>
      <w:r>
        <w:rPr>
          <w:noProof/>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Pr>
          <w:bCs/>
          <w:noProof/>
        </w:rPr>
        <w:t xml:space="preserve"> (PB L 119 van 4.5.2016, blz. 1);</w:t>
      </w:r>
    </w:p>
    <w:p>
      <w:pPr>
        <w:pStyle w:val="Point0"/>
        <w:rPr>
          <w:bCs/>
          <w:noProof/>
        </w:rPr>
      </w:pPr>
      <w:r>
        <w:rPr>
          <w:bCs/>
          <w:noProof/>
        </w:rPr>
        <w:t>(iii)</w:t>
      </w:r>
      <w:r>
        <w:rPr>
          <w:bCs/>
          <w:noProof/>
        </w:rPr>
        <w:tab/>
      </w:r>
      <w:r>
        <w:rPr>
          <w:noProof/>
        </w:rPr>
        <w:t>Richtlijn (EU) 2016/1148 van het Europees Parlement en de Raad van 6 juli 2016 houdende maatregelen voor een hoog gemeenschappelijk niveau van beveiliging van netwerk- en informatiesystemen in de Unie</w:t>
      </w:r>
      <w:r>
        <w:rPr>
          <w:bCs/>
          <w:noProof/>
        </w:rPr>
        <w:t xml:space="preserve"> (PB L 194 van 19.7.2016, blz. 1).</w:t>
      </w:r>
    </w:p>
    <w:p>
      <w:pPr>
        <w:rPr>
          <w:noProof/>
        </w:rPr>
      </w:pPr>
    </w:p>
    <w:p>
      <w:pPr>
        <w:jc w:val="center"/>
        <w:rPr>
          <w:b/>
          <w:noProof/>
          <w:szCs w:val="24"/>
        </w:rPr>
      </w:pPr>
      <w:r>
        <w:rPr>
          <w:b/>
          <w:noProof/>
          <w:szCs w:val="24"/>
        </w:rPr>
        <w:t>Deel II</w:t>
      </w:r>
    </w:p>
    <w:p>
      <w:pPr>
        <w:rPr>
          <w:rFonts w:eastAsia="Calibri"/>
          <w:b/>
          <w:noProof/>
          <w:szCs w:val="24"/>
        </w:rPr>
      </w:pPr>
      <w:r>
        <w:rPr>
          <w:rFonts w:eastAsia="Calibri"/>
          <w:noProof/>
          <w:szCs w:val="24"/>
        </w:rPr>
        <w:t>Artikel 1, lid 2, van de richtlijn heeft betrekking op de volgende wetgeving van de Unie</w:t>
      </w:r>
      <w:r>
        <w:rPr>
          <w:rFonts w:eastAsia="Calibri"/>
          <w:b/>
          <w:noProof/>
          <w:szCs w:val="24"/>
        </w:rPr>
        <w:t>:</w:t>
      </w:r>
    </w:p>
    <w:p>
      <w:pPr>
        <w:pStyle w:val="Point0"/>
        <w:rPr>
          <w:b/>
          <w:noProof/>
        </w:rPr>
      </w:pPr>
      <w:r>
        <w:rPr>
          <w:b/>
          <w:noProof/>
        </w:rPr>
        <w:t>A.</w:t>
      </w:r>
      <w:r>
        <w:rPr>
          <w:b/>
          <w:noProof/>
        </w:rPr>
        <w:tab/>
        <w:t xml:space="preserve">Artikel 1, onder a), punt ii) – financiële diensten, voorkoming van witwassen van geld en terrorismefinanciering: </w:t>
      </w:r>
    </w:p>
    <w:p>
      <w:pPr>
        <w:pStyle w:val="NumPar1"/>
        <w:numPr>
          <w:ilvl w:val="0"/>
          <w:numId w:val="11"/>
        </w:numPr>
        <w:rPr>
          <w:b/>
          <w:noProof/>
        </w:rPr>
      </w:pPr>
      <w:r>
        <w:rPr>
          <w:b/>
          <w:noProof/>
        </w:rPr>
        <w:t>Financiële diensten:</w:t>
      </w:r>
    </w:p>
    <w:p>
      <w:pPr>
        <w:pStyle w:val="Point0"/>
        <w:rPr>
          <w:noProof/>
        </w:rPr>
      </w:pPr>
      <w:r>
        <w:rPr>
          <w:noProof/>
        </w:rPr>
        <w:t>(i)</w:t>
      </w:r>
      <w:r>
        <w:rPr>
          <w:noProof/>
        </w:rPr>
        <w:tab/>
      </w:r>
      <w:r>
        <w:rPr>
          <w:bCs/>
          <w:noProof/>
        </w:rPr>
        <w:t xml:space="preserve">Richtlijn 2009/65/EG van het Europees Parlement en de Raad van 13 juli 2009 tot coördinatie van de wettelijke en bestuursrechtelijke bepalingen betreffende bepaalde instellingen voor collectieve belegging in effecten (icbe’s) </w:t>
      </w:r>
      <w:r>
        <w:rPr>
          <w:noProof/>
        </w:rPr>
        <w:t>(PB L 302 van 17.11.2009, blz. 32);</w:t>
      </w:r>
    </w:p>
    <w:p>
      <w:pPr>
        <w:pStyle w:val="Point0"/>
        <w:rPr>
          <w:noProof/>
        </w:rPr>
      </w:pPr>
      <w:r>
        <w:rPr>
          <w:noProof/>
        </w:rPr>
        <w:t>(ii)</w:t>
      </w:r>
      <w:r>
        <w:rPr>
          <w:noProof/>
        </w:rPr>
        <w:tab/>
      </w:r>
      <w:r>
        <w:rPr>
          <w:bCs/>
          <w:noProof/>
        </w:rPr>
        <w:t xml:space="preserve">Richtlijn (EU) 2016/2341 van het Europees Parlement en de Raad van 14 december 2016 betreffende de werkzaamheden van en het toezicht op instellingen voor bedrijfspensioenvoorziening (IBPV's) </w:t>
      </w:r>
      <w:r>
        <w:rPr>
          <w:noProof/>
        </w:rPr>
        <w:t>(PB L 354 van 23.12.2016, blz. 37);</w:t>
      </w:r>
    </w:p>
    <w:p>
      <w:pPr>
        <w:pStyle w:val="Point0"/>
        <w:rPr>
          <w:noProof/>
        </w:rPr>
      </w:pPr>
      <w:r>
        <w:rPr>
          <w:noProof/>
        </w:rPr>
        <w:t>(iii)</w:t>
      </w:r>
      <w:r>
        <w:rPr>
          <w:noProof/>
        </w:rPr>
        <w:tab/>
      </w:r>
      <w:r>
        <w:rPr>
          <w:bCs/>
          <w:noProof/>
        </w:rPr>
        <w:t xml:space="preserve">Richtlijn 2006/43/EG van het Europees Parlement en de Raad van 17 mei 2006 betreffende de wettelijke controles van jaarrekeningen en geconsolideerde jaarrekeningen, tot wijziging van de Richtlijnen 78/660/EEG en 83/349/EEG van de Raad en houdende intrekking van Richtlijn 84/253/EEG van de Raad </w:t>
      </w:r>
      <w:r>
        <w:rPr>
          <w:noProof/>
        </w:rPr>
        <w:t>(PB L 157 van 9.6.2006, blz. 87);</w:t>
      </w:r>
    </w:p>
    <w:p>
      <w:pPr>
        <w:pStyle w:val="Point0"/>
        <w:rPr>
          <w:noProof/>
        </w:rPr>
      </w:pPr>
      <w:r>
        <w:rPr>
          <w:noProof/>
        </w:rPr>
        <w:t>(iv)</w:t>
      </w:r>
      <w:r>
        <w:rPr>
          <w:noProof/>
        </w:rPr>
        <w:tab/>
      </w:r>
      <w:r>
        <w:rPr>
          <w:bCs/>
          <w:noProof/>
        </w:rPr>
        <w:t>Verordening (EU) nr. 596/2014 van het Europees Parlement en de Raad van 16 april 2014 betreffende marktmisbruik (Verordening marktmisbruik) en houdende intrekking van Richtlijn 2003/6/EG van het Europees Parlement en de Raad en Richtlijnen 2003/124, 2003/125/EG en 2004/72/EG van de Commissie</w:t>
      </w:r>
      <w:r>
        <w:rPr>
          <w:noProof/>
        </w:rPr>
        <w:t xml:space="preserve"> (PB L 173 van 12.6.2014, blz. 1);</w:t>
      </w:r>
    </w:p>
    <w:p>
      <w:pPr>
        <w:pStyle w:val="Point0"/>
        <w:rPr>
          <w:noProof/>
        </w:rPr>
      </w:pPr>
      <w:r>
        <w:rPr>
          <w:noProof/>
        </w:rPr>
        <w:t>(v)</w:t>
      </w:r>
      <w:r>
        <w:rPr>
          <w:noProof/>
        </w:rPr>
        <w:tab/>
      </w:r>
      <w:r>
        <w:rPr>
          <w:bCs/>
          <w:noProof/>
        </w:rPr>
        <w:t xml:space="preserve">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 </w:t>
      </w:r>
      <w:r>
        <w:rPr>
          <w:noProof/>
        </w:rPr>
        <w:t>(PB L 176 van 27.6.2013, blz. 338);</w:t>
      </w:r>
    </w:p>
    <w:p>
      <w:pPr>
        <w:pStyle w:val="Point0"/>
        <w:rPr>
          <w:noProof/>
        </w:rPr>
      </w:pPr>
      <w:r>
        <w:rPr>
          <w:noProof/>
        </w:rPr>
        <w:t>(vi)</w:t>
      </w:r>
      <w:r>
        <w:rPr>
          <w:noProof/>
        </w:rPr>
        <w:tab/>
      </w:r>
      <w:r>
        <w:rPr>
          <w:bCs/>
          <w:noProof/>
        </w:rPr>
        <w:t xml:space="preserve">Richtlijn 2014/65/EU van het Europees Parlement en de Raad van 15 mei 2014 betreffende markten voor financiële instrumenten en tot wijziging van Richtlijn 2002/92/EG en Richtlijn 2011/61/EU </w:t>
      </w:r>
      <w:r>
        <w:rPr>
          <w:noProof/>
        </w:rPr>
        <w:t>(PB L 173 van 12.6.2014, blz. 349);</w:t>
      </w:r>
    </w:p>
    <w:p>
      <w:pPr>
        <w:pStyle w:val="Point0"/>
        <w:rPr>
          <w:noProof/>
        </w:rPr>
      </w:pPr>
      <w:r>
        <w:rPr>
          <w:noProof/>
        </w:rPr>
        <w:t>(vii)</w:t>
      </w:r>
      <w:r>
        <w:rPr>
          <w:noProof/>
        </w:rPr>
        <w:tab/>
      </w:r>
      <w:r>
        <w:rPr>
          <w:bCs/>
          <w:noProof/>
        </w:rPr>
        <w:t xml:space="preserve">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w:t>
      </w:r>
      <w:r>
        <w:rPr>
          <w:noProof/>
        </w:rPr>
        <w:t>(PB L 257 van 28.8.2014, blz. 1);</w:t>
      </w:r>
    </w:p>
    <w:p>
      <w:pPr>
        <w:pStyle w:val="Point0"/>
        <w:rPr>
          <w:noProof/>
        </w:rPr>
      </w:pPr>
      <w:r>
        <w:rPr>
          <w:noProof/>
        </w:rPr>
        <w:t>(viii)</w:t>
      </w:r>
      <w:r>
        <w:rPr>
          <w:noProof/>
        </w:rPr>
        <w:tab/>
      </w:r>
      <w:r>
        <w:rPr>
          <w:bCs/>
          <w:noProof/>
        </w:rPr>
        <w:t xml:space="preserve">Verordening (EU) nr. 1286/2014 van het Europees Parlement en de Raad van 26 november 2014 over essentiële-informatiedocumenten voor verpakte retailbeleggingsproducten en verzekeringsgebaseerde beleggingsproducten (PRIIP's) </w:t>
      </w:r>
      <w:r>
        <w:rPr>
          <w:noProof/>
        </w:rPr>
        <w:t>(PB L 352 van 9.12.2014, blz. 1);</w:t>
      </w:r>
    </w:p>
    <w:p>
      <w:pPr>
        <w:pStyle w:val="Point0"/>
        <w:rPr>
          <w:noProof/>
        </w:rPr>
      </w:pPr>
      <w:r>
        <w:rPr>
          <w:noProof/>
        </w:rPr>
        <w:t>(ix)</w:t>
      </w:r>
      <w:r>
        <w:rPr>
          <w:noProof/>
        </w:rPr>
        <w:tab/>
      </w:r>
      <w:r>
        <w:rPr>
          <w:bCs/>
          <w:noProof/>
        </w:rPr>
        <w:t xml:space="preserve">Verordening (EU) 2015/2365 van het Europees Parlement en de Raad van 25 november 2015 betreffende de transparantie van effectenfinancieringstransacties en van hergebruik en tot wijziging van Verordening (EU) nr. 648/2012 </w:t>
      </w:r>
      <w:r>
        <w:rPr>
          <w:noProof/>
        </w:rPr>
        <w:t>(PB L 337 van 23.12.2015, blz. 1);</w:t>
      </w:r>
    </w:p>
    <w:p>
      <w:pPr>
        <w:pStyle w:val="Point0"/>
        <w:rPr>
          <w:noProof/>
        </w:rPr>
      </w:pPr>
      <w:r>
        <w:rPr>
          <w:noProof/>
        </w:rPr>
        <w:t>(x)</w:t>
      </w:r>
      <w:r>
        <w:rPr>
          <w:noProof/>
        </w:rPr>
        <w:tab/>
      </w:r>
      <w:r>
        <w:rPr>
          <w:bCs/>
          <w:noProof/>
        </w:rPr>
        <w:t>Richtlijn (EU) 2016/97 van het Europees Parlement en de Raad van 20 januari 2016 betreffende verzekeringsdistributie (herziening)</w:t>
      </w:r>
      <w:r>
        <w:rPr>
          <w:noProof/>
        </w:rPr>
        <w:t xml:space="preserve"> (PB L 26 van 2.2.2016, blz. 19);</w:t>
      </w:r>
    </w:p>
    <w:p>
      <w:pPr>
        <w:pStyle w:val="Point0"/>
        <w:rPr>
          <w:noProof/>
        </w:rPr>
      </w:pPr>
      <w:r>
        <w:rPr>
          <w:noProof/>
        </w:rPr>
        <w:t>(xi)</w:t>
      </w:r>
      <w:r>
        <w:rPr>
          <w:noProof/>
        </w:rPr>
        <w:tab/>
      </w:r>
      <w:r>
        <w:rPr>
          <w:bCs/>
          <w:noProof/>
        </w:rPr>
        <w:t xml:space="preserve">Verordening (EU) 2017/1129 van het Europees Parlement en de Raad van 14 juni 2017 betreffende het prospectus dat moet worden gepubliceerd wanneer effecten aan het publiek worden aangeboden of tot de handel op een gereglementeerde markt worden toegelaten </w:t>
      </w:r>
      <w:r>
        <w:rPr>
          <w:noProof/>
        </w:rPr>
        <w:t xml:space="preserve">(PB L 168 van 30.6.2017, blz. 12). </w:t>
      </w:r>
    </w:p>
    <w:p>
      <w:pPr>
        <w:pStyle w:val="NumPar1"/>
        <w:rPr>
          <w:b/>
          <w:noProof/>
        </w:rPr>
      </w:pPr>
      <w:r>
        <w:rPr>
          <w:b/>
          <w:noProof/>
        </w:rPr>
        <w:t>Voorkoming van witwassen van geld en terrorismefinanciering:</w:t>
      </w:r>
    </w:p>
    <w:p>
      <w:pPr>
        <w:pStyle w:val="Point0"/>
        <w:rPr>
          <w:bCs/>
          <w:noProof/>
        </w:rPr>
      </w:pPr>
      <w:r>
        <w:rPr>
          <w:noProof/>
        </w:rPr>
        <w:t>(i)</w:t>
      </w:r>
      <w:r>
        <w:rPr>
          <w:noProof/>
        </w:rPr>
        <w:tab/>
        <w:t xml:space="preserve">Richtlijn (EU) 2015/849 van het Europees Parlement en de Raad van 20 mei 2015 inzake de </w:t>
      </w:r>
      <w:r>
        <w:rPr>
          <w:bCs/>
          <w:noProof/>
        </w:rPr>
        <w:t>voorkoming</w:t>
      </w:r>
      <w:r>
        <w:rPr>
          <w:noProof/>
        </w:rPr>
        <w:t xml:space="preserve">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t>
      </w:r>
      <w:r>
        <w:rPr>
          <w:bCs/>
          <w:noProof/>
        </w:rPr>
        <w:t>(PB L 141 van 5.6.2015, blz. 73);</w:t>
      </w:r>
    </w:p>
    <w:p>
      <w:pPr>
        <w:pStyle w:val="Point0"/>
        <w:rPr>
          <w:bCs/>
          <w:noProof/>
        </w:rPr>
      </w:pPr>
      <w:r>
        <w:rPr>
          <w:bCs/>
          <w:noProof/>
        </w:rPr>
        <w:t>(ii)</w:t>
      </w:r>
      <w:r>
        <w:rPr>
          <w:bCs/>
          <w:noProof/>
        </w:rPr>
        <w:tab/>
      </w:r>
      <w:r>
        <w:rPr>
          <w:noProof/>
        </w:rPr>
        <w:t xml:space="preserve">Verordening (EU) 2015/847 van het Europees Parlement en de Raad van 20 mei 2015 betreffende bij geldovermakingen te voegen informatie en tot intrekking van Verordening (EG) nr. 1781/2006 </w:t>
      </w:r>
      <w:r>
        <w:rPr>
          <w:bCs/>
          <w:noProof/>
        </w:rPr>
        <w:t>(PB L 141 van 5.6.2015, blz. 1).</w:t>
      </w:r>
    </w:p>
    <w:p>
      <w:pPr>
        <w:pStyle w:val="Point0"/>
        <w:rPr>
          <w:b/>
          <w:noProof/>
        </w:rPr>
      </w:pPr>
      <w:r>
        <w:rPr>
          <w:b/>
          <w:noProof/>
        </w:rPr>
        <w:t>B.</w:t>
      </w:r>
      <w:r>
        <w:rPr>
          <w:b/>
          <w:noProof/>
        </w:rPr>
        <w:tab/>
        <w:t xml:space="preserve">Artikel 1, onder a), punt iv) – veiligheid van het vervoer: </w:t>
      </w:r>
    </w:p>
    <w:p>
      <w:pPr>
        <w:pStyle w:val="Point0"/>
        <w:rPr>
          <w:noProof/>
        </w:rPr>
      </w:pPr>
      <w:r>
        <w:rPr>
          <w:noProof/>
        </w:rPr>
        <w:t>(i)</w:t>
      </w:r>
      <w:r>
        <w:rPr>
          <w:noProof/>
        </w:rPr>
        <w:tab/>
      </w:r>
      <w:r>
        <w:rPr>
          <w:bCs/>
          <w:noProof/>
        </w:rPr>
        <w:t xml:space="preserve">Verordening (EU) nr. 376/2014 van het Europees Parlement en de Raad van 3 april 2014 inzake het melden, onderzoeken en opvolgen van voorvallen in de burgerluchtvaart en tot wijziging van Verordening (EU) nr. 996/2010 van het Europees Parlement en de Raad en tot intrekking van Richtlijn 2003/42/EG van het Europees Parlement en de Raad en de Verordeningen (EG) nr. 1321/2007 en (EG) nr. 1330/2007 van de Commissie </w:t>
      </w:r>
      <w:r>
        <w:rPr>
          <w:noProof/>
        </w:rPr>
        <w:t xml:space="preserve">(PB L 122 van 24.4.2014, blz. 18); </w:t>
      </w:r>
    </w:p>
    <w:p>
      <w:pPr>
        <w:pStyle w:val="Point0"/>
        <w:rPr>
          <w:noProof/>
        </w:rPr>
      </w:pPr>
      <w:r>
        <w:rPr>
          <w:noProof/>
        </w:rPr>
        <w:t>(ii)</w:t>
      </w:r>
      <w:r>
        <w:rPr>
          <w:noProof/>
        </w:rPr>
        <w:tab/>
      </w:r>
      <w:r>
        <w:rPr>
          <w:bCs/>
          <w:noProof/>
        </w:rPr>
        <w:t xml:space="preserve">Richtlijn 2013/54/EU van het Europees Parlement en de Raad van 20 november 2013 betreffende bepaalde verantwoordelijkheden van de vlaggenstaat met betrekking tot de naleving en de handhaving van het Verdrag betreffende maritieme arbeid, 2006 </w:t>
      </w:r>
      <w:r>
        <w:rPr>
          <w:noProof/>
        </w:rPr>
        <w:t>(PB L 329 van 10.12.2013, blz. 1);</w:t>
      </w:r>
    </w:p>
    <w:p>
      <w:pPr>
        <w:pStyle w:val="Point0"/>
        <w:rPr>
          <w:noProof/>
        </w:rPr>
      </w:pPr>
      <w:r>
        <w:rPr>
          <w:noProof/>
        </w:rPr>
        <w:t>(iii)</w:t>
      </w:r>
      <w:r>
        <w:rPr>
          <w:noProof/>
        </w:rPr>
        <w:tab/>
      </w:r>
      <w:r>
        <w:rPr>
          <w:bCs/>
          <w:noProof/>
        </w:rPr>
        <w:t xml:space="preserve">Richtlijn 2009/16/EG van het Europees Parlement en de Raad van 23 april 2009 betreffende havenstaatcontrole </w:t>
      </w:r>
      <w:r>
        <w:rPr>
          <w:noProof/>
        </w:rPr>
        <w:t>(PB L 131 van 28.5.2009, blz. 57).</w:t>
      </w:r>
    </w:p>
    <w:p>
      <w:pPr>
        <w:pStyle w:val="Point0"/>
        <w:rPr>
          <w:b/>
          <w:noProof/>
        </w:rPr>
      </w:pPr>
      <w:r>
        <w:rPr>
          <w:b/>
          <w:noProof/>
        </w:rPr>
        <w:t>C.</w:t>
      </w:r>
      <w:r>
        <w:rPr>
          <w:b/>
          <w:noProof/>
        </w:rPr>
        <w:tab/>
        <w:t xml:space="preserve">Artikel 1, onder a), punt v) – milieubescherming: </w:t>
      </w:r>
    </w:p>
    <w:p>
      <w:pPr>
        <w:pStyle w:val="Point0"/>
        <w:rPr>
          <w:bCs/>
          <w:noProof/>
        </w:rPr>
      </w:pPr>
      <w:r>
        <w:rPr>
          <w:bCs/>
          <w:noProof/>
        </w:rPr>
        <w:t>(i)</w:t>
      </w:r>
      <w:r>
        <w:rPr>
          <w:bCs/>
          <w:noProof/>
        </w:rPr>
        <w:tab/>
      </w:r>
      <w:r>
        <w:rPr>
          <w:noProof/>
        </w:rPr>
        <w:t xml:space="preserve">Richtlijn 2013/30/EU van het Europees Parlement en de Raad van 12 juni 2013 betreffende de veiligheid van offshore olie- en gasactiviteiten en tot wijziging van Richtlijn 2004/35/EG </w:t>
      </w:r>
      <w:r>
        <w:rPr>
          <w:bCs/>
          <w:noProof/>
        </w:rPr>
        <w:t>(PB L 178 van 28.6.2013, blz. 66).</w:t>
      </w:r>
    </w:p>
    <w:sectPr>
      <w:footerReference w:type="defaul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284" w:hanging="284"/>
      </w:pPr>
      <w:r>
        <w:rPr>
          <w:rStyle w:val="FootnoteReference"/>
        </w:rPr>
        <w:footnoteRef/>
      </w:r>
      <w:r>
        <w:tab/>
        <w:t xml:space="preserve">2017/0353 (COD) - Dit is momenteel een voorstel voor een verordening van het Europees Parlement en de Raad tot vaststelling van voorschriften en procedures voor de naleving en de handhaving van de harmonisatiewetgeving van de Unie inzake producten en tot wijziging van de Verordeningen (EU) nr. 305/2011, (EU) nr. 528/2012, (EU) 2016/424, (EU) 2016/425, (EU) 2016/426 en (EU) 2017/1369 van het Europees Parlement en de Raad en van de Richtlijnen 2004/42/EG, 2009/48/EG, 2010/35/EU, 2013/29/EU, 2013/53/EU, 2014/28/EU, 2014/29/EU, 2014/30/EU, 2014/31/EU, 2014/32/EU, 2014/33/EU, 2014/34/EU, 2014/35/EU, 2014/53/EU, 2014/68/EU en 2014/90/EU van het Europees Parlement en de Raad, met een definitie van "harmonisatiewetgeving van de Unie" en in de bijlage een overzicht van alle geharmoniseerde wetgeving en een vermelding van "geharmoniseerde producten" in algemene termen.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041F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987F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D6A86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EED8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486B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76F4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36468E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B2FF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2:01: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bij het Voorstel"/>
    <w:docVar w:name="LW_ACCOMPAGNANT.CP" w:val="bij het Voorstel"/>
    <w:docVar w:name="LW_ANNEX_NBR_FIRST" w:val="1"/>
    <w:docVar w:name="LW_ANNEX_NBR_LAST" w:val="1"/>
    <w:docVar w:name="LW_ANNEX_UNIQUE" w:val="0"/>
    <w:docVar w:name="LW_CORRIGENDUM" w:val="&lt;UNUSED&gt;"/>
    <w:docVar w:name="LW_COVERPAGE_EXISTS" w:val="True"/>
    <w:docVar w:name="LW_COVERPAGE_GUID" w:val="2A08B19A-DCC5-4242-B08C-4C87211C9B15"/>
    <w:docVar w:name="LW_COVERPAGE_TYPE" w:val="1"/>
    <w:docVar w:name="LW_CROSSREFERENCE" w:val="{SEC(2018) 198 final}_x000b_{SWD(2018) 116 final}_x000b_{SWD(2018) 117 final}"/>
    <w:docVar w:name="LW_DocType" w:val="ANNEX"/>
    <w:docVar w:name="LW_EMISSION" w:val="23.4.2018"/>
    <w:docVar w:name="LW_EMISSION_ISODATE" w:val="2018-04-23"/>
    <w:docVar w:name="LW_EMISSION_LOCATION" w:val="BRX"/>
    <w:docVar w:name="LW_EMISSION_PREFIX" w:val="Brussel,"/>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inzake de bescherming van personen die inbreuken op het Unierecht melden_x000b_"/>
    <w:docVar w:name="LW_OBJETACTEPRINCIPAL.CP" w:val="inzake de bescherming van personen die inbreuken op het Unierecht melden_x000b_"/>
    <w:docVar w:name="LW_PART_NBR" w:val="1"/>
    <w:docVar w:name="LW_PART_NBR_TOTAL" w:val="1"/>
    <w:docVar w:name="LW_REF.INST.NEW" w:val="COM"/>
    <w:docVar w:name="LW_REF.INST.NEW_ADOPTED" w:val="final"/>
    <w:docVar w:name="LW_REF.INST.NEW_TEXT" w:val="(2018) 2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 een RICHTLIJN VAN HET EUROPEES PARLEMENT EN DE RAAD "/>
    <w:docVar w:name="LW_TYPEACTEPRINCIPAL.CP" w:val="voor een RICHTLIJN VAN HET EUROPEES PARLEMENT EN DE RAAD "/>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rPr>
      <w:color w:val="0000FF"/>
      <w:u w:val="single"/>
      <w:shd w:val="clear" w:color="auto" w:fill="auto"/>
    </w:rPr>
  </w:style>
  <w:style w:type="paragraph" w:styleId="ListBullet4">
    <w:name w:val="List Bullet 4"/>
    <w:basedOn w:val="Normal"/>
    <w:unhideWhenUsed/>
    <w:pPr>
      <w:numPr>
        <w:numId w:val="1"/>
      </w:numPr>
      <w:contextualSpacing/>
    </w:p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Calibri" w:hAnsi="Calibri"/>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0"/>
      <w:ind w:left="720"/>
      <w:jc w:val="left"/>
    </w:pPr>
    <w:rPr>
      <w:rFonts w:ascii="Calibri" w:hAnsi="Calibri" w:cstheme="minorBidi"/>
      <w:sz w:val="22"/>
      <w:lang w:val="en-US"/>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rPr>
      <w:color w:val="0000FF"/>
      <w:u w:val="single"/>
      <w:shd w:val="clear" w:color="auto" w:fill="auto"/>
    </w:rPr>
  </w:style>
  <w:style w:type="paragraph" w:styleId="ListBullet4">
    <w:name w:val="List Bullet 4"/>
    <w:basedOn w:val="Normal"/>
    <w:unhideWhenUsed/>
    <w:pPr>
      <w:numPr>
        <w:numId w:val="1"/>
      </w:numPr>
      <w:contextualSpacing/>
    </w:p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Calibri" w:hAnsi="Calibri"/>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0"/>
      <w:ind w:left="720"/>
      <w:jc w:val="left"/>
    </w:pPr>
    <w:rPr>
      <w:rFonts w:ascii="Calibri" w:hAnsi="Calibri" w:cstheme="minorBidi"/>
      <w:sz w:val="22"/>
      <w:lang w:val="en-US"/>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E6770F3F42B428D9987B4F35AF361" ma:contentTypeVersion="0" ma:contentTypeDescription="Create a new document." ma:contentTypeScope="" ma:versionID="101096eaaa9b4f5340de5e12c7bfc6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274-FCDA-4363-9CDD-6FA243980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366A5-7B22-4A3F-90FC-86B3D433DC53}">
  <ds:schemaRefs>
    <ds:schemaRef ds:uri="http://schemas.microsoft.com/office/infopath/2007/PartnerControl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742D515-AB15-464A-82D5-784039DFAA9B}">
  <ds:schemaRefs>
    <ds:schemaRef ds:uri="http://schemas.microsoft.com/sharepoint/v3/contenttype/forms"/>
  </ds:schemaRefs>
</ds:datastoreItem>
</file>

<file path=customXml/itemProps4.xml><?xml version="1.0" encoding="utf-8"?>
<ds:datastoreItem xmlns:ds="http://schemas.openxmlformats.org/officeDocument/2006/customXml" ds:itemID="{7E3FA6F1-F593-4340-ACA6-D55971D5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11</Pages>
  <Words>4478</Words>
  <Characters>25439</Characters>
  <Application>Microsoft Office Word</Application>
  <DocSecurity>0</DocSecurity>
  <Lines>431</Lines>
  <Paragraphs>148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Krisztina (JUST-EXT)</dc:creator>
  <cp:lastModifiedBy>DIGIT/A3</cp:lastModifiedBy>
  <cp:revision>8</cp:revision>
  <cp:lastPrinted>2018-04-09T08:24:00Z</cp:lastPrinted>
  <dcterms:created xsi:type="dcterms:W3CDTF">2018-05-15T15:43:00Z</dcterms:created>
  <dcterms:modified xsi:type="dcterms:W3CDTF">2018-05-16T10:01:00Z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WCR Document">
    <vt:lpwstr>True</vt:lpwstr>
  </property>
  <property fmtid="{D5CDD505-2E9C-101B-9397-08002B2CF9AE}" pid="12" name="LWCR Version">
    <vt:lpwstr>1.6.413</vt:lpwstr>
  </property>
  <property fmtid="{D5CDD505-2E9C-101B-9397-08002B2CF9AE}" pid="13" name="Level of sensitivity">
    <vt:lpwstr>Standard treatment</vt:lpwstr>
  </property>
  <property fmtid="{D5CDD505-2E9C-101B-9397-08002B2CF9AE}" pid="14" name="Classification">
    <vt:lpwstr> </vt:lpwstr>
  </property>
  <property fmtid="{D5CDD505-2E9C-101B-9397-08002B2CF9AE}" pid="15" name="Unique annex">
    <vt:lpwstr>0</vt:lpwstr>
  </property>
  <property fmtid="{D5CDD505-2E9C-101B-9397-08002B2CF9AE}" pid="16" name="ContentTypeId">
    <vt:lpwstr>0x0101007D3E6770F3F42B428D9987B4F35AF361</vt:lpwstr>
  </property>
  <property fmtid="{D5CDD505-2E9C-101B-9397-08002B2CF9AE}" pid="17" name="DQCStatus">
    <vt:lpwstr>Green (DQC version 03)</vt:lpwstr>
  </property>
</Properties>
</file>