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80DF3E4-329A-4359-B9B9-7E396F38DA7D"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autoSpaceDE w:val="0"/>
        <w:autoSpaceDN w:val="0"/>
        <w:adjustRightInd w:val="0"/>
        <w:rPr>
          <w:noProof/>
        </w:rPr>
      </w:pPr>
      <w:r>
        <w:rPr>
          <w:noProof/>
        </w:rPr>
        <w:t>Svrha je ovog prijedloga direktive o izmjeni Direktive Vijeća 2006/112/EZ od 28. studenoga 2006. o zajedničkom sustavu poreza na dodanu vrijednost</w:t>
      </w:r>
      <w:r>
        <w:rPr>
          <w:rStyle w:val="FootnoteReference"/>
          <w:noProof/>
        </w:rPr>
        <w:footnoteReference w:id="1"/>
      </w:r>
      <w:r>
        <w:rPr>
          <w:noProof/>
        </w:rPr>
        <w:t xml:space="preserve"> (dalje u tekstu „Direktiva o PDV-u”) produljiti sljedeće: 1. mogućnost da države članice primjenjuju mehanizam prijenosa porezne obveze</w:t>
      </w:r>
      <w:r>
        <w:rPr>
          <w:rStyle w:val="FootnoteReference"/>
          <w:noProof/>
        </w:rPr>
        <w:footnoteReference w:id="2"/>
      </w:r>
      <w:r>
        <w:rPr>
          <w:noProof/>
        </w:rPr>
        <w:t xml:space="preserve"> za borbu protiv prijevare u isporuci roba i usluga uključen u članku 199.a stavku 1. Direktive o PDV-u te 2. mogućnost upotrebe mehanizma brze reakcije („MBR”) za borbu protiv prijevare. </w:t>
      </w:r>
    </w:p>
    <w:p>
      <w:pPr>
        <w:rPr>
          <w:noProof/>
          <w:szCs w:val="20"/>
        </w:rPr>
      </w:pPr>
      <w:r>
        <w:rPr>
          <w:noProof/>
        </w:rPr>
        <w:t>Članak 199.a</w:t>
      </w:r>
      <w:r>
        <w:rPr>
          <w:rStyle w:val="FootnoteReference"/>
          <w:noProof/>
        </w:rPr>
        <w:footnoteReference w:id="3"/>
      </w:r>
      <w:r>
        <w:rPr>
          <w:noProof/>
        </w:rPr>
        <w:t xml:space="preserve"> Direktive o PDV-u omogućuje državama članicama da prema potrebi upotrebljavaju mehanizam prijenosa porezne obveze za plaćanje PDV-a na isporuke prethodno definiranih roba i usluga koje su podložne prijevari, a posebno prijevari s nepostojećim trgovcem unutar Zajednice (MTIC). </w:t>
      </w:r>
    </w:p>
    <w:p>
      <w:pPr>
        <w:autoSpaceDE w:val="0"/>
        <w:autoSpaceDN w:val="0"/>
        <w:adjustRightInd w:val="0"/>
        <w:rPr>
          <w:noProof/>
        </w:rPr>
      </w:pPr>
      <w:r>
        <w:rPr>
          <w:noProof/>
        </w:rPr>
        <w:t>Ako bi država članica htjela primijeniti mehanizam prijenosa porezne obveze na druge isporuke koje nisu navedene u članku 199.a Direktive o PDV-u, može se odobriti odstupanje na temelju članka 395. Direktive o PDV-u kako bi se pojednostavnio postupak ubiranja PDV-a ili spriječili određeni oblici utaje ili izbjegavanja poreza. Međutim, za donošenje odstupanja na temelju tog članka potreban je prijedlog Komisije i jednoglasno donošenje u Vijeću, što je postupak koji traje nekoliko mjeseci (najviše osam mjeseci u skladu s člankom 395. Direktive o PDV-u). U slučajevima u kojima se država članica suočava s prijevarom velikih razmjera, trajanje postupka za ishođenje odstupanja na temelju članka 395. moglo bi dovesti do znatnih gubitaka prihoda od PDV-a. MBR uključen u članak 199.b</w:t>
      </w:r>
      <w:r>
        <w:rPr>
          <w:rStyle w:val="FootnoteReference"/>
          <w:noProof/>
        </w:rPr>
        <w:footnoteReference w:id="4"/>
      </w:r>
      <w:r>
        <w:rPr>
          <w:noProof/>
        </w:rPr>
        <w:t xml:space="preserve"> Direktive o PDV-u sadržava brži postupak koji pod određenim strogim uvjetima državama članicama omogućuje uvođenje mehanizma prijenosa porezne obveze te time državama članicama omogućuje primjereniji i djelotvorniji odgovor na iznenadne prijevare velikih razmjera. </w:t>
      </w:r>
    </w:p>
    <w:p>
      <w:pPr>
        <w:autoSpaceDE w:val="0"/>
        <w:autoSpaceDN w:val="0"/>
        <w:adjustRightInd w:val="0"/>
        <w:rPr>
          <w:noProof/>
        </w:rPr>
      </w:pPr>
      <w:r>
        <w:rPr>
          <w:noProof/>
        </w:rPr>
        <w:t>Svrha je mjera iz članaka 199.a i 199.b omogućiti državama članicama brzo rješavanje problema prijevara s nepostojećim trgovcem unutar Zajednice: članak 199.a omogućuje mehanizam prijenosa porezne obveze za isporuke navedene na popisu, a članak 199.b omogućuje brže uvođenje mehanizma prijenosa porezne obveze u slučaju iznenadnih prijevara velikih razmjera. Primjena oba članka prestaje 31. prosinca 2018.</w:t>
      </w:r>
      <w:r>
        <w:rPr>
          <w:rStyle w:val="FootnoteReference"/>
          <w:noProof/>
        </w:rPr>
        <w:footnoteReference w:id="5"/>
      </w:r>
      <w:r>
        <w:rPr>
          <w:noProof/>
        </w:rPr>
        <w:t xml:space="preserve"> </w:t>
      </w:r>
    </w:p>
    <w:p>
      <w:pPr>
        <w:autoSpaceDE w:val="0"/>
        <w:autoSpaceDN w:val="0"/>
        <w:adjustRightInd w:val="0"/>
        <w:rPr>
          <w:noProof/>
        </w:rPr>
      </w:pPr>
      <w:r>
        <w:rPr>
          <w:noProof/>
        </w:rPr>
        <w:t xml:space="preserve">Prijevara MTIC izvodi se tako da trgovac nabavlja robu, prevezenu ili otpremljenu iz druge države članice i izuzetu od plaćanja PDV-a te zatim tu robu prodaje naplaćujući kupcu iznos PDV-a. Nakon što je primio iznos PDV-a od kupca takav trgovac nestaje prije plaćanja PDV-a poreznim tijelima. Djelujući u dobroj vjeri ili ne, kupac istodobno može na svojoj prijavi </w:t>
      </w:r>
      <w:r>
        <w:rPr>
          <w:noProof/>
        </w:rPr>
        <w:lastRenderedPageBreak/>
        <w:t xml:space="preserve">PDV-a odbiti PDV koji je platio dobavljaču. Neobvezni mehanizam prijenosa porezne obveze na temelju članka 199.a Direktive o PDV-u čini se korisnim i preventivnim instrumentom za države članice u borbi protiv te vrste prijevara u utvrđenim osjetljivim područjima ako se takve prijevare pojave na državnom području pojedine države članice. Nakon što je trgovcu uvedena obveza upotrebe mehanizma prijenosa porezne obveze on za takve domaće isporuke ne može obračunati PDV na svojoj fakturi. On stoga neće primiti iznos PDV-a od svojeg kupca, pa ne može nestati s iznosom PDV-a koji primi. Mehanizam brze reakcije iz članka 199.b iznimna je mjera koja državama članicama omogućuje da brzo uvedu privremeni mehanizam prijenosa porezne obveze za isporuku roba i usluga u sektorima u kojima je došlo do iznenadne prijevare velikih razmjera, a koji nisu navedeni u članku 199.a Direktive o PDV-u. Primjenom tog mehanizma države članice mogu premostiti razdoblje potrebno za odobravanje zahtjeva za uobičajeno odstupanje na temelju članka 395. Direktive o PDV-u. </w:t>
      </w:r>
    </w:p>
    <w:p>
      <w:pPr>
        <w:rPr>
          <w:noProof/>
          <w:szCs w:val="24"/>
        </w:rPr>
      </w:pPr>
      <w:r>
        <w:rPr>
          <w:noProof/>
        </w:rPr>
        <w:t>Kao što se zahtijeva u Direktivi o PDV-u, Komisija je predstavila izvješće o učincima mehanizama uključenih u članke 199.a i 199.b Direktive o PDV-u</w:t>
      </w:r>
      <w:r>
        <w:rPr>
          <w:rStyle w:val="FootnoteReference"/>
          <w:noProof/>
        </w:rPr>
        <w:footnoteReference w:id="6"/>
      </w:r>
      <w:r>
        <w:rPr>
          <w:noProof/>
        </w:rPr>
        <w:t>. Države članice bile su tijekom izrade izvješća pozvane da navedu svoja iskustva s mjerama i ocjenu tih mjera. Kako bi se osiguralo da se u obzir uzmu povratne informacije od poslovnih dionika, posredovanjem Stručne skupine za PDV</w:t>
      </w:r>
      <w:r>
        <w:rPr>
          <w:rStyle w:val="FootnoteReference"/>
          <w:noProof/>
        </w:rPr>
        <w:footnoteReference w:id="7"/>
      </w:r>
      <w:r>
        <w:rPr>
          <w:noProof/>
        </w:rPr>
        <w:t xml:space="preserve"> zatražena su stajališta poslovnih dionika. Države članice i dionici koji su dali svoja stajališta općenito smatraju da je mehanizam prijenosa porezne obveze iz članka 199.a Direktive o PDV-u djelotvoran i učinkovit privremeni instrument u borbi protiv prijevara povezanih s PDV-om. Kad je riječ o mehanizmu brze reakcije iz članka 199.b Direktive o PDV-u, iako u praksi nije nikad upotrijebljen, većina država članica smatra da je i dalje koristan instrument i preventivna mjera za iznimne slučajeve prijevara povezanih s PDV-om. </w:t>
      </w:r>
    </w:p>
    <w:p>
      <w:pPr>
        <w:rPr>
          <w:noProof/>
          <w:szCs w:val="24"/>
        </w:rPr>
      </w:pPr>
      <w:r>
        <w:rPr>
          <w:noProof/>
        </w:rPr>
        <w:t>Komisija je nedavno predstavila dva zakonodavna prijedloga s ciljem temeljitijeg suzbijanja prijevara povezanih s PDV-om. Prvi je prijedlog o administrativnoj suradnji i borbi protiv prijevara u području PDV-a</w:t>
      </w:r>
      <w:r>
        <w:rPr>
          <w:rStyle w:val="FootnoteReference"/>
          <w:noProof/>
        </w:rPr>
        <w:footnoteReference w:id="8"/>
      </w:r>
      <w:r>
        <w:rPr>
          <w:noProof/>
        </w:rPr>
        <w:t xml:space="preserve"> kojim bi se ojačala suradnja među državama članicama za učinkovitu borbu protiv prekograničnih prijevara. </w:t>
      </w:r>
    </w:p>
    <w:p>
      <w:pPr>
        <w:rPr>
          <w:rFonts w:eastAsiaTheme="majorEastAsia"/>
          <w:noProof/>
        </w:rPr>
      </w:pPr>
      <w:r>
        <w:rPr>
          <w:noProof/>
        </w:rPr>
        <w:t>U drugom prijedlogu navode se okosnice za jednostavniji konačan sustav PDV-a za trgovinu unutar Unije koji bi bio otporan na prijevare</w:t>
      </w:r>
      <w:r>
        <w:rPr>
          <w:rStyle w:val="FootnoteReference"/>
          <w:noProof/>
        </w:rPr>
        <w:footnoteReference w:id="9"/>
      </w:r>
      <w:r>
        <w:rPr>
          <w:noProof/>
        </w:rPr>
        <w:t>. Za uvođenje tih temelja bit će primijenjen pristup koji se sastoji od dva koraka. Kao prvi korak, Komisija će u prvoj polovini 2018. predstaviti prijedlog koji sadržava detaljne odredbe za funkcioniranje konačnih aranžmana za isporuke robe unutar Unije među poduzećima (B2B).</w:t>
      </w:r>
    </w:p>
    <w:p>
      <w:pPr>
        <w:rPr>
          <w:noProof/>
          <w:szCs w:val="24"/>
        </w:rPr>
      </w:pPr>
      <w:r>
        <w:rPr>
          <w:noProof/>
        </w:rPr>
        <w:t xml:space="preserve">Ti aranžmani, koji bi trebali stupiti na snagu 1. srpnja 2022., omogućuju temeljit odgovor na prijevare s nepostojećim trgovcem unutar Zajednice. Budući da bi se PDV zapravo obračunao na isporuke unutar Unije, trgovac ne bi više mogao stjecati robu, prevezenu ili otpremljenu iz druge države članice, izuzetu od PDV-a, što je osnova prijevara s nepostojećim trgovcem </w:t>
      </w:r>
      <w:r>
        <w:rPr>
          <w:noProof/>
        </w:rPr>
        <w:lastRenderedPageBreak/>
        <w:t xml:space="preserve">unutar Zajednice. Samo bi provjereni porezni obveznici koji su stekli status ovjerenog poreznog obveznika mogli nabaviti robu prevezenu ili otpremljenu iz druge države članice na koju njihov dobavljač nije obračunao PDV. </w:t>
      </w:r>
    </w:p>
    <w:p>
      <w:pPr>
        <w:autoSpaceDE w:val="0"/>
        <w:autoSpaceDN w:val="0"/>
        <w:adjustRightInd w:val="0"/>
        <w:rPr>
          <w:noProof/>
        </w:rPr>
      </w:pPr>
      <w:r>
        <w:rPr>
          <w:noProof/>
        </w:rPr>
        <w:t xml:space="preserve">Iz prethodno navedenog proizlazi da su mjere iz članka 199.a i 199.b Direktive o PDV-u bile korisne kao privremene i ciljane mjere. Prestanak njihove primjene 31. prosinca 2018. lišio bi države članice učinkovitog instrumenta za borbu protiv prijevara. </w:t>
      </w:r>
    </w:p>
    <w:p>
      <w:pPr>
        <w:rPr>
          <w:noProof/>
        </w:rPr>
      </w:pPr>
      <w:r>
        <w:rPr>
          <w:noProof/>
        </w:rPr>
        <w:t xml:space="preserve">Stoga je primjereno produljiti primjenu mjera uključenih u članke 199.a i 199.b do 30. lipnja 2022., datuma na koji bi konačan režim za isporuke robe među poduzećima (B2B) unutar Unije trebao stupiti na snagu. </w:t>
      </w:r>
    </w:p>
    <w:p>
      <w:pPr>
        <w:rPr>
          <w:rFonts w:eastAsia="Arial Unicode MS"/>
          <w:noProof/>
          <w:szCs w:val="24"/>
        </w:rPr>
      </w:pPr>
      <w:r>
        <w:rPr>
          <w:noProof/>
        </w:rPr>
        <w:t xml:space="preserve">U skladu s člankom 199.a stavkom 1. Direktive o PDV-u države članice mogu primjenjivati mehanizam prijenosa porezne obveze do 31. prosinca 2018. i u razdoblju od najmanje dvije godine. </w:t>
      </w:r>
      <w:r>
        <w:rPr>
          <w:noProof/>
          <w:color w:val="000000"/>
        </w:rPr>
        <w:t xml:space="preserve">Zahtjev za najkraću dopuštenu primjenu mjere od dvije godine pokazao se preprekom za nekoliko država članica koje su tijekom 2017. željele uvesti mehanizam prijenosa porezne obveze radi borbe protiv novootkrivenih slučajeva prijevara povezanih s PDV-om za isporuke robe i/ili usluga uključenih u popis iz članka 199.a. Te su države članice na kraju morale podnijeti zahtjev za odstupanje na temelju članka 395. Direktive o PDV-u i u skladu s postupkom iz tog članka te zbog toga nisu mogle dovoljno brzo reagirati na problem prijevara. Stoga se predlaže da se zahtjev za razdoblje primjene od najmanje dvije godine ukloni iz te odredbe. </w:t>
      </w:r>
    </w:p>
    <w:p>
      <w:pPr>
        <w:pStyle w:val="ManualHeading2"/>
        <w:rPr>
          <w:rFonts w:eastAsia="Arial Unicode MS"/>
          <w:noProof/>
          <w:color w:val="000000"/>
          <w:u w:color="000000"/>
          <w:bdr w:val="nil"/>
        </w:rPr>
      </w:pPr>
      <w:r>
        <w:rPr>
          <w:noProof/>
          <w:color w:val="000000"/>
          <w:u w:color="000000"/>
          <w:bdr w:val="nil"/>
        </w:rPr>
        <w:t>•</w:t>
      </w:r>
      <w:r>
        <w:rPr>
          <w:noProof/>
        </w:rPr>
        <w:tab/>
        <w:t>Dosljednost s postojećim odredbama politike u određenom području</w:t>
      </w:r>
    </w:p>
    <w:p>
      <w:pPr>
        <w:pStyle w:val="Default"/>
        <w:jc w:val="both"/>
        <w:rPr>
          <w:noProof/>
        </w:rPr>
      </w:pPr>
      <w:r>
        <w:rPr>
          <w:noProof/>
        </w:rPr>
        <w:t>Ovaj prijedlog ne dovodi u pitanje prijedlog Komisije u pogledu uvođenja privremene primjene općeg mehanizma prijenosa porezne obveze</w:t>
      </w:r>
      <w:r>
        <w:rPr>
          <w:rStyle w:val="FootnoteReference"/>
          <w:noProof/>
        </w:rPr>
        <w:footnoteReference w:id="10"/>
      </w:r>
      <w:r>
        <w:rPr>
          <w:noProof/>
        </w:rPr>
        <w:t xml:space="preserve"> koji državama članicama koje su posebno pogođene prijevarama omogućuje uvođenje općeg mehanizma prijenosa porezne obveze za domaće isporuke robe i usluga (a ne mehanizma za pojedinačne sektore) ako su ispunjeni određeni uvjeti. Područje primjene i uvjeti za primjenu općeg mehanizma prijenosa porezne obveze razlikuju se od uvjeta iz članaka 199.a i 199.b Direktive o PDV-u. </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pBdr>
          <w:top w:val="nil"/>
          <w:left w:val="nil"/>
          <w:bottom w:val="nil"/>
          <w:right w:val="nil"/>
          <w:between w:val="nil"/>
          <w:bar w:val="nil"/>
        </w:pBdr>
        <w:spacing w:before="0" w:after="240"/>
        <w:rPr>
          <w:noProof/>
        </w:rPr>
      </w:pPr>
      <w:r>
        <w:rPr>
          <w:noProof/>
        </w:rPr>
        <w:t xml:space="preserve">Predloženom se direktivom mijenja Direktiva o PDV-u na temelju članka 113. Ugovora o funkcioniranju Europske unije. </w:t>
      </w:r>
    </w:p>
    <w:p>
      <w:pPr>
        <w:pBdr>
          <w:top w:val="nil"/>
          <w:left w:val="nil"/>
          <w:bottom w:val="nil"/>
          <w:right w:val="nil"/>
          <w:between w:val="nil"/>
          <w:bar w:val="nil"/>
        </w:pBdr>
        <w:spacing w:before="0" w:after="240"/>
        <w:rPr>
          <w:rFonts w:eastAsia="Arial Unicode MS"/>
          <w:noProof/>
          <w:color w:val="000000" w:themeColor="text1"/>
        </w:rPr>
      </w:pPr>
      <w:r>
        <w:rPr>
          <w:noProof/>
        </w:rPr>
        <w:t xml:space="preserve">Budući da se prijedlogom produljuje primjena određenih odredaba te direktive, potrebna je izmjena Direktive o PDV-u. </w:t>
      </w:r>
    </w:p>
    <w:p>
      <w:pPr>
        <w:pStyle w:val="ManualHeading2"/>
        <w:rPr>
          <w:rFonts w:eastAsia="Arial Unicode MS"/>
          <w:noProof/>
          <w:u w:color="000000"/>
          <w:bdr w:val="nil"/>
        </w:rPr>
      </w:pPr>
      <w:r>
        <w:rPr>
          <w:noProof/>
        </w:rPr>
        <w:t>•</w:t>
      </w:r>
      <w:r>
        <w:rPr>
          <w:noProof/>
        </w:rPr>
        <w:tab/>
        <w:t xml:space="preserve">Supsidijarnost (za neisključivu nadležnost) </w:t>
      </w:r>
    </w:p>
    <w:p>
      <w:pPr>
        <w:pStyle w:val="Text1"/>
        <w:ind w:left="0"/>
        <w:rPr>
          <w:noProof/>
        </w:rPr>
      </w:pPr>
      <w:r>
        <w:rPr>
          <w:noProof/>
        </w:rPr>
        <w:t>Prema načelu supsidijarnosti iz članka 5. stavka 3. Ugovora o Europskoj uniji, Unija djeluje samo ako države članice ne mogu same u dovoljnoj mjeri ostvariti predviđene ciljeve, nego se zbog opsega ili učinka predloženih mjera one mogu na bolji način ostvariti na razini Unije.</w:t>
      </w:r>
    </w:p>
    <w:p>
      <w:pPr>
        <w:pBdr>
          <w:top w:val="nil"/>
          <w:left w:val="nil"/>
          <w:bottom w:val="nil"/>
          <w:right w:val="nil"/>
          <w:between w:val="nil"/>
          <w:bar w:val="nil"/>
        </w:pBdr>
        <w:spacing w:before="0" w:after="240"/>
        <w:rPr>
          <w:rFonts w:eastAsia="Arial Unicode MS"/>
          <w:noProof/>
        </w:rPr>
      </w:pPr>
      <w:r>
        <w:rPr>
          <w:noProof/>
        </w:rPr>
        <w:t xml:space="preserve">Cilj borbe protiv prijevara s pomoću primjene mehanizma prijenosa porezne obveze i mogućnosti upotrebe mehanizma brze reakcije za borbu protiv iznenadne prijevare velikih razmjera najbolje se ostvaruje na razini Unije, a posebna pravna osnova za njega nalazi se u Direktivi o PDV-u. Stoga je za produljenje tih mjera potrebna izmjena Direktive o PDV-u. </w:t>
      </w:r>
    </w:p>
    <w:p>
      <w:pPr>
        <w:pStyle w:val="ManualHeading2"/>
        <w:rPr>
          <w:rFonts w:eastAsia="Arial Unicode MS"/>
          <w:noProof/>
          <w:u w:color="000000"/>
          <w:bdr w:val="nil"/>
        </w:rPr>
      </w:pPr>
      <w:r>
        <w:rPr>
          <w:noProof/>
        </w:rPr>
        <w:lastRenderedPageBreak/>
        <w:t>•</w:t>
      </w:r>
      <w:r>
        <w:rPr>
          <w:noProof/>
        </w:rPr>
        <w:tab/>
        <w:t>Proporcionalnost</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Zbog neobvezujuće i privremene prirode produljenih mjera, prijedlog je proporcionalan cilju koji se želi postići, a to je borba protiv prijevare pri određenim isporukama roba i usluga te pomoć državama članicama u suzbijanju iznenadne prijevare velikih razmjera povezanih s PDV-om. </w:t>
      </w:r>
    </w:p>
    <w:p>
      <w:pPr>
        <w:pStyle w:val="ManualHeading2"/>
        <w:rPr>
          <w:rFonts w:eastAsia="Arial Unicode MS"/>
          <w:noProof/>
          <w:u w:color="000000"/>
          <w:bdr w:val="nil"/>
        </w:rPr>
      </w:pPr>
      <w:r>
        <w:rPr>
          <w:noProof/>
        </w:rPr>
        <w:t>•</w:t>
      </w:r>
      <w:r>
        <w:rPr>
          <w:noProof/>
        </w:rPr>
        <w:tab/>
        <w:t>Odabir instrumenta</w:t>
      </w:r>
    </w:p>
    <w:p>
      <w:pPr>
        <w:pBdr>
          <w:top w:val="nil"/>
          <w:left w:val="nil"/>
          <w:bottom w:val="nil"/>
          <w:right w:val="nil"/>
          <w:between w:val="nil"/>
          <w:bar w:val="nil"/>
        </w:pBdr>
        <w:spacing w:before="0" w:after="240"/>
        <w:rPr>
          <w:rFonts w:eastAsia="Arial Unicode MS"/>
          <w:noProof/>
          <w:color w:val="000000" w:themeColor="text1"/>
        </w:rPr>
      </w:pPr>
      <w:r>
        <w:rPr>
          <w:noProof/>
        </w:rPr>
        <w:t xml:space="preserve">Predlaže se direktiva radi izmjene Direktive o PDV-u. </w:t>
      </w:r>
    </w:p>
    <w:p>
      <w:pPr>
        <w:pStyle w:val="ManualHeading1"/>
        <w:rPr>
          <w:noProof/>
        </w:rPr>
      </w:pPr>
      <w:r>
        <w:rPr>
          <w:noProof/>
        </w:rPr>
        <w:t>3.</w:t>
      </w:r>
      <w:r>
        <w:rPr>
          <w:noProof/>
        </w:rPr>
        <w:tab/>
        <w:t xml:space="preserve">REZULTATI </w:t>
      </w:r>
      <w:r>
        <w:rPr>
          <w:i/>
          <w:noProof/>
        </w:rPr>
        <w:t>EX POST</w:t>
      </w:r>
      <w:r>
        <w:rPr>
          <w:noProof/>
        </w:rPr>
        <w:t xml:space="preserve"> EVALUACIJA, SAVJETOVANJA S DIONICIMA I PROCJENE UČINAKA</w:t>
      </w:r>
    </w:p>
    <w:p>
      <w:pPr>
        <w:pStyle w:val="ManualHeading2"/>
        <w:rPr>
          <w:rFonts w:eastAsia="Arial Unicode MS"/>
          <w:noProof/>
          <w:u w:color="000000"/>
          <w:bdr w:val="nil"/>
        </w:rPr>
      </w:pPr>
      <w:r>
        <w:rPr>
          <w:noProof/>
        </w:rPr>
        <w:t>•</w:t>
      </w:r>
      <w:r>
        <w:rPr>
          <w:noProof/>
        </w:rPr>
        <w:tab/>
        <w:t>Savjetovanja s dionicima</w:t>
      </w:r>
    </w:p>
    <w:p>
      <w:pPr>
        <w:pBdr>
          <w:top w:val="nil"/>
          <w:left w:val="nil"/>
          <w:bottom w:val="nil"/>
          <w:right w:val="nil"/>
          <w:between w:val="nil"/>
          <w:bar w:val="nil"/>
        </w:pBdr>
        <w:spacing w:before="0" w:after="240"/>
        <w:rPr>
          <w:rFonts w:eastAsia="Arial Unicode MS"/>
          <w:noProof/>
        </w:rPr>
      </w:pPr>
      <w:r>
        <w:rPr>
          <w:noProof/>
        </w:rPr>
        <w:t xml:space="preserve">Povratne informacije od država članica i dionika predstavljene su u Komisijinu izvješću o procjeni učinka mehanizma iz članka 199.a i 199.b Direktive o PDV-u u borbi protiv prijevara. </w:t>
      </w:r>
    </w:p>
    <w:p>
      <w:pPr>
        <w:rPr>
          <w:noProof/>
          <w:szCs w:val="24"/>
        </w:rPr>
      </w:pPr>
      <w:r>
        <w:rPr>
          <w:noProof/>
        </w:rPr>
        <w:t xml:space="preserve">Kao što je navedeno u izvješću, države članice općenito smatraju da je mehanizam prijenosa porezne obveze iz članka 199.a Direktive o PDV-u djelotvoran i učinkovit instrument u borbi protiv prijevara povezanih s PDV-om. Prijevare u utvrđenim sektorima znatno su se smanjile ili nestale nakon uvođenja mehanizma prijenosa porezne obveze. To mišljenje zastupljeno je i u odgovorima primljenima od poslovnih dionika koji smatraju da je mehanizam prijenosa porezne obveze učinkovita privremena mjera za borbu protiv prijevara. </w:t>
      </w:r>
    </w:p>
    <w:p>
      <w:pPr>
        <w:rPr>
          <w:noProof/>
          <w:szCs w:val="24"/>
        </w:rPr>
      </w:pPr>
      <w:r>
        <w:rPr>
          <w:noProof/>
        </w:rPr>
        <w:t xml:space="preserve">Kad je riječ o mehanizmu brze reakcije iz članka 199.b Direktive o PDV-u, iako nije nikad upotrijebljen, većina država članica smatra da je i dalje koristan instrument i preventivna mjera za iznimne slučajeve iznenadnih prijevara povezanih s PDV-om. </w:t>
      </w:r>
    </w:p>
    <w:p>
      <w:pPr>
        <w:pStyle w:val="ManualHeading2"/>
        <w:rPr>
          <w:rFonts w:eastAsia="Arial Unicode MS"/>
          <w:noProof/>
          <w:u w:color="000000"/>
          <w:bdr w:val="nil"/>
        </w:rPr>
      </w:pPr>
      <w:r>
        <w:rPr>
          <w:noProof/>
        </w:rPr>
        <w:t>•</w:t>
      </w:r>
      <w:r>
        <w:rPr>
          <w:noProof/>
        </w:rPr>
        <w:tab/>
        <w:t>Prikupljanje i primjena stručnih znanja</w:t>
      </w:r>
    </w:p>
    <w:p>
      <w:pPr>
        <w:pBdr>
          <w:top w:val="nil"/>
          <w:left w:val="nil"/>
          <w:bottom w:val="nil"/>
          <w:right w:val="nil"/>
          <w:between w:val="nil"/>
          <w:bar w:val="nil"/>
        </w:pBdr>
        <w:spacing w:before="0" w:after="240"/>
        <w:rPr>
          <w:noProof/>
        </w:rPr>
      </w:pPr>
      <w:r>
        <w:rPr>
          <w:noProof/>
        </w:rPr>
        <w:t xml:space="preserve">Obavljeno je savjetovanje sa Stručnom skupinom za PDV o učincima mjere uključene u članak 199.a Direktive o PDV-u. Povratne informacije upućuju na to da se mehanizam prijenosa porezne obveze za određene isporuke smatra učinkovitim privremenim instrumentom za borbu protiv prijevara. </w:t>
      </w:r>
    </w:p>
    <w:p>
      <w:pPr>
        <w:pBdr>
          <w:top w:val="nil"/>
          <w:left w:val="nil"/>
          <w:bottom w:val="nil"/>
          <w:right w:val="nil"/>
          <w:between w:val="nil"/>
          <w:bar w:val="nil"/>
        </w:pBdr>
        <w:spacing w:before="0" w:after="240"/>
        <w:rPr>
          <w:noProof/>
          <w:color w:val="000000"/>
          <w:szCs w:val="24"/>
        </w:rPr>
      </w:pPr>
      <w:r>
        <w:rPr>
          <w:noProof/>
        </w:rPr>
        <w:t>Neobvezan mehanizam prijenosa porezne obveze procijenjen je općenito u ranijim studijama. Prema nedavnoj studiji o procjeni neobveznog mehanizma prijenosa porezne obveze</w:t>
      </w:r>
      <w:r>
        <w:rPr>
          <w:rStyle w:val="FootnoteReference"/>
          <w:noProof/>
        </w:rPr>
        <w:footnoteReference w:id="11"/>
      </w:r>
      <w:r>
        <w:rPr>
          <w:noProof/>
        </w:rPr>
        <w:t xml:space="preserve">, tom se mjerom troškovi usklađivanja za poduzeća povećavaju za 43 %. Procjena općeg mehanizma prijenosa porezne obveze na unutarnjem tržištu (ujedno i usporedbom sa sektorskim prijenosom porezne obveze) provedena je u okviru procjene učinka uz prijedlog o </w:t>
      </w:r>
      <w:r>
        <w:rPr>
          <w:noProof/>
          <w:color w:val="000000"/>
        </w:rPr>
        <w:t>privremenoj primjeni općeg mehanizma prijenosa porezne obveze</w:t>
      </w:r>
      <w:r>
        <w:rPr>
          <w:rStyle w:val="FootnoteReference"/>
          <w:noProof/>
        </w:rPr>
        <w:footnoteReference w:id="12"/>
      </w:r>
      <w:r>
        <w:rPr>
          <w:noProof/>
          <w:color w:val="000000"/>
        </w:rPr>
        <w:t xml:space="preserve">. S obzirom na njegova ograničenja u području i trajanju primjene, čini se da ciljani mehanizam prijenosa porezne obveze nema znatne štetne posljedice. </w:t>
      </w:r>
    </w:p>
    <w:p>
      <w:pPr>
        <w:pStyle w:val="ManualHeading2"/>
        <w:rPr>
          <w:rFonts w:eastAsia="Arial Unicode MS"/>
          <w:noProof/>
          <w:u w:color="000000"/>
          <w:bdr w:val="nil"/>
        </w:rPr>
      </w:pPr>
      <w:r>
        <w:rPr>
          <w:noProof/>
        </w:rPr>
        <w:t>•</w:t>
      </w:r>
      <w:r>
        <w:rPr>
          <w:noProof/>
        </w:rPr>
        <w:tab/>
        <w:t>Procjena učinka</w:t>
      </w:r>
    </w:p>
    <w:p>
      <w:pPr>
        <w:rPr>
          <w:noProof/>
          <w:color w:val="000000" w:themeColor="text1"/>
        </w:rPr>
      </w:pPr>
      <w:r>
        <w:rPr>
          <w:noProof/>
          <w:color w:val="000000" w:themeColor="text1"/>
        </w:rPr>
        <w:t xml:space="preserve">Inicijativom se produljuje primjena mjera uključenih u članke 199.a i 199.b kako bi se poduprlo države članice u borbi protiv prijevara povezanih s PDV-om do uspostavljanja temeljitije reforme sustava PDV-a. </w:t>
      </w:r>
    </w:p>
    <w:p>
      <w:pPr>
        <w:rPr>
          <w:noProof/>
          <w:color w:val="000000" w:themeColor="text1"/>
        </w:rPr>
      </w:pPr>
      <w:r>
        <w:rPr>
          <w:noProof/>
          <w:color w:val="000000" w:themeColor="text1"/>
        </w:rPr>
        <w:lastRenderedPageBreak/>
        <w:t xml:space="preserve">S obzirom na trenutačni rad Komisije na konačnom sustavu PDV-a i njegovu očekivanom učinku u borbi protiv prijevara, u ovom trenutku procjena koja izlazi iz okvira nedavnog izvješća ili revizija mjera ne bi bili korisni jer bi svi zaključci bili prijelazni te bi ih nakon stupanja na snagu konačnog sustava trebalo ponovno ocijeniti. </w:t>
      </w:r>
    </w:p>
    <w:p>
      <w:pPr>
        <w:pStyle w:val="ManualHeading1"/>
        <w:rPr>
          <w:noProof/>
        </w:rPr>
      </w:pPr>
      <w:r>
        <w:rPr>
          <w:noProof/>
        </w:rPr>
        <w:t>4.</w:t>
      </w:r>
      <w:r>
        <w:rPr>
          <w:noProof/>
        </w:rPr>
        <w:tab/>
        <w:t>UTJECAJ NA PRORAČUN</w:t>
      </w:r>
    </w:p>
    <w:p>
      <w:pPr>
        <w:pBdr>
          <w:top w:val="nil"/>
          <w:left w:val="nil"/>
          <w:bottom w:val="nil"/>
          <w:right w:val="nil"/>
          <w:between w:val="nil"/>
          <w:bar w:val="nil"/>
        </w:pBdr>
        <w:spacing w:before="0" w:after="240"/>
        <w:rPr>
          <w:rFonts w:eastAsia="Arial Unicode MS"/>
          <w:noProof/>
          <w:color w:val="000000" w:themeColor="text1"/>
        </w:rPr>
      </w:pPr>
      <w:r>
        <w:rPr>
          <w:noProof/>
        </w:rPr>
        <w:t xml:space="preserve">Prijedlog neće negativno utjecati na proračun Unije. </w:t>
      </w:r>
    </w:p>
    <w:p>
      <w:pPr>
        <w:pStyle w:val="ManualHeading1"/>
        <w:rPr>
          <w:noProof/>
        </w:rPr>
      </w:pPr>
      <w:r>
        <w:rPr>
          <w:noProof/>
        </w:rPr>
        <w:t>5.</w:t>
      </w:r>
      <w:r>
        <w:rPr>
          <w:noProof/>
        </w:rPr>
        <w:tab/>
        <w:t>OSTALI DIJELOVI</w:t>
      </w:r>
    </w:p>
    <w:p>
      <w:pPr>
        <w:rPr>
          <w:noProof/>
        </w:rPr>
      </w:pPr>
      <w:r>
        <w:rPr>
          <w:noProof/>
        </w:rPr>
        <w:t xml:space="preserve">Prijedlog je vremenski ograničenog trajanja.  </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2018/0150 (CNS)</w:t>
      </w:r>
    </w:p>
    <w:p>
      <w:pPr>
        <w:pStyle w:val="Statut"/>
        <w:rPr>
          <w:noProof/>
        </w:rPr>
      </w:pPr>
      <w:r>
        <w:rPr>
          <w:noProof/>
        </w:rPr>
        <w:t>Prijedlog</w:t>
      </w:r>
    </w:p>
    <w:p>
      <w:pPr>
        <w:pStyle w:val="Typedudocument"/>
        <w:rPr>
          <w:noProof/>
        </w:rPr>
      </w:pPr>
      <w:r>
        <w:rPr>
          <w:noProof/>
        </w:rPr>
        <w:t>DIREKTIVE VIJEĆA</w:t>
      </w:r>
    </w:p>
    <w:p>
      <w:pPr>
        <w:pStyle w:val="Titreobjet"/>
        <w:rPr>
          <w:noProof/>
        </w:rPr>
      </w:pPr>
      <w:r>
        <w:rPr>
          <w:noProof/>
        </w:rPr>
        <w:t>o izmjeni Direktive 2006/112/EZ o zajedničkom sustavu poreza na dodanu vrijednost u pogledu razdoblja primjene neobveznog mehanizma prijenosa porezne obveze u odnosu na isporuke određene robe i usluga podložnih prijevari te primjene mehanizma brze reakcije na prijevaru u vezi s PDV-om</w:t>
      </w:r>
    </w:p>
    <w:p>
      <w:pPr>
        <w:pStyle w:val="Institutionquiagit"/>
        <w:rPr>
          <w:noProof/>
        </w:rPr>
      </w:pPr>
      <w:r>
        <w:rPr>
          <w:noProof/>
        </w:rPr>
        <w:t>VIJEĆE EUROPSKE UNIJE,</w:t>
      </w:r>
    </w:p>
    <w:p>
      <w:pPr>
        <w:rPr>
          <w:noProof/>
        </w:rPr>
      </w:pPr>
      <w:r>
        <w:rPr>
          <w:noProof/>
        </w:rPr>
        <w:t>uzimajući u obzir Ugovor o funkcioniranju Europske unije, a posebno njegov članak 113.,</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 parlamenta</w:t>
      </w:r>
      <w:r>
        <w:rPr>
          <w:rStyle w:val="FootnoteReference"/>
          <w:noProof/>
        </w:rPr>
        <w:footnoteReference w:id="13"/>
      </w:r>
      <w:r>
        <w:rPr>
          <w:noProof/>
        </w:rPr>
        <w:t xml:space="preserve">, </w:t>
      </w:r>
    </w:p>
    <w:p>
      <w:pPr>
        <w:rPr>
          <w:noProof/>
        </w:rPr>
      </w:pPr>
      <w:r>
        <w:rPr>
          <w:noProof/>
        </w:rPr>
        <w:t>uzimajući u obzir mišljenje Europskoga gospodarskog i socijalnog odbora</w:t>
      </w:r>
      <w:r>
        <w:rPr>
          <w:rStyle w:val="FootnoteReference"/>
          <w:noProof/>
        </w:rPr>
        <w:footnoteReference w:id="14"/>
      </w:r>
      <w:r>
        <w:rPr>
          <w:noProof/>
        </w:rPr>
        <w:t xml:space="preserve">, </w:t>
      </w:r>
    </w:p>
    <w:p>
      <w:pPr>
        <w:rPr>
          <w:noProof/>
        </w:rPr>
      </w:pPr>
      <w:r>
        <w:rPr>
          <w:noProof/>
        </w:rPr>
        <w:t>u skladu s posebnim zakonodavnim postupkom,</w:t>
      </w:r>
    </w:p>
    <w:p>
      <w:pPr>
        <w:rPr>
          <w:noProof/>
        </w:rPr>
      </w:pPr>
      <w:r>
        <w:rPr>
          <w:noProof/>
        </w:rPr>
        <w:t>budući da:</w:t>
      </w:r>
    </w:p>
    <w:p>
      <w:pPr>
        <w:pStyle w:val="ManualConsidrant"/>
        <w:rPr>
          <w:noProof/>
        </w:rPr>
      </w:pPr>
      <w:r>
        <w:t>(1)</w:t>
      </w:r>
      <w:r>
        <w:tab/>
      </w:r>
      <w:r>
        <w:rPr>
          <w:noProof/>
        </w:rPr>
        <w:t xml:space="preserve">Porezne prijevare povezane s porezom na dodanu vrijednost (PDV) uzrokuju znatne gubitke u proračunu te utječe na funkcioniranje unutarnjeg tržišta. </w:t>
      </w:r>
    </w:p>
    <w:p>
      <w:pPr>
        <w:pStyle w:val="ManualConsidrant"/>
        <w:rPr>
          <w:noProof/>
        </w:rPr>
      </w:pPr>
      <w:r>
        <w:t>(2)</w:t>
      </w:r>
      <w:r>
        <w:tab/>
      </w:r>
      <w:r>
        <w:rPr>
          <w:noProof/>
        </w:rPr>
        <w:t>Članak 199.a Direktive Vijeća 2006/112/EZ</w:t>
      </w:r>
      <w:r>
        <w:rPr>
          <w:rStyle w:val="FootnoteReference"/>
          <w:noProof/>
        </w:rPr>
        <w:footnoteReference w:id="15"/>
      </w:r>
      <w:r>
        <w:rPr>
          <w:noProof/>
        </w:rPr>
        <w:t xml:space="preserve"> državama članicama omogućuje da odrede da je osoba odgovorna za plaćanje PDV-a na isporuke navedene u tom članku porezni obveznik koji je isporuku primio (mehanizam prijenosa porezne obveze) radi brzog rješavanja problema prijevare s nepostojećim trgovcem u trgovini unutar Zajednice (MTIC). Taj mehanizam države članice mogu primjenjivati do 31. prosinca 2018. i u razdoblju od najmanje dvije godine. </w:t>
      </w:r>
    </w:p>
    <w:p>
      <w:pPr>
        <w:pStyle w:val="ManualConsidrant"/>
        <w:rPr>
          <w:noProof/>
        </w:rPr>
      </w:pPr>
      <w:r>
        <w:t>(3)</w:t>
      </w:r>
      <w:r>
        <w:tab/>
      </w:r>
      <w:r>
        <w:rPr>
          <w:noProof/>
        </w:rPr>
        <w:t>Posebna mjera mehanizma brze reakcije („MBR”) utvrđena u članku 199.b Direktive 2006/112/EZ državama članicama omogućuje brži postupak za uvođenje mehanizma prijenosa porezne obveze u odnosu na određene isporuke dobara i usluga u svrhu borbe protiv iznenadnih prijevara velikih razmjera koje bi mogle prouzročiti znatne i nepopravljive financijske gubitke. U skladu s člankom 3. Direktive Vijeća 2013/42/EU</w:t>
      </w:r>
      <w:r>
        <w:rPr>
          <w:rStyle w:val="FootnoteReference"/>
          <w:noProof/>
        </w:rPr>
        <w:footnoteReference w:id="16"/>
      </w:r>
      <w:r>
        <w:rPr>
          <w:noProof/>
        </w:rPr>
        <w:t xml:space="preserve"> države članice mogu primjenjivati posebnu mjeru mehanizma brze reakcije do 31. prosinca 2018. </w:t>
      </w:r>
    </w:p>
    <w:p>
      <w:pPr>
        <w:pStyle w:val="ManualConsidrant"/>
        <w:rPr>
          <w:noProof/>
        </w:rPr>
      </w:pPr>
      <w:r>
        <w:lastRenderedPageBreak/>
        <w:t>(4)</w:t>
      </w:r>
      <w:r>
        <w:tab/>
      </w:r>
      <w:r>
        <w:rPr>
          <w:noProof/>
        </w:rPr>
        <w:t>Komisija je 8. ožujka 2018. predstavila izvješće o učincima mehanizama za borbu protiv prijevare navedenih u člancima 199.a i 199.b Direktive 2006/112/EZ Europskog parlamenta i Vijeća</w:t>
      </w:r>
      <w:r>
        <w:rPr>
          <w:rStyle w:val="FootnoteReference"/>
          <w:noProof/>
        </w:rPr>
        <w:footnoteReference w:id="17"/>
      </w:r>
      <w:r>
        <w:rPr>
          <w:noProof/>
        </w:rPr>
        <w:t xml:space="preserve">. </w:t>
      </w:r>
    </w:p>
    <w:p>
      <w:pPr>
        <w:pStyle w:val="ManualConsidrant"/>
        <w:rPr>
          <w:rFonts w:eastAsia="Arial Unicode MS"/>
          <w:noProof/>
          <w:szCs w:val="24"/>
        </w:rPr>
      </w:pPr>
      <w:r>
        <w:t>(5)</w:t>
      </w:r>
      <w:r>
        <w:tab/>
      </w:r>
      <w:r>
        <w:rPr>
          <w:noProof/>
        </w:rPr>
        <w:t xml:space="preserve">Prema tom izvješću države članice i dionici općenito smatraju da je mehanizam prijenosa porezne obveze utvrđen u članku 199.a Direktive 2006/112/EZ djelotvoran i učinkovit privremeni instrument za borbu protiv prijevara povezanih s PDV-om u određenim sektorima ili u sprečavanju izvršenja prijevare. </w:t>
      </w:r>
      <w:r>
        <w:rPr>
          <w:noProof/>
          <w:color w:val="000000"/>
        </w:rPr>
        <w:t xml:space="preserve">Pokazalo se da je zahtjev za razdobljem primjene od najmanje dvije godine za primjenu mjera iz članka 199.a stavka 1. prepreka nekolicini država članica koje su željele uvesti mehanizam prijenosa porezne obveze, a nisu ispunile taj uvjet. Stoga se zahtjev za razdoblje primjene od najmanje dvije godine uklanja iz te odredbe. </w:t>
      </w:r>
    </w:p>
    <w:p>
      <w:pPr>
        <w:pStyle w:val="ManualConsidrant"/>
        <w:rPr>
          <w:noProof/>
        </w:rPr>
      </w:pPr>
      <w:r>
        <w:t>(6)</w:t>
      </w:r>
      <w:r>
        <w:tab/>
      </w:r>
      <w:r>
        <w:rPr>
          <w:noProof/>
        </w:rPr>
        <w:t>Kad je riječ o mehanizmu brze reakcije iz članka 199.b Direktive 2006/112/EZ, iako u praksi nije nikad upotrijebljen, države članice smatraju da bi ga trebalo zadržati kao koristan instrument i preventivnu mjeru za borbu protiv iznimnih slučajeva prijevare povezane s PDV-om.</w:t>
      </w:r>
    </w:p>
    <w:p>
      <w:pPr>
        <w:pStyle w:val="ManualConsidrant"/>
        <w:rPr>
          <w:noProof/>
        </w:rPr>
      </w:pPr>
      <w:r>
        <w:t>(7)</w:t>
      </w:r>
      <w:r>
        <w:tab/>
      </w:r>
      <w:r>
        <w:rPr>
          <w:noProof/>
        </w:rPr>
        <w:t xml:space="preserve">S obzirom na rezultate i zaključke iz izvješća čini se da je dokazano da su mjere iz članaka 199.a i 199.b Direktive 2006/112/EZ korisne privremene i ciljane mjere za borbu protiv prijevara povezanih s PDV-om. Primjena tih mjera prestala bi 31. prosinca 2018., što bi države članice lišilo učinkovitog instrumenta za borbu protiv prijevara povezanih s PDV-om. Stoga je primjereno produljiti primjenu tih mjera u ograničenom razdoblju do previđenog stupanja na snagu konačnog sustava PDV-a. </w:t>
      </w:r>
    </w:p>
    <w:p>
      <w:pPr>
        <w:pStyle w:val="ManualConsidrant"/>
        <w:rPr>
          <w:noProof/>
        </w:rPr>
      </w:pPr>
      <w:r>
        <w:t>(8)</w:t>
      </w:r>
      <w:r>
        <w:tab/>
      </w:r>
      <w:r>
        <w:rPr>
          <w:noProof/>
        </w:rPr>
        <w:t>Direktivu 2006/112/EZ trebalo bi stoga na odgovarajući način izmijeniti,</w:t>
      </w:r>
    </w:p>
    <w:p>
      <w:pPr>
        <w:pStyle w:val="Formuledadoption"/>
        <w:rPr>
          <w:noProof/>
        </w:rPr>
      </w:pPr>
      <w:r>
        <w:rPr>
          <w:noProof/>
        </w:rPr>
        <w:t>DONIJELO JE OVU DIREKTIVU:</w:t>
      </w:r>
    </w:p>
    <w:p>
      <w:pPr>
        <w:pStyle w:val="Titrearticle"/>
        <w:rPr>
          <w:noProof/>
        </w:rPr>
      </w:pPr>
      <w:r>
        <w:rPr>
          <w:noProof/>
        </w:rPr>
        <w:t>Članak 1.</w:t>
      </w:r>
    </w:p>
    <w:p>
      <w:pPr>
        <w:rPr>
          <w:noProof/>
        </w:rPr>
      </w:pPr>
      <w:r>
        <w:rPr>
          <w:noProof/>
        </w:rPr>
        <w:t>Direktiva 2006/112/EZ mijenja se kako slijedi:</w:t>
      </w:r>
    </w:p>
    <w:p>
      <w:pPr>
        <w:pStyle w:val="Point0number"/>
        <w:numPr>
          <w:ilvl w:val="0"/>
          <w:numId w:val="10"/>
        </w:numPr>
        <w:rPr>
          <w:noProof/>
        </w:rPr>
      </w:pPr>
      <w:r>
        <w:rPr>
          <w:noProof/>
        </w:rPr>
        <w:t>u članku 199.a stavku 1. uvodne riječi zamjenjuju se sljedećim:</w:t>
      </w:r>
    </w:p>
    <w:p>
      <w:pPr>
        <w:pStyle w:val="Normal1"/>
        <w:ind w:left="851"/>
        <w:rPr>
          <w:noProof/>
        </w:rPr>
      </w:pPr>
      <w:r>
        <w:rPr>
          <w:noProof/>
        </w:rPr>
        <w:t>„Do 30. lipnja 2022. države članice mogu odrediti da je osoba koja je odgovorna za plaćanje PDV-a porezni obveznik kojem se isporučuje bilo što od navedenog u nastavku:”;</w:t>
      </w:r>
    </w:p>
    <w:p>
      <w:pPr>
        <w:pStyle w:val="Point0number"/>
        <w:rPr>
          <w:noProof/>
        </w:rPr>
      </w:pPr>
      <w:r>
        <w:rPr>
          <w:noProof/>
        </w:rPr>
        <w:t>članak 199.b zamjenjuje se sljedećim:</w:t>
      </w:r>
    </w:p>
    <w:p>
      <w:pPr>
        <w:pStyle w:val="Normal1"/>
        <w:spacing w:before="120" w:beforeAutospacing="0" w:after="120" w:afterAutospacing="0"/>
        <w:jc w:val="center"/>
        <w:rPr>
          <w:noProof/>
        </w:rPr>
      </w:pPr>
      <w:r>
        <w:rPr>
          <w:noProof/>
        </w:rPr>
        <w:t>„Članak 199.b</w:t>
      </w:r>
    </w:p>
    <w:p>
      <w:pPr>
        <w:pStyle w:val="Normal1"/>
        <w:spacing w:before="120" w:beforeAutospacing="0" w:after="120" w:afterAutospacing="0"/>
        <w:ind w:left="720"/>
        <w:jc w:val="both"/>
        <w:rPr>
          <w:noProof/>
        </w:rPr>
      </w:pPr>
      <w:r>
        <w:rPr>
          <w:noProof/>
        </w:rPr>
        <w:t>1. Država članica može u slučaju iznimne hitnosti i u skladu sa stavcima 2. i 3. odrediti primatelja kao osobu odgovornu za plaćanje PDV-a za određene isporuke robe i usluga, odstupajući od članka 193., kao posebnu mjeru mehanizma brze reakcije („MBR”) za suzbijanje iznenadnih prijevara velikih razmjera koje bi mogle dovesti do znatnih i nepopravljivih financijskih gubitaka.</w:t>
      </w:r>
    </w:p>
    <w:p>
      <w:pPr>
        <w:pStyle w:val="Normal1"/>
        <w:ind w:left="720"/>
        <w:jc w:val="both"/>
        <w:rPr>
          <w:noProof/>
        </w:rPr>
      </w:pPr>
      <w:r>
        <w:rPr>
          <w:noProof/>
        </w:rPr>
        <w:t>Posebna mjera MBR-a podliježe odgovarajućim mjerama kontrole koje država članica primjenjuje na porezne obveznike koji isporučuju robu ili usluge na koje se ta mjera odnosi i vrijedi za razdoblje od najviše devet mjeseci.</w:t>
      </w:r>
    </w:p>
    <w:p>
      <w:pPr>
        <w:pStyle w:val="Normal1"/>
        <w:ind w:left="720"/>
        <w:jc w:val="both"/>
        <w:rPr>
          <w:noProof/>
        </w:rPr>
      </w:pPr>
      <w:r>
        <w:rPr>
          <w:noProof/>
        </w:rPr>
        <w:lastRenderedPageBreak/>
        <w:t>2. Država članica koja želi uvesti posebnu mjeru MBR-a predviđenu u stavku 1. šalje obavijest Komisiji služeći se standardiziranim obrascem utvrđenim u skladu sa stavkom 4. te je istodobno šalje drugim državama članicama. Država članica dostavlja Komisiji informacije u kojima se navodi predmetni sektor, vrsta i karakteristike prijevare, postojanje razloga iznimne hitnosti, iznenadnost i veliki razmjeri prijevare te posljedice u smislu znatnih i nepopravljivih financijskih gubitaka. Ako Komisija smatra da ne posjeduje sve potrebne informacije, ona kontaktira dotičnu državu članicu u roku od dva tjedna od primitka obavijesti te navodi koje su joj dodatne informacije potrebne. Sve dodatne informacije koje dotična država članica dostavlja Komisiji istodobno se šalju drugim državama članicama. Ako pružene dodatne informacije nisu dovoljne, Komisija o tome obavješćuje dotičnu državu članicu u roku od tjedan dana.</w:t>
      </w:r>
    </w:p>
    <w:p>
      <w:pPr>
        <w:pStyle w:val="Normal1"/>
        <w:ind w:left="720"/>
        <w:jc w:val="both"/>
        <w:rPr>
          <w:noProof/>
        </w:rPr>
      </w:pPr>
      <w:r>
        <w:rPr>
          <w:noProof/>
        </w:rPr>
        <w:t>Država članica koja želi uvesti posebnu mjeru MBR-a predviđenu u stavku 1. ovog članka istodobno podnosi i zahtjev Komisiji u skladu s postupkom utvrđenim u članku 395. stavcima 2. i 3.</w:t>
      </w:r>
    </w:p>
    <w:p>
      <w:pPr>
        <w:pStyle w:val="Normal1"/>
        <w:ind w:left="720"/>
        <w:jc w:val="both"/>
        <w:rPr>
          <w:noProof/>
        </w:rPr>
      </w:pPr>
      <w:r>
        <w:rPr>
          <w:noProof/>
        </w:rPr>
        <w:t>U slučajevima iznimne hitnosti navedenima u stavku 1. ovog članka postupak utvrđen člankom 395. stavcima 2. i 3. mora biti dovršen u roku od šest mjeseci nakon što je Komisija primila zahtjev.</w:t>
      </w:r>
    </w:p>
    <w:p>
      <w:pPr>
        <w:pStyle w:val="Normal1"/>
        <w:ind w:left="720"/>
        <w:jc w:val="both"/>
        <w:rPr>
          <w:noProof/>
        </w:rPr>
      </w:pPr>
      <w:r>
        <w:rPr>
          <w:noProof/>
        </w:rPr>
        <w:t>3. Kada Komisija primi sve informacije koje smatra potrebnima za procjenu obavijesti iz stavka 2. prvog podstavka, ona o tome obavješćuje države članice. Ako se protivi posebnoj mjeri MBR-a, ona daje negativno mišljenje u roku od mjesec dana od te obavijesti i o tome obavješćuje dotičnu državu članicu i Odbor za PDV. Ako se Komisija ne protivi, potvrđuje to u pisanom obliku dotičnoj državi članici i Odboru za PDV u istom razdoblju. Država članica može donijeti posebnu mjeru MBR-a od dana primitka te potvrde. Komisija prilikom procjene obavijesti uzima u obzir stajališta bilo koje druge države članice poslana u pisanom obliku.</w:t>
      </w:r>
    </w:p>
    <w:p>
      <w:pPr>
        <w:pStyle w:val="Normal1"/>
        <w:ind w:left="720"/>
        <w:jc w:val="both"/>
        <w:rPr>
          <w:noProof/>
        </w:rPr>
      </w:pPr>
      <w:r>
        <w:rPr>
          <w:noProof/>
        </w:rPr>
        <w:t>4. Komisija donosi provedbeni akt o uspostavi standardiziranog obrasca za dostavljanje obavijesti o posebnoj mjeri MBR-a iz stavka 2. i informacija iz stavka 2. prvog podstavka. Taj se provedbeni akt donosi u skladu s postupkom ispitivanja iz stavka 5.</w:t>
      </w:r>
    </w:p>
    <w:p>
      <w:pPr>
        <w:pStyle w:val="Normal1"/>
        <w:ind w:left="720"/>
        <w:jc w:val="both"/>
        <w:rPr>
          <w:noProof/>
        </w:rPr>
      </w:pPr>
      <w:r>
        <w:rPr>
          <w:noProof/>
        </w:rPr>
        <w:t>5. Pri upućivanju na ovaj stavak primjenjuje se članak 5. Uredbe (EU) br. 182/2011 Europskog parlamenta i Vijeća(*), a odbor za te potrebe odbor je uspostavljen člankom 58. Uredbe Vijeća (EU) br. 904/2010(**).</w:t>
      </w:r>
    </w:p>
    <w:p>
      <w:pPr>
        <w:pStyle w:val="Normal1"/>
        <w:ind w:left="720"/>
        <w:rPr>
          <w:noProof/>
        </w:rPr>
      </w:pPr>
      <w:r>
        <w:rPr>
          <w:noProof/>
        </w:rPr>
        <w:t>6. Posebna mjera MBR-a predviđena u stavku 1. primjenjuje se do 30. lipnja 2022.”;</w:t>
      </w:r>
    </w:p>
    <w:p>
      <w:pPr>
        <w:pStyle w:val="Normal1"/>
        <w:ind w:left="850"/>
        <w:rPr>
          <w:noProof/>
        </w:rPr>
      </w:pPr>
      <w:r>
        <w:rPr>
          <w:noProof/>
        </w:rPr>
        <w:t>__________</w:t>
      </w:r>
    </w:p>
    <w:p>
      <w:pPr>
        <w:pStyle w:val="Normal1"/>
        <w:ind w:left="850"/>
        <w:rPr>
          <w:noProof/>
        </w:rPr>
      </w:pPr>
      <w:r>
        <w:rPr>
          <w:noProof/>
        </w:rPr>
        <w:tab/>
        <w:t>(*) Uredba (EU) br. 182/2011 Europskog parlamenta i Vijeća od 16. veljače 2011. o utvrđivanju pravila i općih načela u vezi s mehanizmima nadzora država članica nad izvršavanjem provedbenih ovlasti Komisije (</w:t>
      </w:r>
      <w:hyperlink r:id="rId18">
        <w:r>
          <w:rPr>
            <w:rStyle w:val="Hyperlink"/>
            <w:noProof/>
          </w:rPr>
          <w:t>SL L 55, 28.2.2011., str. 13.</w:t>
        </w:r>
      </w:hyperlink>
      <w:r>
        <w:rPr>
          <w:noProof/>
        </w:rPr>
        <w:t>).</w:t>
      </w:r>
    </w:p>
    <w:p>
      <w:pPr>
        <w:pStyle w:val="Normal1"/>
        <w:ind w:left="850"/>
        <w:rPr>
          <w:noProof/>
        </w:rPr>
      </w:pPr>
      <w:r>
        <w:rPr>
          <w:noProof/>
        </w:rPr>
        <w:tab/>
        <w:t>(**) Uredba Vijeća (EU) br. 904/2010 od 7. listopada 2010. o administrativnoj suradnji i suzbijanju prijevare u području poreza na dodanu vrijednost (</w:t>
      </w:r>
      <w:hyperlink r:id="rId19">
        <w:r>
          <w:rPr>
            <w:rStyle w:val="Hyperlink"/>
            <w:noProof/>
          </w:rPr>
          <w:t>SL L 268, 12.10.2010., str. 1.</w:t>
        </w:r>
      </w:hyperlink>
      <w:r>
        <w:rPr>
          <w:noProof/>
        </w:rPr>
        <w:t>).”;</w:t>
      </w:r>
    </w:p>
    <w:p>
      <w:pPr>
        <w:pStyle w:val="Point0number"/>
        <w:rPr>
          <w:noProof/>
        </w:rPr>
      </w:pPr>
      <w:r>
        <w:rPr>
          <w:noProof/>
        </w:rPr>
        <w:t>u članku 395. stavak 5. briše se.</w:t>
      </w:r>
    </w:p>
    <w:p>
      <w:pPr>
        <w:pStyle w:val="Titrearticle"/>
        <w:rPr>
          <w:noProof/>
        </w:rPr>
      </w:pPr>
      <w:r>
        <w:rPr>
          <w:noProof/>
        </w:rPr>
        <w:t>Članak 2.</w:t>
      </w:r>
    </w:p>
    <w:p>
      <w:pPr>
        <w:rPr>
          <w:noProof/>
        </w:rPr>
      </w:pPr>
      <w:r>
        <w:rPr>
          <w:noProof/>
        </w:rPr>
        <w:t xml:space="preserve">Ova Direktiva stupa na snagu dvadesetog dana od dana objave u </w:t>
      </w:r>
      <w:r>
        <w:rPr>
          <w:i/>
          <w:noProof/>
        </w:rPr>
        <w:t>Službenom listu Europske unije</w:t>
      </w:r>
      <w:r>
        <w:rPr>
          <w:noProof/>
        </w:rPr>
        <w:t>.</w:t>
      </w:r>
    </w:p>
    <w:p>
      <w:pPr>
        <w:pStyle w:val="Titrearticle"/>
        <w:rPr>
          <w:noProof/>
          <w:color w:val="000000" w:themeColor="text1"/>
        </w:rPr>
      </w:pPr>
      <w:r>
        <w:rPr>
          <w:noProof/>
        </w:rPr>
        <w:t>Članak 3.</w:t>
      </w:r>
    </w:p>
    <w:p>
      <w:pPr>
        <w:rPr>
          <w:noProof/>
        </w:rPr>
      </w:pPr>
      <w:r>
        <w:rPr>
          <w:noProof/>
        </w:rPr>
        <w:t>Ova je Direktiva upućena državama članicama.</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Direktiva Vijeća 2006/112/EZ od 28. studenoga 2006. o zajedničkom sustavu poreza na dodanu vrijednost (SL L 347, 11.12.2006., str. 1.).</w:t>
      </w:r>
    </w:p>
  </w:footnote>
  <w:footnote w:id="2">
    <w:p>
      <w:pPr>
        <w:pStyle w:val="FootnoteText"/>
      </w:pPr>
      <w:r>
        <w:rPr>
          <w:rStyle w:val="FootnoteReference"/>
        </w:rPr>
        <w:footnoteRef/>
      </w:r>
      <w:r>
        <w:tab/>
        <w:t xml:space="preserve">Člankom 193. Direktive o PDV-u propisuje se kao opće pravilo da je porezni obveznik koji isporučuje robu ili usluge odgovoran za plaćanje PDV-a. Kao odstupanje od sustava obročnog plaćanja, mehanizam prijenosa porezne obveze omogućuje da se odredi da je primatelj (porezni obveznik) isporuke osoba odgovorna za plaćanje PDV-a. </w:t>
      </w:r>
    </w:p>
  </w:footnote>
  <w:footnote w:id="3">
    <w:p>
      <w:pPr>
        <w:pStyle w:val="FootnoteText"/>
      </w:pPr>
      <w:r>
        <w:rPr>
          <w:rStyle w:val="FootnoteReference"/>
        </w:rPr>
        <w:footnoteRef/>
      </w:r>
      <w:r>
        <w:tab/>
      </w:r>
      <w:r>
        <w:rPr>
          <w:rStyle w:val="FootnoteTextChar"/>
          <w:lang w:val="hr-HR"/>
        </w:rPr>
        <w:t xml:space="preserve">Kako je uveden Direktivom Vijeća 2013/43/EU od 22. srpnja 2013. o izmjeni Direktive 2006/112/EZ o zajedničkom sustavu poreza na dodanu vrijednost u vezi s neobveznom i privremenom primjenom mehanizma obrnutog oporezivanja na isporuke određene robe i usluga podložnih prijevari (SL L 201, 26.7.2013., str. 4.). </w:t>
      </w:r>
    </w:p>
  </w:footnote>
  <w:footnote w:id="4">
    <w:p>
      <w:pPr>
        <w:pStyle w:val="FootnoteText"/>
      </w:pPr>
      <w:r>
        <w:rPr>
          <w:rStyle w:val="FootnoteReference"/>
        </w:rPr>
        <w:footnoteRef/>
      </w:r>
      <w:r>
        <w:tab/>
        <w:t xml:space="preserve">Uveden Direktivom Vijeća 2013/42/EU od 22. srpnja 2013. o izmjeni Direktive 2006/112/EZ o zajedničkom sustavu poreza na dodanu vrijednost u vezi s mehanizmom brze reakcije protiv prijevara s PDV-om (SL L 201, 26.7.2013., str. 1.). </w:t>
      </w:r>
    </w:p>
  </w:footnote>
  <w:footnote w:id="5">
    <w:p>
      <w:pPr>
        <w:pStyle w:val="FootnoteText"/>
      </w:pPr>
      <w:r>
        <w:rPr>
          <w:rStyle w:val="FootnoteReference"/>
        </w:rPr>
        <w:footnoteRef/>
      </w:r>
      <w:r>
        <w:tab/>
        <w:t xml:space="preserve">Za MBR vidjeti članak 2. Direktive Vijeća 2013/42/EU. </w:t>
      </w:r>
    </w:p>
  </w:footnote>
  <w:footnote w:id="6">
    <w:p>
      <w:pPr>
        <w:pStyle w:val="FootnoteText"/>
      </w:pPr>
      <w:r>
        <w:rPr>
          <w:rStyle w:val="FootnoteReference"/>
        </w:rPr>
        <w:footnoteRef/>
      </w:r>
      <w:r>
        <w:tab/>
        <w:t xml:space="preserve">Izvješće Komisije Vijeću i Europskom parlamentu o učinku članaka 199.a i 199.b Direktive Vijeća 2006/112/EZ u borbi protiv prijevara, COM(2018) 118/2. </w:t>
      </w:r>
    </w:p>
  </w:footnote>
  <w:footnote w:id="7">
    <w:p>
      <w:pPr>
        <w:pStyle w:val="FootnoteText"/>
      </w:pPr>
      <w:r>
        <w:rPr>
          <w:rStyle w:val="FootnoteReference"/>
        </w:rPr>
        <w:footnoteRef/>
      </w:r>
      <w:r>
        <w:tab/>
        <w:t xml:space="preserve">Stručna skupina za PDV pomaže i savjetuje Europsku komisiju u području PDV-a. Skupinu čine pojedinci imenovani u osobnom svojstvu s potrebnim stručnim znanjem u području PDV-a, kao i organizacije koje posebno predstavljaju poduzeća te porezni stručnjaci koji mogu pomoći u razvoju i provedbi politika PDV-a. </w:t>
      </w:r>
    </w:p>
  </w:footnote>
  <w:footnote w:id="8">
    <w:p>
      <w:pPr>
        <w:pStyle w:val="FootnoteText"/>
      </w:pPr>
      <w:r>
        <w:rPr>
          <w:rStyle w:val="FootnoteReference"/>
        </w:rPr>
        <w:footnoteRef/>
      </w:r>
      <w:r>
        <w:tab/>
        <w:t xml:space="preserve">Put k jedinstvenom europskom području PDV-a – vrijeme je za donošenje odluka. </w:t>
      </w:r>
      <w:r>
        <w:rPr>
          <w:color w:val="000000"/>
        </w:rPr>
        <w:t xml:space="preserve">Izmijenjeni Prijedlog </w:t>
      </w:r>
      <w:r>
        <w:t xml:space="preserve">uredbe Vijeća </w:t>
      </w:r>
    </w:p>
    <w:p>
      <w:pPr>
        <w:pStyle w:val="FootnoteText"/>
        <w:ind w:firstLine="0"/>
      </w:pPr>
      <w:r>
        <w:rPr>
          <w:color w:val="000000"/>
        </w:rPr>
        <w:t>o izmjeni Uredbe Vijeća (EU) br. 904/2010 o administrativnoj suradnji i suzbijanju prijevare u području poreza na dodanu vrijednost</w:t>
      </w:r>
      <w:r>
        <w:rPr>
          <w:color w:val="000000"/>
          <w:sz w:val="24"/>
        </w:rPr>
        <w:t xml:space="preserve">, </w:t>
      </w:r>
      <w:r>
        <w:t xml:space="preserve">COM(2017) 706 final. </w:t>
      </w:r>
    </w:p>
  </w:footnote>
  <w:footnote w:id="9">
    <w:p>
      <w:pPr>
        <w:pStyle w:val="FootnoteText"/>
      </w:pPr>
      <w:r>
        <w:rPr>
          <w:rStyle w:val="FootnoteReference"/>
        </w:rPr>
        <w:footnoteRef/>
      </w:r>
      <w:r>
        <w:tab/>
      </w:r>
      <w:r>
        <w:rPr>
          <w:rStyle w:val="FootnoteTextChar"/>
          <w:lang w:val="hr-HR"/>
        </w:rPr>
        <w:t>Prijedlog direktive Vijeća o izmjeni Direktive 2006/112/EZ o zajedničkom sustavu poreza na dodanu vrijednost u pogledu usklađivanja i pojednostavnjenja određenih pravila sustava poreza na dodanu vrijednost i uvođenja konačnog sustava za oporezivanje trgovine među državama članicama, COM(2017) 569 final</w:t>
      </w:r>
      <w:r>
        <w:t xml:space="preserve">. </w:t>
      </w:r>
    </w:p>
  </w:footnote>
  <w:footnote w:id="10">
    <w:p>
      <w:pPr>
        <w:pStyle w:val="FootnoteText"/>
        <w:rPr>
          <w:rStyle w:val="FootnoteTextChar"/>
          <w:lang w:val="hr-HR"/>
        </w:rPr>
      </w:pPr>
      <w:r>
        <w:rPr>
          <w:rStyle w:val="FootnoteReference"/>
        </w:rPr>
        <w:footnoteRef/>
      </w:r>
      <w:r>
        <w:tab/>
      </w:r>
      <w:r>
        <w:rPr>
          <w:rStyle w:val="FootnoteTextChar"/>
          <w:lang w:val="hr-HR"/>
        </w:rPr>
        <w:t xml:space="preserve">Prijedlog direktive Vijeća o izmjeni Direktive 2006/112/EZ o zajedničkom sustavu poreza na dodanu vrijednost u pogledu privremene primjene općeg mehanizma obrnutog oporezivanja na isporuke robe i usluga iznad određenog praga, COM(2016) 811 final. </w:t>
      </w:r>
    </w:p>
  </w:footnote>
  <w:footnote w:id="11">
    <w:p>
      <w:pPr>
        <w:pStyle w:val="FootnoteText"/>
      </w:pPr>
      <w:r>
        <w:rPr>
          <w:rStyle w:val="FootnoteReference"/>
        </w:rPr>
        <w:footnoteRef/>
      </w:r>
      <w:r>
        <w:tab/>
        <w:t>EY, 2014.</w:t>
      </w:r>
    </w:p>
  </w:footnote>
  <w:footnote w:id="12">
    <w:p>
      <w:pPr>
        <w:pStyle w:val="FootnoteText"/>
        <w:rPr>
          <w:rStyle w:val="FootnoteTextChar"/>
          <w:lang w:val="hr-HR"/>
        </w:rPr>
      </w:pPr>
      <w:r>
        <w:rPr>
          <w:rStyle w:val="FootnoteReference"/>
        </w:rPr>
        <w:footnoteRef/>
      </w:r>
      <w:r>
        <w:tab/>
      </w:r>
      <w:r>
        <w:rPr>
          <w:rStyle w:val="FootnoteTextChar"/>
          <w:lang w:val="hr-HR"/>
        </w:rPr>
        <w:t>Procjena učinka za prijedlog u pogledu privremene primjene općeg mehanizma obrnutog oporezivanja na isporuke robe i usluga iznad određenog praga, SWD(2016) 457.</w:t>
      </w:r>
    </w:p>
  </w:footnote>
  <w:footnote w:id="13">
    <w:p>
      <w:pPr>
        <w:pStyle w:val="FootnoteText"/>
      </w:pPr>
      <w:r>
        <w:rPr>
          <w:rStyle w:val="FootnoteReference"/>
        </w:rPr>
        <w:footnoteRef/>
      </w:r>
      <w:r>
        <w:tab/>
        <w:t>SL C , , str. .</w:t>
      </w:r>
    </w:p>
  </w:footnote>
  <w:footnote w:id="14">
    <w:p>
      <w:pPr>
        <w:pStyle w:val="FootnoteText"/>
      </w:pPr>
      <w:r>
        <w:rPr>
          <w:rStyle w:val="FootnoteReference"/>
        </w:rPr>
        <w:footnoteRef/>
      </w:r>
      <w:r>
        <w:tab/>
        <w:t>SL C , , str. .</w:t>
      </w:r>
    </w:p>
  </w:footnote>
  <w:footnote w:id="15">
    <w:p>
      <w:pPr>
        <w:pStyle w:val="FootnoteText"/>
      </w:pPr>
      <w:r>
        <w:rPr>
          <w:rStyle w:val="FootnoteReference"/>
        </w:rPr>
        <w:footnoteRef/>
      </w:r>
      <w:r>
        <w:tab/>
        <w:t xml:space="preserve">Direktiva Vijeća 2006/112/EZ od 28. studenoga 2006. o zajedničkom sustavu poreza na dodanu vrijednost (SL L 347, 11.12.2006., str. 1.). </w:t>
      </w:r>
    </w:p>
  </w:footnote>
  <w:footnote w:id="16">
    <w:p>
      <w:pPr>
        <w:pStyle w:val="FootnoteText"/>
      </w:pPr>
      <w:r>
        <w:rPr>
          <w:rStyle w:val="FootnoteReference"/>
        </w:rPr>
        <w:footnoteRef/>
      </w:r>
      <w:r>
        <w:tab/>
        <w:t xml:space="preserve">Direktiva Vijeća 2013/42/EU od 22. srpnja 2013. o izmjeni Direktive 2006/112/EZ o zajedničkom sustavu poreza na dodanu vrijednost u vezi s mehanizmom brze reakcije na prijevaru u vezi s PDV-om (SL L 201, 26.7.2013., str. 1.). </w:t>
      </w:r>
    </w:p>
    <w:p>
      <w:pPr>
        <w:pStyle w:val="FootnoteText"/>
      </w:pPr>
    </w:p>
  </w:footnote>
  <w:footnote w:id="17">
    <w:p>
      <w:pPr>
        <w:pStyle w:val="FootnoteText"/>
      </w:pPr>
      <w:r>
        <w:rPr>
          <w:rStyle w:val="FootnoteReference"/>
        </w:rPr>
        <w:footnoteRef/>
      </w:r>
      <w:r>
        <w:tab/>
        <w:t xml:space="preserve">Izvješće Komisije Vijeću i Europskom parlamentu o učinku članaka 199.a i 199.b Direktive Vijeća 2006/112/EZ u borbi protiv prijevara, COM(2018) 118 od 8. ožujka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60E4B9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C2F3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D3F031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B0E15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DE05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4CA05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87A6610"/>
    <w:lvl w:ilvl="0">
      <w:start w:val="1"/>
      <w:numFmt w:val="decimal"/>
      <w:pStyle w:val="ListNumber"/>
      <w:lvlText w:val="%1."/>
      <w:lvlJc w:val="left"/>
      <w:pPr>
        <w:tabs>
          <w:tab w:val="num" w:pos="360"/>
        </w:tabs>
        <w:ind w:left="360" w:hanging="360"/>
      </w:pPr>
    </w:lvl>
  </w:abstractNum>
  <w:abstractNum w:abstractNumId="7">
    <w:nsid w:val="FFFFFF89"/>
    <w:multiLevelType w:val="singleLevel"/>
    <w:tmpl w:val="78A284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docVars>
    <w:docVar w:name="DQCDateTime" w:val="2018-05-25 17:21:1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5"/>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5"/>
    <w:docVar w:name="DQCStatus" w:val="Green"/>
    <w:docVar w:name="DQCVersion" w:val="3"/>
    <w:docVar w:name="DQCWithWarnings" w:val="0"/>
    <w:docVar w:name="LW_CORRIGENDUM" w:val="&lt;UNUSED&gt;"/>
    <w:docVar w:name="LW_COVERPAGE_EXISTS" w:val="True"/>
    <w:docVar w:name="LW_COVERPAGE_GUID" w:val="980DF3E4-329A-4359-B9B9-7E396F38DA7D"/>
    <w:docVar w:name="LW_COVERPAGE_TYPE" w:val="1"/>
    <w:docVar w:name="LW_CROSSREFERENCE" w:val="&lt;UNUSED&gt;"/>
    <w:docVar w:name="LW_DocType" w:val="COM"/>
    <w:docVar w:name="LW_EMISSION" w:val="25.5.2018."/>
    <w:docVar w:name="LW_EMISSION_ISODATE" w:val="2018-05-25"/>
    <w:docVar w:name="LW_EMISSION_LOCATION" w:val="BRX"/>
    <w:docVar w:name="LW_EMISSION_PREFIX" w:val="Bruxelles,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NS"/>
    <w:docVar w:name="LW_REF.II.NEW.CP_NUMBER" w:val="0150"/>
    <w:docVar w:name="LW_REF.II.NEW.CP_YEAR" w:val="2018"/>
    <w:docVar w:name="LW_REF.INST.NEW" w:val="COM"/>
    <w:docVar w:name="LW_REF.INST.NEW_ADOPTED" w:val="final"/>
    <w:docVar w:name="LW_REF.INST.NEW_TEXT" w:val="(2018) 2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izmjeni Direktive 2006/112/EZ o zajedni\u269?kom sustavu poreza na dodanu vrijednost u pogledu razdoblja primjene neobveznog mehanizma prijenosa porezne obveze u odnosu na isporuke odre\u273?ene robe i usluga podlo\u382?nih prijevari te primjene mehanizma brze reakcije na prijevaru u vezi s PDV-om"/>
    <w:docVar w:name="LW_TYPE.DOC.CP" w:val="DIREKTIVE VIJE\u262?A"/>
  </w:docVar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DocumentMap">
    <w:name w:val="Document Map"/>
    <w:basedOn w:val="Normal"/>
    <w:link w:val="DocumentMapChar"/>
    <w:uiPriority w:val="99"/>
    <w:semiHidden/>
    <w:unhideWhenUse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hr-H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ur-lex.europa.eu/legal-content/HR/AUTO/?uri=OJ:L:2011:055:T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eur-lex.europa.eu/legal-content/HR/AUTO/?uri=OJ:L:2010:268:TO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0E2A-1046-466C-8724-DA1EB850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2908</Words>
  <Characters>16844</Characters>
  <Application>Microsoft Office Word</Application>
  <DocSecurity>0</DocSecurity>
  <Lines>285</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2018-04-24T10:25:00Z</cp:lastPrinted>
  <dcterms:created xsi:type="dcterms:W3CDTF">2018-05-25T08:16:00Z</dcterms:created>
  <dcterms:modified xsi:type="dcterms:W3CDTF">2018-05-25T15:21:00Z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