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2A557F9-30AF-430E-A074-2A25EF8301B5" style="width:450.45pt;height:366.3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noProof/>
        </w:rPr>
      </w:pPr>
      <w:r>
        <w:rPr>
          <w:noProof/>
        </w:rPr>
        <w:t xml:space="preserve">Systém harmonizovaných spotřebních daní v EU je vymezen několika právními akty. Směrnice Rady 2008/118/ES obsahuje obecnou úpravu zboží podléhajícího spotřební dani se zvláštním důrazem na výrobu a skladování tohoto zboží a jeho přepravu mezi členskými státy. Na energetické produkty a elektřinu se vztahuje směrnice 2003/96/ES a na tabákové výrobky směrnice 2011/64/EU. </w:t>
      </w:r>
    </w:p>
    <w:p>
      <w:pPr>
        <w:pBdr>
          <w:top w:val="nil"/>
          <w:left w:val="nil"/>
          <w:bottom w:val="nil"/>
          <w:right w:val="nil"/>
          <w:between w:val="nil"/>
          <w:bar w:val="nil"/>
        </w:pBdr>
        <w:spacing w:before="0" w:after="240"/>
        <w:rPr>
          <w:rFonts w:eastAsia="Arial Unicode MS"/>
          <w:noProof/>
        </w:rPr>
      </w:pPr>
      <w:r>
        <w:rPr>
          <w:noProof/>
        </w:rPr>
        <w:t xml:space="preserve">Směrnice 92/83/EHS o struktuře spotřebních daní z alkoholu a alkoholických nápojů stanoví společná pravidla pro strukturu spotřebních daní uplatňovaných u alkoholu a alkoholických nápojů. Směrnice 92/83/EHS definuje a klasifikuje různé druhy alkoholu a alkoholických nápojů podle jejich vlastností a stanoví právní rámec pro snížené sazby, osvobození od daně a odchylky v některých odvětvích. </w:t>
      </w:r>
    </w:p>
    <w:p>
      <w:pPr>
        <w:rPr>
          <w:noProof/>
        </w:rPr>
      </w:pPr>
      <w:r>
        <w:rPr>
          <w:noProof/>
        </w:rPr>
        <w:t>Od přijetí uvedené směrnice v roce 1992 bylo její první a jediné hodnocení zahájeno v roce 2014. Proto Komise směrnici vybrala pro hodnocení v rámci svého Programu pro účelnost a účinnost právních předpisů (REFIT)</w:t>
      </w:r>
      <w:r>
        <w:rPr>
          <w:rStyle w:val="FootnoteReference"/>
          <w:noProof/>
        </w:rPr>
        <w:footnoteReference w:id="2"/>
      </w:r>
      <w:r>
        <w:rPr>
          <w:noProof/>
        </w:rPr>
        <w:t>. Iniciativa REFIT týkající se zmíněné směrnice a směrnice 2008/118/ES byla oznámena v příloze II pracovního programu Komise na rok 2017</w:t>
      </w:r>
      <w:r>
        <w:rPr>
          <w:rStyle w:val="FootnoteReference"/>
          <w:noProof/>
        </w:rPr>
        <w:footnoteReference w:id="3"/>
      </w:r>
      <w:r>
        <w:rPr>
          <w:noProof/>
        </w:rPr>
        <w:t>. Spolu s tímto návrhem bude Radě předložen také návrh na změnu směrnice 2008/118/ES.</w:t>
      </w:r>
    </w:p>
    <w:p>
      <w:pPr>
        <w:rPr>
          <w:noProof/>
        </w:rPr>
      </w:pPr>
      <w:r>
        <w:rPr>
          <w:noProof/>
        </w:rPr>
        <w:t>Směrnice nedokázala držet krok s výzvami a příležitostmi, jež jsou spojeny s novými technologiemi a vývojem v odvětví alkoholu. Byly zjištěny některé problémy a přetrvává neefektivnost, která může způsobovat narušení vnitřního trhu. Velké rozdíly ve výši daně mezi členskými státy</w:t>
      </w:r>
      <w:r>
        <w:rPr>
          <w:rStyle w:val="FootnoteReference"/>
          <w:noProof/>
        </w:rPr>
        <w:footnoteReference w:id="4"/>
      </w:r>
      <w:r>
        <w:rPr>
          <w:noProof/>
        </w:rPr>
        <w:t>, které vytvářejí silnou motivaci k daňovým únikům, a další slabiny v koncepci této daně vedou k nutnosti používat správní postupy, jež jsou zatěžující jak pro správce daně, tak pro hospodářské subjekty. Související neúměrné administrativní náklady a náklady na dodržování předpisů pro hospodářské subjekty omezují účast malých a středních podniků na obchodu s alkoholem a alkoholickými nápoji v rámci EU.</w:t>
      </w:r>
    </w:p>
    <w:p>
      <w:pPr>
        <w:rPr>
          <w:noProof/>
        </w:rPr>
      </w:pPr>
      <w:r>
        <w:rPr>
          <w:noProof/>
        </w:rPr>
        <w:t>Doporučení a zjištění uvedeného hodnocení</w:t>
      </w:r>
      <w:r>
        <w:rPr>
          <w:rStyle w:val="FootnoteReference"/>
          <w:noProof/>
        </w:rPr>
        <w:footnoteReference w:id="5"/>
      </w:r>
      <w:r>
        <w:rPr>
          <w:noProof/>
        </w:rPr>
        <w:t xml:space="preserve"> byla zohledněna ve zprávě Komise předložené Radě v říjnu 2016</w:t>
      </w:r>
      <w:r>
        <w:rPr>
          <w:rStyle w:val="FootnoteReference"/>
          <w:noProof/>
        </w:rPr>
        <w:footnoteReference w:id="6"/>
      </w:r>
      <w:r>
        <w:rPr>
          <w:noProof/>
        </w:rPr>
        <w:t>. V prosinci 2016 členské státy jednomyslně podpořily výzvu k přezkumu směrnice a Rada následně přijala závěry Rady ze dne 6. prosince 2016</w:t>
      </w:r>
      <w:r>
        <w:rPr>
          <w:rStyle w:val="FootnoteReference"/>
          <w:noProof/>
        </w:rPr>
        <w:footnoteReference w:id="7"/>
      </w:r>
      <w:r>
        <w:rPr>
          <w:noProof/>
        </w:rPr>
        <w:t>, ve kterých Komisi požádala, aby provedla nezbytné studie a konzultace s cílem předložit návrh na revizi.</w:t>
      </w:r>
    </w:p>
    <w:p>
      <w:pPr>
        <w:rPr>
          <w:noProof/>
        </w:rPr>
      </w:pPr>
      <w:r>
        <w:rPr>
          <w:noProof/>
        </w:rPr>
        <w:lastRenderedPageBreak/>
        <w:t xml:space="preserve">Studie a posouzení dopadů se zaměřily na tytéž hlavní oblasti, které jsou uvedeny ve zprávě Komise a závěrech Rady a kterými jsou: </w:t>
      </w:r>
    </w:p>
    <w:p>
      <w:pPr>
        <w:pStyle w:val="Bullet0"/>
        <w:numPr>
          <w:ilvl w:val="0"/>
          <w:numId w:val="10"/>
        </w:numPr>
        <w:rPr>
          <w:noProof/>
        </w:rPr>
      </w:pPr>
      <w:r>
        <w:rPr>
          <w:noProof/>
        </w:rPr>
        <w:t xml:space="preserve">problémy při uplatňování osvobození denaturovaného lihu od daně. Návrh vyjasňuje příslušné články směrnice za účelem zvýšení právní jistoty, </w:t>
      </w:r>
    </w:p>
    <w:p>
      <w:pPr>
        <w:pStyle w:val="Bullet0"/>
        <w:rPr>
          <w:noProof/>
        </w:rPr>
      </w:pPr>
      <w:r>
        <w:rPr>
          <w:noProof/>
        </w:rPr>
        <w:t xml:space="preserve">problémy v klasifikaci některých alkoholických nápojů. Navrhuje se rozdělit stávající kategorii „ostatní kvašené nápoje“ na dvě podkategorie. U první podkategorie zůstane zachováno současné zacházení, zatímco druhá vymezí tradiční ostatní kvašené nápoje, s nimiž se bude zacházet odlišně, </w:t>
      </w:r>
    </w:p>
    <w:p>
      <w:pPr>
        <w:pStyle w:val="Bullet0"/>
        <w:rPr>
          <w:noProof/>
        </w:rPr>
      </w:pPr>
      <w:r>
        <w:rPr>
          <w:noProof/>
        </w:rPr>
        <w:t>nefunkční uplatňování snížených sazeb pro malé výrobce a nápoje s nízkým obsahem alkoholu. Návrh zahrnuje rozšíření snížených sazeb na malé výrobce cidru a zvýšení limitu, do kterého lze snížené sazby použít u piva. Navrhuje se také vytvořit jednotné osvědčení pro malé nezávislé pivovary a výrobce cidru, platné v celé EU,</w:t>
      </w:r>
    </w:p>
    <w:p>
      <w:pPr>
        <w:pStyle w:val="Bullet0"/>
        <w:rPr>
          <w:noProof/>
        </w:rPr>
      </w:pPr>
      <w:r>
        <w:rPr>
          <w:noProof/>
        </w:rPr>
        <w:t>nejasná ustanovení o měření stupňů Plato</w:t>
      </w:r>
      <w:r>
        <w:rPr>
          <w:rStyle w:val="FootnoteReference"/>
          <w:noProof/>
        </w:rPr>
        <w:footnoteReference w:id="8"/>
      </w:r>
      <w:r>
        <w:rPr>
          <w:noProof/>
        </w:rPr>
        <w:t xml:space="preserve"> u slazeného nebo ochuceného piva. Návrh vyjasňuje příslušné články za účelem zvýšení právní jistoty.</w:t>
      </w:r>
    </w:p>
    <w:p>
      <w:pPr>
        <w:pBdr>
          <w:top w:val="nil"/>
          <w:left w:val="nil"/>
          <w:bottom w:val="nil"/>
          <w:right w:val="nil"/>
          <w:between w:val="nil"/>
          <w:bar w:val="nil"/>
        </w:pBdr>
        <w:spacing w:before="0" w:after="240"/>
        <w:rPr>
          <w:noProof/>
        </w:rPr>
      </w:pPr>
      <w:r>
        <w:rPr>
          <w:noProof/>
        </w:rPr>
        <w:t>Studie z roku 2017 použila široký přístup k možným problémům s fungováním směrnice 92/83/EHS, které byly zjištěny z různých zdrojů. Následná analýza obou studií vedla k závěru, že ne všechny aspekty problematických oblastí vyžadují opatření EU. Tento návrh se proto nezabývá těmito oblastmi určenými v závěrech Rady:</w:t>
      </w:r>
    </w:p>
    <w:p>
      <w:pPr>
        <w:pStyle w:val="Bullet0"/>
        <w:rPr>
          <w:rFonts w:eastAsia="Arial Unicode MS"/>
          <w:noProof/>
        </w:rPr>
      </w:pPr>
      <w:r>
        <w:rPr>
          <w:noProof/>
        </w:rPr>
        <w:t xml:space="preserve">rozšíření osvobození od spotřební daně pro soukromou výrobu kvašených nápojů (tj. piva, vína a ostatních kvašených nápojů) určených k domácí spotřebě na další nápoje (tj. líh). S touto možností se dále nepracovalo kvůli souvisejícím zdravotním rizikům a rizikům podvodů a nedostatku podpory ze strany členských států, </w:t>
      </w:r>
    </w:p>
    <w:p>
      <w:pPr>
        <w:pStyle w:val="Bullet0"/>
        <w:rPr>
          <w:rFonts w:eastAsia="Arial Unicode MS"/>
          <w:noProof/>
        </w:rPr>
      </w:pPr>
      <w:r>
        <w:rPr>
          <w:noProof/>
        </w:rPr>
        <w:t xml:space="preserve">rozšíření snížených sazeb na malé výrobce vína a alkoholizovaného vína. Bylo rozhodnuto tuto otázku neřešit, protože uvedené rozšíření by těmto malým výrobcům nepřineslo žádný prospěch, </w:t>
      </w:r>
    </w:p>
    <w:p>
      <w:pPr>
        <w:pStyle w:val="Bullet0"/>
        <w:rPr>
          <w:rFonts w:eastAsia="Arial Unicode MS"/>
          <w:noProof/>
        </w:rPr>
      </w:pPr>
      <w:r>
        <w:rPr>
          <w:noProof/>
        </w:rPr>
        <w:t xml:space="preserve">snížení sazeb spotřební daně u vína s nízkým obsahem alkoholu, lihu a meziproduktů. V této věci se nepokračovalo, protože soulad s definicemi těchto výrobků podle práva EU fakticky znamená, že by nebylo dosaženo žádných přínosů.  </w:t>
      </w:r>
    </w:p>
    <w:p>
      <w:pPr>
        <w:pStyle w:val="Text1"/>
        <w:ind w:left="0"/>
        <w:rPr>
          <w:rFonts w:eastAsia="Arial Unicode MS"/>
          <w:noProof/>
        </w:rPr>
      </w:pPr>
      <w:r>
        <w:rPr>
          <w:noProof/>
        </w:rPr>
        <w:t>Cílem této iniciativy je změnit směrnici Rady 92/83/EHS za účelem zlepšení regulačního rámce, a přinést tak prospěch podnikům, členským státům a občanům.</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rFonts w:eastAsia="Arial Unicode MS"/>
          <w:noProof/>
        </w:rPr>
      </w:pPr>
      <w:r>
        <w:rPr>
          <w:noProof/>
        </w:rPr>
        <w:t>Návrh zachovává cíle směrnice 92/83/EHS, které byly v plném souladu se stávajícími politikami a cíli s významem pro strukturu spotřebních daní z alkoholu a alkoholických nápojů.</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noProof/>
        </w:rPr>
      </w:pPr>
      <w:r>
        <w:rPr>
          <w:noProof/>
          <w:sz w:val="23"/>
        </w:rPr>
        <w:t>Návrh je v souladu se strategií pro jednotný trh z roku 2015</w:t>
      </w:r>
      <w:r>
        <w:rPr>
          <w:rStyle w:val="FootnoteReference"/>
          <w:noProof/>
          <w:sz w:val="23"/>
        </w:rPr>
        <w:footnoteReference w:id="9"/>
      </w:r>
      <w:r>
        <w:rPr>
          <w:noProof/>
        </w:rPr>
        <w:t>, jejímž prostřednictvím se Komise snaží odstranit rozdíly na vnitrostátní úrovni s cílem zajistit a zlepšit fungování jednotného trhu.</w:t>
      </w:r>
    </w:p>
    <w:p>
      <w:pPr>
        <w:pBdr>
          <w:top w:val="nil"/>
          <w:left w:val="nil"/>
          <w:bottom w:val="nil"/>
          <w:right w:val="nil"/>
          <w:between w:val="nil"/>
          <w:bar w:val="nil"/>
        </w:pBdr>
        <w:spacing w:before="0" w:after="240"/>
        <w:rPr>
          <w:rFonts w:eastAsia="Arial Unicode MS"/>
          <w:noProof/>
        </w:rPr>
      </w:pPr>
      <w:r>
        <w:rPr>
          <w:noProof/>
        </w:rPr>
        <w:lastRenderedPageBreak/>
        <w:t>Navrhované opatření týkající se denaturovaného lihu je v souladu s požadavky článku 168 SFEU, podle kterého Komise zajišťuje ochranu lidského zdraví. Toto opatření je určeno k omezení daňových podvodů a nepříznivých dopadů na zdraví u denaturovaného lihu, který může sloužit k nedovolené výrobě alkoholu.</w:t>
      </w:r>
    </w:p>
    <w:p>
      <w:pPr>
        <w:rPr>
          <w:noProof/>
        </w:rPr>
      </w:pPr>
      <w:r>
        <w:rPr>
          <w:noProof/>
        </w:rPr>
        <w:t>Dopady na zdraví u snížených sazeb pro malé výrobce cidru a pivo s nízkým obsahem alkoholu nelze v současnosti jednoznačně určit, ale nepředpokládá se, že budou významné.</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rPr>
      </w:pPr>
      <w:r>
        <w:rPr>
          <w:noProof/>
        </w:rPr>
        <w:t xml:space="preserve">Právním základem je článek 113 SFEU. </w:t>
      </w:r>
      <w:r>
        <w:rPr>
          <w:noProof/>
          <w:sz w:val="23"/>
        </w:rPr>
        <w:t>Toto ustanovení umožňuje Radě, aby zvláštním legislativním postupem a po konzultaci s Evropským parlamentem a Hospodářským a sociálním výborem jednomyslně přijala ustanovení k harmonizaci právních předpisů členských států v oblasti nepřímých daní.</w:t>
      </w:r>
    </w:p>
    <w:p>
      <w:pPr>
        <w:pStyle w:val="ManualHeading2"/>
        <w:rPr>
          <w:rFonts w:eastAsia="Arial Unicode MS"/>
          <w:noProof/>
          <w:u w:color="000000"/>
          <w:bdr w:val="nil"/>
        </w:rPr>
      </w:pPr>
      <w:r>
        <w:rPr>
          <w:noProof/>
        </w:rPr>
        <w:t>•</w:t>
      </w:r>
      <w:r>
        <w:rPr>
          <w:noProof/>
        </w:rPr>
        <w:tab/>
        <w:t xml:space="preserve">Subsidiarita (v případě nevýlučné pravomoci) </w:t>
      </w:r>
    </w:p>
    <w:p>
      <w:pPr>
        <w:pBdr>
          <w:top w:val="nil"/>
          <w:left w:val="nil"/>
          <w:bottom w:val="nil"/>
          <w:right w:val="nil"/>
          <w:between w:val="nil"/>
          <w:bar w:val="nil"/>
        </w:pBdr>
        <w:spacing w:before="0" w:after="240"/>
        <w:rPr>
          <w:noProof/>
        </w:rPr>
      </w:pPr>
      <w:r>
        <w:rPr>
          <w:noProof/>
        </w:rPr>
        <w:t>V souladu se zásadami subsidiarity a proporcionality ve smyslu článku 5 Smlouvy o Evropské unii</w:t>
      </w:r>
      <w:r>
        <w:rPr>
          <w:rStyle w:val="FootnoteReference"/>
          <w:noProof/>
        </w:rPr>
        <w:footnoteReference w:id="10"/>
      </w:r>
      <w:r>
        <w:rPr>
          <w:noProof/>
        </w:rPr>
        <w:t xml:space="preserve"> nemůže být cílů tohoto návrhu uspokojivě dosaženo na úrovni členských států, a proto jich může být lépe dosaženo na úrovni Unie. Návrh nepřekračuje rámec toho, co je k dosažení uvedených cílů nezbytné. </w:t>
      </w:r>
    </w:p>
    <w:p>
      <w:pPr>
        <w:pBdr>
          <w:top w:val="nil"/>
          <w:left w:val="nil"/>
          <w:bottom w:val="nil"/>
          <w:right w:val="nil"/>
          <w:between w:val="nil"/>
          <w:bar w:val="nil"/>
        </w:pBdr>
        <w:spacing w:before="0" w:after="240"/>
        <w:rPr>
          <w:noProof/>
        </w:rPr>
      </w:pPr>
      <w:r>
        <w:rPr>
          <w:noProof/>
        </w:rPr>
        <w:t xml:space="preserve">Zdroj současných komplikací v oblasti osvobození od spotřební daně u denaturovaného lihu, klasifikace některých alkoholických nápojů, postavení malých nezávislých pivovarů a měření stupňů Plato spočívá právě v neexistenci jasných pravidel na úrovni EU. Jednostranně přijímaná rozhodnutí členských států zvyšují složitost a vytvářejí právní nejistotu. Rozšíření snížených sazeb spotřební daně na malé nezávislé výrobce cidru není možné, protože směrnice členským státům fakticky brání tuto nerovnováhu napravit; členské státy totiž mohou snížené sazby spotřební daně uplatňovat u malých nezávislých výrobců piva a lihu, ale ne u malých nezávislých výrobců cidru. Totéž platí ohledně limitu pro nápoje s nízkým obsahem alkoholu. </w:t>
      </w:r>
    </w:p>
    <w:p>
      <w:pPr>
        <w:pBdr>
          <w:top w:val="nil"/>
          <w:left w:val="nil"/>
          <w:bottom w:val="nil"/>
          <w:right w:val="nil"/>
          <w:between w:val="nil"/>
          <w:bar w:val="nil"/>
        </w:pBdr>
        <w:spacing w:before="0" w:after="240"/>
        <w:rPr>
          <w:rFonts w:eastAsia="Arial Unicode MS"/>
          <w:noProof/>
        </w:rPr>
      </w:pPr>
      <w:r>
        <w:rPr>
          <w:noProof/>
        </w:rPr>
        <w:t>Většina správních orgánů členských států upozornila na potřebu zdokonalit společné definice a pravidla týkající se alkoholu a alkoholických nápojů pro účely spotřební daně na úrovni EU.  To se odráží také v závěrech Rady přijatých dne 6. prosince 2016, v nichž Rada požádala Komisi, aby provedla nezbytné studie za účelem přípravy možného legislativního návrhu na revizi směrnice 92/83/EHS.</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 xml:space="preserve">Tento návrh je v souladu se zásadou proporcionality podle čl. 5 odst. 4 Smlouvy o Evropské unii. Navrhované změny nepřekračují rámec toho, co je nezbytné pro řešení příslušných problémů, a tedy pro zajištění řádného a účinného fungování vnitřního trhu, které je jedním z cílů Smluv. Zejména navrhované rozšíření snížených sazeb na malé nezávislé výrobce cidru by zvýšilo konkurenceschopnost těchto výrobců a vytvořilo pro ně rovné podmínky ve </w:t>
      </w:r>
      <w:r>
        <w:rPr>
          <w:noProof/>
        </w:rPr>
        <w:lastRenderedPageBreak/>
        <w:t>srovnání s malými pivovary a lihovary, přičemž by mělo jen omezené nepříznivé účinky v podobě ušlých příjmů a administrativní zátěže.</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noProof/>
        </w:rPr>
      </w:pPr>
      <w:r>
        <w:rPr>
          <w:noProof/>
        </w:rPr>
        <w:t>Za účelem změny směrnice 92/83/EHS se navrhuje směrnice. Žádná jiná vnitrostátní, dvoustranná ani mezinárodní iniciativa by nezajistila stejnou míru účinnosti z hlediska fungování vnitřního trhu a sledování a kontroly alkoholu podléhajícího spotřební dani; ze zavedení společných definic a pravidel pro účely spotřební daně z alkoholu a alkoholických nápojů na úrovni EU tudíž vzniká významná přidaná hodnota.</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pBdr>
          <w:top w:val="nil"/>
          <w:left w:val="nil"/>
          <w:bottom w:val="nil"/>
          <w:right w:val="nil"/>
          <w:between w:val="nil"/>
          <w:bar w:val="nil"/>
        </w:pBdr>
        <w:spacing w:before="0" w:after="240"/>
        <w:rPr>
          <w:noProof/>
        </w:rPr>
      </w:pPr>
      <w:r>
        <w:rPr>
          <w:noProof/>
        </w:rPr>
        <w:t>Při přípravě tohoto návrhu byla vyhodnocena stávající pravidla v oblasti struktury spotřební daně z alkoholu a alkoholických nápojů. Externí (hodnotící) studii provedla v letech 2014–2016 konzultantská společnost</w:t>
      </w:r>
      <w:r>
        <w:rPr>
          <w:rStyle w:val="FootnoteReference"/>
          <w:noProof/>
        </w:rPr>
        <w:footnoteReference w:id="11"/>
      </w:r>
      <w:r>
        <w:rPr>
          <w:noProof/>
        </w:rPr>
        <w:t>. Doporučení a zjištění externí (hodnotící) studie byla zohledněna v hodnotící zprávě Komise (SWD), která byla předložena Radě v říjnu 2016</w:t>
      </w:r>
      <w:r>
        <w:rPr>
          <w:rStyle w:val="FootnoteReference"/>
          <w:noProof/>
        </w:rPr>
        <w:footnoteReference w:id="12"/>
      </w:r>
      <w:r>
        <w:rPr>
          <w:noProof/>
        </w:rPr>
        <w:t>. V prosinci 2016 členské státy jednomyslně podpořily výzvu k přezkumu směrnice a Rada následně přijala závěry Rady ze dne 6. prosince 2016</w:t>
      </w:r>
      <w:r>
        <w:rPr>
          <w:rStyle w:val="FootnoteReference"/>
          <w:noProof/>
        </w:rPr>
        <w:footnoteReference w:id="13"/>
      </w:r>
      <w:r>
        <w:rPr>
          <w:noProof/>
        </w:rPr>
        <w:t>, ve kterých Komisi požádala, aby provedla nezbytné studie a konzultace s cílem předložit návrh na revizi. Externí studii o struktuře spotřební daně z alkoholu a alkoholických nápojů provedla v roce 2017 další konzultantská společnost</w:t>
      </w:r>
      <w:r>
        <w:rPr>
          <w:rStyle w:val="FootnoteReference"/>
          <w:noProof/>
        </w:rPr>
        <w:footnoteReference w:id="14"/>
      </w:r>
      <w:r>
        <w:rPr>
          <w:noProof/>
        </w:rPr>
        <w:t xml:space="preserve">. </w:t>
      </w:r>
    </w:p>
    <w:p>
      <w:pPr>
        <w:pStyle w:val="ManualHeading2"/>
        <w:rPr>
          <w:rFonts w:eastAsia="Arial Unicode MS"/>
          <w:noProof/>
          <w:u w:color="000000"/>
          <w:bdr w:val="nil"/>
        </w:rPr>
      </w:pPr>
      <w:r>
        <w:rPr>
          <w:noProof/>
        </w:rPr>
        <w:t>•</w:t>
      </w:r>
      <w:r>
        <w:rPr>
          <w:noProof/>
        </w:rPr>
        <w:tab/>
        <w:t>Konzultace se zúčastněnými stranami</w:t>
      </w:r>
    </w:p>
    <w:p>
      <w:pPr>
        <w:pBdr>
          <w:top w:val="nil"/>
          <w:left w:val="nil"/>
          <w:bottom w:val="nil"/>
          <w:right w:val="nil"/>
          <w:between w:val="nil"/>
          <w:bar w:val="nil"/>
        </w:pBdr>
        <w:spacing w:before="0" w:after="240"/>
        <w:rPr>
          <w:rFonts w:eastAsia="Arial Unicode MS"/>
          <w:noProof/>
        </w:rPr>
      </w:pPr>
      <w:r>
        <w:rPr>
          <w:rStyle w:val="Bodytext8"/>
          <w:b w:val="0"/>
          <w:i w:val="0"/>
          <w:noProof/>
        </w:rPr>
        <w:t>Cílem použité strategie konzultací bylo shromáždit zpětnou vazbu od zúčastněných stran ohledně používání současných pravidel týkajících se struktury spotřebních daní z alkoholu a alkoholických nápojů a získat jejich názory na možné změny těchto předpisů.</w:t>
      </w:r>
    </w:p>
    <w:p>
      <w:pPr>
        <w:pBdr>
          <w:top w:val="nil"/>
          <w:left w:val="nil"/>
          <w:bottom w:val="nil"/>
          <w:right w:val="nil"/>
          <w:between w:val="nil"/>
          <w:bar w:val="nil"/>
        </w:pBdr>
        <w:spacing w:before="0" w:after="240"/>
        <w:rPr>
          <w:rFonts w:eastAsia="Arial Unicode MS"/>
          <w:noProof/>
        </w:rPr>
      </w:pPr>
      <w:r>
        <w:rPr>
          <w:noProof/>
        </w:rPr>
        <w:t xml:space="preserve">Strategie zahrnovala i) podrobnou konzultaci se 161 zúčastněnými stranami v několika členských státech a na úrovni EU a ii) otevřenou veřejnou konzultaci na internetu, která probíhala 12 týdnů od 18. dubna 2017 do 11. července 2017, přičemž bylo obdrženo 166 příspěvků. Souhrnná zpráva o konzultaci se zúčastněnými stranami je uvedena v příloze 2 posouzení dopadů připojeného k tomuto návrhu. </w:t>
      </w:r>
    </w:p>
    <w:p>
      <w:pPr>
        <w:pBdr>
          <w:top w:val="nil"/>
          <w:left w:val="nil"/>
          <w:bottom w:val="nil"/>
          <w:right w:val="nil"/>
          <w:between w:val="nil"/>
          <w:bar w:val="nil"/>
        </w:pBdr>
        <w:spacing w:before="0" w:after="240"/>
        <w:rPr>
          <w:rStyle w:val="Bodytext8"/>
          <w:rFonts w:eastAsia="Arial Unicode MS"/>
          <w:noProof/>
        </w:rPr>
      </w:pPr>
      <w:r>
        <w:rPr>
          <w:noProof/>
        </w:rPr>
        <w:t xml:space="preserve">S provedením otevřené veřejné konzultace, jejímž cílem bylo shromáždit připomínky a zpětnou vazbu zúčastněných stran o zjištěných problémech a možných variantách pro revizi směrnice, pomohl Komisi externí konzultant. </w:t>
      </w:r>
      <w:r>
        <w:rPr>
          <w:rStyle w:val="Bodytext8"/>
          <w:noProof/>
        </w:rPr>
        <w:t xml:space="preserve"> </w:t>
      </w:r>
    </w:p>
    <w:p>
      <w:pPr>
        <w:pStyle w:val="ManualHeading2"/>
        <w:rPr>
          <w:rFonts w:eastAsia="Arial Unicode MS"/>
          <w:noProof/>
          <w:u w:color="000000"/>
          <w:bdr w:val="nil"/>
        </w:rPr>
      </w:pPr>
      <w:r>
        <w:rPr>
          <w:noProof/>
        </w:rPr>
        <w:lastRenderedPageBreak/>
        <w:t>•</w:t>
      </w:r>
      <w:r>
        <w:rPr>
          <w:noProof/>
        </w:rPr>
        <w:tab/>
        <w:t>Sběr a využití výsledků odborných konzultací</w:t>
      </w:r>
    </w:p>
    <w:p>
      <w:pPr>
        <w:pBdr>
          <w:top w:val="nil"/>
          <w:left w:val="nil"/>
          <w:bottom w:val="nil"/>
          <w:right w:val="nil"/>
          <w:between w:val="nil"/>
          <w:bar w:val="nil"/>
        </w:pBdr>
        <w:spacing w:before="0" w:after="240"/>
        <w:rPr>
          <w:rFonts w:eastAsia="Arial Unicode MS"/>
          <w:noProof/>
        </w:rPr>
      </w:pPr>
      <w:r>
        <w:rPr>
          <w:noProof/>
        </w:rPr>
        <w:t xml:space="preserve">Tento návrh vychází z analýzy hodnotící studie provedené v letech 2014–2016, zprávy Komise předložené Radě v říjnu 2016 a studie z roku 2017. Studie z roku 2017 shromáždila a analyzovala poznatky o současných nákladech a přínosech vyplývajících ze směrnice, aby určila rozsah problémů zjištěných v rámci hodnotící studie. Tato studie vypracovala možnosti, jak změnit stávající pravidla, a posoudila hospodářské a sociální dopady těchto možností. </w:t>
      </w:r>
    </w:p>
    <w:p>
      <w:pPr>
        <w:pStyle w:val="ManualHeading2"/>
        <w:rPr>
          <w:rFonts w:eastAsia="Arial Unicode MS"/>
          <w:noProof/>
          <w:u w:color="000000"/>
          <w:bdr w:val="nil"/>
        </w:rPr>
      </w:pPr>
      <w:r>
        <w:rPr>
          <w:noProof/>
        </w:rPr>
        <w:t>•</w:t>
      </w:r>
      <w:r>
        <w:rPr>
          <w:noProof/>
        </w:rPr>
        <w:tab/>
        <w:t>Posouzení dopadů</w:t>
      </w:r>
    </w:p>
    <w:p>
      <w:pPr>
        <w:pBdr>
          <w:top w:val="nil"/>
          <w:left w:val="nil"/>
          <w:bottom w:val="nil"/>
          <w:right w:val="nil"/>
          <w:between w:val="nil"/>
          <w:bar w:val="nil"/>
        </w:pBdr>
        <w:spacing w:before="0" w:after="240"/>
        <w:rPr>
          <w:rFonts w:eastAsia="Arial Unicode MS"/>
          <w:noProof/>
        </w:rPr>
      </w:pPr>
      <w:r>
        <w:rPr>
          <w:noProof/>
        </w:rPr>
        <w:t>Posouzení dopadů pro účely tohoto návrhu projednal Výbor pro kontrolu regulace dne 24. ledna 2018. Výbor vydal k návrhu kladné stanovisko s výhradami a doporučení, která byla zohledněna. Konkrétně byly vysloveny výhrady týkající se posouzení celkových účinků navrhovaných opatření REFIT z hlediska zjednodušení a snížení administrativní zátěže. Stanovisko výboru, doporučení a vysvětlení, jakým způsobem byla doporučení zohledněna, jsou uvedeny v příloze 1 pracovního dokumentu útvarů Komise, který je připojen k tomuto návrhu.</w:t>
      </w:r>
    </w:p>
    <w:p>
      <w:pPr>
        <w:pStyle w:val="ManualHeading2"/>
        <w:rPr>
          <w:rFonts w:eastAsia="Arial Unicode MS"/>
          <w:noProof/>
          <w:u w:color="000000"/>
          <w:bdr w:val="nil"/>
        </w:rPr>
      </w:pPr>
      <w:r>
        <w:rPr>
          <w:noProof/>
        </w:rPr>
        <w:t>•</w:t>
      </w:r>
      <w:r>
        <w:rPr>
          <w:noProof/>
        </w:rPr>
        <w:tab/>
        <w:t>Účelnost právních předpisů a zjednodušení</w:t>
      </w:r>
    </w:p>
    <w:p>
      <w:pPr>
        <w:rPr>
          <w:noProof/>
          <w:szCs w:val="24"/>
        </w:rPr>
      </w:pPr>
      <w:r>
        <w:rPr>
          <w:noProof/>
        </w:rPr>
        <w:t>Revize směrnice je součástí programu REFIT Evropské komise. Poznatky shromážděné v rámci hodnocení a zpětná vazba z každodenního používání směrnice vedly k závěru, že existuje znatelný – i když stěží kvantifikovatelný – nedostatek právní jistoty ohledně zacházení s konkrétními výrobky, který může vést k dodatečným nákladům pro hospodářské subjekty. Většina zjištěných problémů se týkala jen určitých trhů nebo určitých výrobků. Pokud jde o cíle programu REFIT, ty se zaměřují především na oblasti, ve kterých hospodářské subjekty vnímají nadměrné regulační náklady a zátěž. Místo těchto nákladů a zátěže se návrh zaměřuje spíše na zbytečné regulační náklady a zátěž, kterým by bylo možné předejít, kdyby směrnice fungovala lépe. Zejména se soustřeďuje na náklady spojené s potížemi při uplatňování předpisů (</w:t>
      </w:r>
      <w:r>
        <w:rPr>
          <w:i/>
          <w:noProof/>
        </w:rPr>
        <w:t>hassle costs</w:t>
      </w:r>
      <w:r>
        <w:rPr>
          <w:noProof/>
        </w:rPr>
        <w:t xml:space="preserve">) vyplývající z právní nejistoty ohledně zacházení s konkrétními výrobky. Vyjasnění osvobození pro nepřímá použití částečně denaturovaného lihu zajistí spravedlivější zacházení v celé EU a sníží náklady pro uživatele v menšině členských států, které v současnosti nemají za to, že částečně denaturovaný líh používaný pro taková nepřímá použití splňuje podmínky pro toto osvobození. </w:t>
      </w:r>
    </w:p>
    <w:p>
      <w:pPr>
        <w:rPr>
          <w:noProof/>
          <w:szCs w:val="24"/>
        </w:rPr>
      </w:pPr>
      <w:r>
        <w:rPr>
          <w:noProof/>
        </w:rPr>
        <w:t xml:space="preserve">Roční administrativní zátěž v důsledku navrhovaného rozšíření režimu snížených sazeb na malé výrobce cidru se odhaduje na 178 EUR na jednoho výrobce cidru, což v souhrnu představuje celkem 200 000 EUR za rok. Tato zátěž je podobná zátěži, která vzniká u malých pivovarů využívajících tento režim. Další informace jsou k dispozici v oddíle 8 posouzení dopadů připojeného k tomuto návrhu, kde jsou uvedeny náklady a zátěž spojené s touto směrnicí. </w:t>
      </w: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spacing w:before="0" w:after="240"/>
        <w:rPr>
          <w:noProof/>
        </w:rPr>
      </w:pPr>
      <w:r>
        <w:rPr>
          <w:noProof/>
        </w:rPr>
        <w:t xml:space="preserve">Návrh nemá žádné dopady z hlediska ochrany základních práv. </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rFonts w:eastAsia="Arial Unicode MS"/>
          <w:noProof/>
        </w:rPr>
      </w:pPr>
      <w:r>
        <w:rPr>
          <w:noProof/>
        </w:rPr>
        <w:t>Návrh nemá žádné důsledky pro rozpočet Unie.</w:t>
      </w:r>
    </w:p>
    <w:p>
      <w:pPr>
        <w:pStyle w:val="ManualHeading1"/>
        <w:rPr>
          <w:noProof/>
        </w:rPr>
      </w:pPr>
      <w:r>
        <w:rPr>
          <w:noProof/>
        </w:rPr>
        <w:lastRenderedPageBreak/>
        <w:t>5.</w:t>
      </w:r>
      <w:r>
        <w:rPr>
          <w:noProof/>
        </w:rPr>
        <w:tab/>
        <w:t>DALŠÍ PRVKY</w:t>
      </w:r>
    </w:p>
    <w:p>
      <w:pPr>
        <w:pStyle w:val="ManualHeading2"/>
        <w:rPr>
          <w:rFonts w:eastAsia="Arial Unicode MS"/>
          <w:noProof/>
          <w:u w:color="000000"/>
          <w:bdr w:val="nil"/>
        </w:rPr>
      </w:pPr>
      <w:r>
        <w:rPr>
          <w:noProof/>
        </w:rPr>
        <w:t>•</w:t>
      </w:r>
      <w:r>
        <w:rPr>
          <w:noProof/>
        </w:rPr>
        <w:tab/>
        <w:t>Plány provádění a monitorování, hodnocení a podávání zpráv</w:t>
      </w:r>
    </w:p>
    <w:p>
      <w:pPr>
        <w:pBdr>
          <w:top w:val="nil"/>
          <w:left w:val="nil"/>
          <w:bottom w:val="nil"/>
          <w:right w:val="nil"/>
          <w:between w:val="nil"/>
          <w:bar w:val="nil"/>
        </w:pBdr>
        <w:spacing w:before="0" w:after="240"/>
        <w:rPr>
          <w:noProof/>
        </w:rPr>
      </w:pPr>
      <w:r>
        <w:rPr>
          <w:noProof/>
        </w:rPr>
        <w:t xml:space="preserve">Výbor pro spotřební daně, tedy poradní výbor pro otázky spotřebních daní, ve kterém mají zástupce všechny členské státy a kterému předsedá Komise, bude sledovat provádění navrhovaných změn směrnice, jakož i projednávat a vyjasňovat případné výkladové problémy mezi členskými státy týkající se nového právního předpisu. </w:t>
      </w:r>
    </w:p>
    <w:p>
      <w:pPr>
        <w:tabs>
          <w:tab w:val="left" w:pos="2302"/>
        </w:tabs>
        <w:rPr>
          <w:rFonts w:eastAsia="Arial Unicode MS"/>
          <w:noProof/>
        </w:rPr>
      </w:pPr>
      <w:r>
        <w:rPr>
          <w:noProof/>
        </w:rPr>
        <w:t>Výbor pro spotřební daně bude informovat o veškerých problémech s prováděním a o vývoji problémů s fungováním směrnice, jakož i projednávat a vyjasňovat případné výkladové problémy mezi členskými státy týkající se nového právního předpisu. Členské státy a Komise vyhodnotí fungování změn obsažených v novém právním předpisu alespoň pět let od jeho vstupu v platnost, aby se trhy mohly přizpůsobit a aby se výsledky a dopady mohly projevit.</w:t>
      </w:r>
    </w:p>
    <w:p>
      <w:pPr>
        <w:pStyle w:val="ManualHeading2"/>
        <w:rPr>
          <w:rFonts w:eastAsia="Arial Unicode MS"/>
          <w:noProof/>
          <w:u w:color="000000"/>
          <w:bdr w:val="nil"/>
        </w:rPr>
      </w:pPr>
      <w:r>
        <w:rPr>
          <w:noProof/>
        </w:rPr>
        <w:t>•</w:t>
      </w:r>
      <w:r>
        <w:rPr>
          <w:noProof/>
        </w:rPr>
        <w:tab/>
        <w:t>Informativní dokumenty (u směrnic)</w:t>
      </w:r>
    </w:p>
    <w:p>
      <w:pPr>
        <w:pBdr>
          <w:top w:val="nil"/>
          <w:left w:val="nil"/>
          <w:bottom w:val="nil"/>
          <w:right w:val="nil"/>
          <w:between w:val="nil"/>
          <w:bar w:val="nil"/>
        </w:pBdr>
        <w:spacing w:before="0" w:after="240"/>
        <w:rPr>
          <w:rFonts w:eastAsia="Arial Unicode MS"/>
          <w:noProof/>
        </w:rPr>
      </w:pPr>
      <w:r>
        <w:rPr>
          <w:noProof/>
        </w:rPr>
        <w:t xml:space="preserve">Informativní dokumenty se nevyžadují, jelikož cílem návrhu je zjednodušit a vyjasnit stávající režim. </w:t>
      </w:r>
    </w:p>
    <w:p>
      <w:pPr>
        <w:pStyle w:val="ManualHeading2"/>
        <w:rPr>
          <w:rFonts w:eastAsia="Arial Unicode MS"/>
          <w:noProof/>
          <w:u w:color="000000"/>
          <w:bdr w:val="nil"/>
        </w:rPr>
      </w:pPr>
      <w:r>
        <w:rPr>
          <w:noProof/>
        </w:rPr>
        <w:t>•</w:t>
      </w:r>
      <w:r>
        <w:rPr>
          <w:noProof/>
        </w:rPr>
        <w:tab/>
        <w:t>Podrobné vysvětlení konkrétních ustanovení návrhu</w:t>
      </w:r>
    </w:p>
    <w:p>
      <w:pPr>
        <w:pBdr>
          <w:top w:val="nil"/>
          <w:left w:val="nil"/>
          <w:bottom w:val="nil"/>
          <w:right w:val="nil"/>
          <w:between w:val="nil"/>
          <w:bar w:val="nil"/>
        </w:pBdr>
        <w:spacing w:before="0" w:after="240"/>
        <w:rPr>
          <w:noProof/>
        </w:rPr>
      </w:pPr>
      <w:r>
        <w:rPr>
          <w:noProof/>
        </w:rPr>
        <w:t>Bodem 1 článku 1 se mění článek 3 s cílem vyjasnit ustanovení týkající se měření stupňů Plato u piva.</w:t>
      </w:r>
    </w:p>
    <w:p>
      <w:pPr>
        <w:pBdr>
          <w:top w:val="nil"/>
          <w:left w:val="nil"/>
          <w:bottom w:val="nil"/>
          <w:right w:val="nil"/>
          <w:between w:val="nil"/>
          <w:bar w:val="nil"/>
        </w:pBdr>
        <w:spacing w:before="0" w:after="240"/>
        <w:rPr>
          <w:rFonts w:eastAsia="Arial Unicode MS"/>
          <w:noProof/>
        </w:rPr>
      </w:pPr>
      <w:r>
        <w:rPr>
          <w:noProof/>
        </w:rPr>
        <w:t>Bodem 2 článku 1 se mění článek 4 s cílem zavést v celé EU jednotné osvědčení pro malé nezávislé pivovary. Tím dojde ke zlepšení přeshraničního fungování stávající úlevy pro malé pivovary.</w:t>
      </w:r>
    </w:p>
    <w:p>
      <w:pPr>
        <w:pBdr>
          <w:top w:val="nil"/>
          <w:left w:val="nil"/>
          <w:bottom w:val="nil"/>
          <w:right w:val="nil"/>
          <w:between w:val="nil"/>
          <w:bar w:val="nil"/>
        </w:pBdr>
        <w:spacing w:before="0" w:after="240"/>
        <w:rPr>
          <w:rFonts w:eastAsia="Arial Unicode MS"/>
          <w:noProof/>
        </w:rPr>
      </w:pPr>
      <w:r>
        <w:rPr>
          <w:noProof/>
        </w:rPr>
        <w:t xml:space="preserve">Bodem 3 článku 1 se mění článek 5 s cílem zvýšit limit, do kterého mohou být u piva s nízkým obsahem alkoholu uplatňovány snížené sazby. </w:t>
      </w:r>
    </w:p>
    <w:p>
      <w:pPr>
        <w:pBdr>
          <w:top w:val="nil"/>
          <w:left w:val="nil"/>
          <w:bottom w:val="nil"/>
          <w:right w:val="nil"/>
          <w:between w:val="nil"/>
          <w:bar w:val="nil"/>
        </w:pBdr>
        <w:spacing w:before="0" w:after="240"/>
        <w:rPr>
          <w:rFonts w:eastAsia="Arial Unicode MS"/>
          <w:noProof/>
        </w:rPr>
      </w:pPr>
      <w:r>
        <w:rPr>
          <w:noProof/>
        </w:rPr>
        <w:t>Bodem 4 článku 1 se mění článek 12 za účelem zavedení definice „cidru“. Tím se také usnadní uplatňování snížených sazeb u malých nezávislých výrobců cidru, které se zavádějí bodem 6.</w:t>
      </w:r>
    </w:p>
    <w:p>
      <w:pPr>
        <w:pBdr>
          <w:top w:val="nil"/>
          <w:left w:val="nil"/>
          <w:bottom w:val="nil"/>
          <w:right w:val="nil"/>
          <w:between w:val="nil"/>
          <w:bar w:val="nil"/>
        </w:pBdr>
        <w:spacing w:before="0" w:after="240"/>
        <w:rPr>
          <w:rFonts w:eastAsia="Arial Unicode MS"/>
          <w:noProof/>
        </w:rPr>
      </w:pPr>
      <w:r>
        <w:rPr>
          <w:noProof/>
        </w:rPr>
        <w:t xml:space="preserve">Bodem 5 článku 1 se mění článek 13 s cílem zohlednit volitelné snížené sazby pro malé nezávislé výrobce cidru zaváděné bodem 6. </w:t>
      </w:r>
    </w:p>
    <w:p>
      <w:pPr>
        <w:pBdr>
          <w:top w:val="nil"/>
          <w:left w:val="nil"/>
          <w:bottom w:val="nil"/>
          <w:right w:val="nil"/>
          <w:between w:val="nil"/>
          <w:bar w:val="nil"/>
        </w:pBdr>
        <w:spacing w:before="0" w:after="240"/>
        <w:rPr>
          <w:rFonts w:eastAsia="Arial Unicode MS"/>
          <w:noProof/>
        </w:rPr>
      </w:pPr>
      <w:r>
        <w:rPr>
          <w:noProof/>
        </w:rPr>
        <w:t xml:space="preserve">Bodem 6 článku 1 se vkládá článek 13a s cílem zavést volitelné snížené sazby pro malé nezávislé výrobce cidru. </w:t>
      </w:r>
    </w:p>
    <w:p>
      <w:pPr>
        <w:pBdr>
          <w:top w:val="nil"/>
          <w:left w:val="nil"/>
          <w:bottom w:val="nil"/>
          <w:right w:val="nil"/>
          <w:between w:val="nil"/>
          <w:bar w:val="nil"/>
        </w:pBdr>
        <w:spacing w:before="0" w:after="240"/>
        <w:rPr>
          <w:rFonts w:eastAsia="Arial Unicode MS"/>
          <w:noProof/>
        </w:rPr>
      </w:pPr>
      <w:r>
        <w:rPr>
          <w:noProof/>
        </w:rPr>
        <w:t>Bodem 7 článku 1 se mění článek 27 s cílem vyjasnit ustanovení týkající se osvobození od daně u denaturovaného lihu a zvýšit právní jistotu pro hospodářské subjekty a orgány členských států.</w:t>
      </w:r>
    </w:p>
    <w:p>
      <w:pPr>
        <w:pBdr>
          <w:top w:val="nil"/>
          <w:left w:val="nil"/>
          <w:bottom w:val="nil"/>
          <w:right w:val="nil"/>
          <w:between w:val="nil"/>
          <w:bar w:val="nil"/>
        </w:pBdr>
        <w:spacing w:before="0" w:after="240"/>
        <w:rPr>
          <w:rFonts w:eastAsia="Arial Unicode MS"/>
          <w:noProof/>
        </w:rPr>
      </w:pPr>
      <w:r>
        <w:rPr>
          <w:noProof/>
        </w:rPr>
        <w:t xml:space="preserve">Bodem 8 článku 1 se zrušuje článek 28, který v současnosti umožňuje Spojenému království poskytovat osvobození od daně u některých výrobků, na které se osvobození ve Spojeném království již nevztahuje. </w:t>
      </w:r>
    </w:p>
    <w:p>
      <w:pPr>
        <w:pBdr>
          <w:top w:val="nil"/>
          <w:left w:val="nil"/>
          <w:bottom w:val="nil"/>
          <w:right w:val="nil"/>
          <w:between w:val="nil"/>
          <w:bar w:val="nil"/>
        </w:pBdr>
        <w:spacing w:before="0" w:after="240"/>
        <w:rPr>
          <w:rFonts w:eastAsia="Arial Unicode MS"/>
          <w:noProof/>
        </w:rPr>
      </w:pPr>
      <w:r>
        <w:rPr>
          <w:noProof/>
        </w:rPr>
        <w:t>Bodem 9 článku 1 se vkládá článek 28a, kterým se Komisi svěřují prováděcí pravomoci.</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2018/0173 (CNS)</w:t>
      </w:r>
    </w:p>
    <w:p>
      <w:pPr>
        <w:pStyle w:val="Statut"/>
        <w:rPr>
          <w:noProof/>
        </w:rPr>
      </w:pPr>
      <w:r>
        <w:rPr>
          <w:noProof/>
        </w:rPr>
        <w:t>Návrh</w:t>
      </w:r>
    </w:p>
    <w:p>
      <w:pPr>
        <w:pStyle w:val="Typedudocument"/>
        <w:rPr>
          <w:noProof/>
        </w:rPr>
      </w:pPr>
      <w:r>
        <w:rPr>
          <w:noProof/>
        </w:rPr>
        <w:t>SMĚRNICE RADY,</w:t>
      </w:r>
    </w:p>
    <w:p>
      <w:pPr>
        <w:pStyle w:val="Titreobjet"/>
        <w:rPr>
          <w:noProof/>
        </w:rPr>
      </w:pPr>
      <w:r>
        <w:rPr>
          <w:noProof/>
        </w:rPr>
        <w:t>kterou se mění směrnice 92/83/EHS o harmonizaci struktury spotřebních daní z alkoholu a alkoholických nápojů</w:t>
      </w:r>
    </w:p>
    <w:p>
      <w:pPr>
        <w:pStyle w:val="Institutionquiagit"/>
        <w:rPr>
          <w:noProof/>
        </w:rPr>
      </w:pPr>
      <w:r>
        <w:rPr>
          <w:noProof/>
        </w:rPr>
        <w:t>RADA EVROPSKÉ UNIE,</w:t>
      </w:r>
    </w:p>
    <w:p>
      <w:pPr>
        <w:rPr>
          <w:noProof/>
        </w:rPr>
      </w:pPr>
      <w:r>
        <w:rPr>
          <w:noProof/>
        </w:rPr>
        <w:t>s ohledem na Smlouvu o fungování Evropské unie, a zejména na článek 113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parlamentu</w:t>
      </w:r>
      <w:r>
        <w:rPr>
          <w:rStyle w:val="FootnoteReference"/>
          <w:noProof/>
        </w:rPr>
        <w:footnoteReference w:id="15"/>
      </w:r>
      <w:r>
        <w:rPr>
          <w:noProof/>
        </w:rPr>
        <w:t xml:space="preserve">, </w:t>
      </w:r>
    </w:p>
    <w:p>
      <w:pPr>
        <w:rPr>
          <w:noProof/>
        </w:rPr>
      </w:pPr>
      <w:r>
        <w:rPr>
          <w:noProof/>
        </w:rPr>
        <w:t>s ohledem na stanovisko Evropského hospodářského a sociálního výboru</w:t>
      </w:r>
      <w:r>
        <w:rPr>
          <w:rStyle w:val="FootnoteReference"/>
          <w:noProof/>
        </w:rPr>
        <w:footnoteReference w:id="16"/>
      </w:r>
      <w:r>
        <w:rPr>
          <w:noProof/>
        </w:rPr>
        <w:t xml:space="preserve">, </w:t>
      </w:r>
    </w:p>
    <w:p>
      <w:pPr>
        <w:rPr>
          <w:noProof/>
        </w:rPr>
      </w:pPr>
      <w:r>
        <w:rPr>
          <w:noProof/>
        </w:rPr>
        <w:t>v souladu se zvláštním legislativním postupem,</w:t>
      </w:r>
    </w:p>
    <w:p>
      <w:pPr>
        <w:rPr>
          <w:noProof/>
        </w:rPr>
      </w:pPr>
      <w:r>
        <w:rPr>
          <w:noProof/>
        </w:rPr>
        <w:t>vzhledem k těmto důvodům:</w:t>
      </w:r>
      <w:r>
        <w:rPr>
          <w:i/>
          <w:noProof/>
        </w:rPr>
        <w:t xml:space="preserve"> </w:t>
      </w:r>
    </w:p>
    <w:p>
      <w:pPr>
        <w:pStyle w:val="ManualConsidrant"/>
        <w:rPr>
          <w:noProof/>
        </w:rPr>
      </w:pPr>
      <w:r>
        <w:t>(1)</w:t>
      </w:r>
      <w:r>
        <w:tab/>
      </w:r>
      <w:r>
        <w:rPr>
          <w:noProof/>
        </w:rPr>
        <w:t>Některá ustanovení směrnice Rady 92/83/EHS</w:t>
      </w:r>
      <w:r>
        <w:rPr>
          <w:rStyle w:val="FootnoteReference"/>
          <w:noProof/>
        </w:rPr>
        <w:footnoteReference w:id="17"/>
      </w:r>
      <w:r>
        <w:rPr>
          <w:noProof/>
        </w:rPr>
        <w:t xml:space="preserve"> jsou zastaralá a nejasná a vedou ke zbytečně zatěžujícím správním postupům jak pro správce daně, tak pro hospodářské subjekty. Náklady, které hospodářským subjektům v souvislosti s dodržováním těchto postupů vznikají, mají za následek omezení účasti malých a středních podniků na obchodu s alkoholem a alkoholickými nápoji na vnitřním trhu.</w:t>
      </w:r>
    </w:p>
    <w:p>
      <w:pPr>
        <w:pStyle w:val="ManualConsidrant"/>
        <w:rPr>
          <w:noProof/>
        </w:rPr>
      </w:pPr>
      <w:r>
        <w:t>(2)</w:t>
      </w:r>
      <w:r>
        <w:tab/>
      </w:r>
      <w:r>
        <w:rPr>
          <w:noProof/>
        </w:rPr>
        <w:t>Aby bylo zajištěno jednotné uplatňování podmínek pro stanovení spotřební daně z piva, zejména ohledně měření stupňů Plato u slazeného nebo ochuceného piva, je nezbytné stanovit podmínky pro měření stupňů Plato.</w:t>
      </w:r>
    </w:p>
    <w:p>
      <w:pPr>
        <w:pStyle w:val="ManualConsidrant"/>
        <w:rPr>
          <w:noProof/>
        </w:rPr>
      </w:pPr>
      <w:r>
        <w:t>(3)</w:t>
      </w:r>
      <w:r>
        <w:tab/>
      </w:r>
      <w:r>
        <w:rPr>
          <w:noProof/>
        </w:rPr>
        <w:t>Obsah alkoholu v pivu, u kterého lze uplatňovat snížené sazby pro pivo s nízkým obsahem alkoholu, je obecně příliš nízký na to, aby pivovary skutečně motivoval k inovacím a vytváření nových výrobků s nízkým obsahem alkoholu. Za účelem podpory vývoje piva s nízkým obsahem alkoholu by měl být limit pro sazby z nápojů s nízkým obsahem alkoholu zvýšen.</w:t>
      </w:r>
    </w:p>
    <w:p>
      <w:pPr>
        <w:pStyle w:val="ManualConsidrant"/>
        <w:rPr>
          <w:noProof/>
        </w:rPr>
      </w:pPr>
      <w:r>
        <w:t>(4)</w:t>
      </w:r>
      <w:r>
        <w:tab/>
      </w:r>
      <w:r>
        <w:rPr>
          <w:noProof/>
        </w:rPr>
        <w:t xml:space="preserve">S cílem zajistit jednotné uplatňování podmínek pro zařazení některých nápojů do kategorie „ostatní kvašené nápoje“ a vyřešit právní nejistotu způsobující rozdílné zacházení s těmito nápoji na vnitřním trhu je nezbytné stanovit definici výrazu „cidre“. </w:t>
      </w:r>
    </w:p>
    <w:p>
      <w:pPr>
        <w:pStyle w:val="ManualConsidrant"/>
        <w:rPr>
          <w:noProof/>
        </w:rPr>
      </w:pPr>
      <w:r>
        <w:t>(5)</w:t>
      </w:r>
      <w:r>
        <w:tab/>
      </w:r>
      <w:r>
        <w:rPr>
          <w:noProof/>
        </w:rPr>
        <w:t>Členské státy mohou uplatňovat snížené sazby u piva a lihu vyráběných v nízkých objemech malými nezávislými výrobci. Aby se se cidrem nezacházelo jinak než s pivem a lihem, měly by mít členské státy také pravomoc uplatňovat snížené sazby u cidru vyráběného v malých objemech malými nezávislými výrobci cidru.</w:t>
      </w:r>
    </w:p>
    <w:p>
      <w:pPr>
        <w:pStyle w:val="ManualConsidrant"/>
        <w:rPr>
          <w:noProof/>
        </w:rPr>
      </w:pPr>
      <w:r>
        <w:lastRenderedPageBreak/>
        <w:t>(6)</w:t>
      </w:r>
      <w:r>
        <w:tab/>
      </w:r>
      <w:r>
        <w:rPr>
          <w:noProof/>
        </w:rPr>
        <w:t>S cílem usnadnit uznávání statusu malých nezávislých výrobců ve všech členských státech pro účely uplatňování snížených sazeb spotřební daně z piva a cidru by měly být Komisi svěřeny prováděcí pravomoci týkající se stanovení formátu jednotného osvědčení potvrzujícího roční produkci malého výrobce a jeho soulad s kritérii stanovenými ve směrnici 92/83/EHS. Tyto pravomoci by měly být vykonávány v souladu s nařízením Evropského parlamentu a Rady (EU) č. 182/2011</w:t>
      </w:r>
      <w:r>
        <w:rPr>
          <w:rStyle w:val="FootnoteReference"/>
          <w:noProof/>
        </w:rPr>
        <w:footnoteReference w:id="18"/>
      </w:r>
      <w:r>
        <w:rPr>
          <w:noProof/>
        </w:rPr>
        <w:t>.</w:t>
      </w:r>
    </w:p>
    <w:p>
      <w:pPr>
        <w:pStyle w:val="ManualConsidrant"/>
        <w:rPr>
          <w:noProof/>
        </w:rPr>
      </w:pPr>
      <w:r>
        <w:t>(7)</w:t>
      </w:r>
      <w:r>
        <w:tab/>
      </w:r>
      <w:r>
        <w:rPr>
          <w:noProof/>
        </w:rPr>
        <w:t xml:space="preserve">Za účelem snížení zátěže spojené s dodržováním předpisů hospodářskými subjekty a zvýšení právní jistoty je třeba revidovat podmínky pro uplatňování osvobození od daně u všech druhů denaturovaného lihu. </w:t>
      </w:r>
    </w:p>
    <w:p>
      <w:pPr>
        <w:pStyle w:val="ManualConsidrant"/>
        <w:rPr>
          <w:noProof/>
        </w:rPr>
      </w:pPr>
      <w:r>
        <w:t>(8)</w:t>
      </w:r>
      <w:r>
        <w:tab/>
      </w:r>
      <w:r>
        <w:rPr>
          <w:noProof/>
        </w:rPr>
        <w:t>Aby bylo zajištěno jednotné uplatňování osvobození od daně u plně denaturovaného lihu, je nezbytné dále vyjasnit podmínky pro vzájemné uznávání plně denaturovaného lihu. V zájmu zvýšení právní jistoty je rovněž nezbytné vyjasnit postupy pro oznamování změn požadavků na plnou denaturaci lihu.</w:t>
      </w:r>
    </w:p>
    <w:p>
      <w:pPr>
        <w:pStyle w:val="ManualConsidrant"/>
        <w:rPr>
          <w:noProof/>
        </w:rPr>
      </w:pPr>
      <w:r>
        <w:t>(9)</w:t>
      </w:r>
      <w:r>
        <w:tab/>
      </w:r>
      <w:r>
        <w:rPr>
          <w:noProof/>
        </w:rPr>
        <w:t>Za účelem stanovení postupů pro posuzování požadavků členských států na plnou denaturaci lihu by měly být Komisi svěřeny prováděcí pravomoci týkající se schvalování a zamítání požadavků na plnou denaturaci lihu oznámených členskými státy. Tyto pravomoci by měly být vykonávány v souladu s nařízením (EU) č. 182/2011.</w:t>
      </w:r>
    </w:p>
    <w:p>
      <w:pPr>
        <w:pStyle w:val="ManualConsidrant"/>
        <w:rPr>
          <w:noProof/>
        </w:rPr>
      </w:pPr>
      <w:r>
        <w:t>(10)</w:t>
      </w:r>
      <w:r>
        <w:tab/>
      </w:r>
      <w:r>
        <w:rPr>
          <w:noProof/>
        </w:rPr>
        <w:t>Aby bylo zajištěno jednotné uplatňování osvobození od daně u částečně denaturovaného lihu, je nutné vyjasnit podmínky vzájemného uznávání částečně denaturovaného lihu a stanovit, že údržba a čištění výrobních zařízení jsou součástí výrobního procesu, a že na částečně denaturovaný líh používaný k tomuto účelu se proto vztahuje osvobození od daně. S cílem omezit podvodné používání tohoto osvobození je nezbytné stanovit další podmínky pro jeho uplatňování.</w:t>
      </w:r>
    </w:p>
    <w:p>
      <w:pPr>
        <w:pStyle w:val="ManualConsidrant"/>
        <w:rPr>
          <w:noProof/>
        </w:rPr>
      </w:pPr>
      <w:r>
        <w:t>(11)</w:t>
      </w:r>
      <w:r>
        <w:tab/>
      </w:r>
      <w:r>
        <w:rPr>
          <w:noProof/>
        </w:rPr>
        <w:t>Osvobození od daně stanovená pro Spojené království v případě dvou konkrétních alkoholických nápojů odpovídala osvobozením, která byla stanovena ve vnitrostátních právních předpisech Spojeného království. Jelikož tato osvobození od harmonizované spotřební daně byla ve vnitrostátních právních předpisech Spojeného království zrušena, nemají již význam a měla by být zrušena na úrovni Unie.</w:t>
      </w:r>
    </w:p>
    <w:p>
      <w:pPr>
        <w:pStyle w:val="ManualConsidrant"/>
        <w:rPr>
          <w:noProof/>
        </w:rPr>
      </w:pPr>
      <w:r>
        <w:t>(12)</w:t>
      </w:r>
      <w:r>
        <w:tab/>
      </w:r>
      <w:r>
        <w:rPr>
          <w:noProof/>
        </w:rPr>
        <w:t>Jelikož cíle této směrnice, totiž snížení zátěže spojené s dodržováním předpisů hospodářskými subjekty a administrativní zátěže pro správce daně, nemůže být dosaženo uspokojivě členskými státy, ale spíše jej z důvodu účinků opatření může být lépe dosaženo na úrovni Unie, může Unie přijmout opatření v souladu se zásadou subsidiarity stanovenou v článku 5 Smlouvy o Evropské unii. V souladu se zásadou proporcionality stanovenou v uvedeném článku nepřekračuje tato směrnice rámec toho, co je k dosažení těchto cílů nezbytné.</w:t>
      </w:r>
    </w:p>
    <w:p>
      <w:pPr>
        <w:pStyle w:val="ManualConsidrant"/>
        <w:rPr>
          <w:noProof/>
        </w:rPr>
      </w:pPr>
      <w:r>
        <w:t>(13)</w:t>
      </w:r>
      <w:r>
        <w:tab/>
      </w:r>
      <w:r>
        <w:rPr>
          <w:noProof/>
        </w:rPr>
        <w:t>Směrnice 92/83/EHS by proto měla být odpovídajícím způsobem změněna,</w:t>
      </w:r>
    </w:p>
    <w:p>
      <w:pPr>
        <w:pStyle w:val="Formuledadoption"/>
        <w:rPr>
          <w:noProof/>
        </w:rPr>
      </w:pPr>
      <w:r>
        <w:rPr>
          <w:noProof/>
        </w:rPr>
        <w:t>PŘIJALA TUTO SMĚRNICI:</w:t>
      </w:r>
    </w:p>
    <w:p>
      <w:pPr>
        <w:pStyle w:val="Titrearticle"/>
        <w:rPr>
          <w:noProof/>
        </w:rPr>
      </w:pPr>
      <w:r>
        <w:rPr>
          <w:noProof/>
        </w:rPr>
        <w:t>Článek 1</w:t>
      </w:r>
    </w:p>
    <w:p>
      <w:pPr>
        <w:rPr>
          <w:noProof/>
        </w:rPr>
      </w:pPr>
      <w:r>
        <w:rPr>
          <w:noProof/>
        </w:rPr>
        <w:t xml:space="preserve">Směrnice 92/83/EHS se mění takto: </w:t>
      </w:r>
    </w:p>
    <w:p>
      <w:pPr>
        <w:rPr>
          <w:noProof/>
        </w:rPr>
      </w:pPr>
    </w:p>
    <w:p>
      <w:pPr>
        <w:rPr>
          <w:noProof/>
        </w:rPr>
      </w:pPr>
      <w:r>
        <w:rPr>
          <w:noProof/>
        </w:rPr>
        <w:t>1) v čl. 3 odst. 1 se doplňuje nový pododstavec, který zní:</w:t>
      </w:r>
    </w:p>
    <w:p>
      <w:pPr>
        <w:rPr>
          <w:noProof/>
        </w:rPr>
      </w:pPr>
    </w:p>
    <w:p>
      <w:pPr>
        <w:rPr>
          <w:noProof/>
        </w:rPr>
      </w:pPr>
      <w:r>
        <w:rPr>
          <w:noProof/>
        </w:rPr>
        <w:t xml:space="preserve">„Pro účely měření stupňů Plato se berou v potaz všechny složky piva, včetně složek přidaných po kvašení.“; </w:t>
      </w:r>
    </w:p>
    <w:p>
      <w:pPr>
        <w:rPr>
          <w:noProof/>
        </w:rPr>
      </w:pPr>
    </w:p>
    <w:p>
      <w:pPr>
        <w:rPr>
          <w:noProof/>
        </w:rPr>
      </w:pPr>
      <w:r>
        <w:rPr>
          <w:noProof/>
        </w:rPr>
        <w:t>2) v článku 4 se doplňují nové odstavce, které znějí:</w:t>
      </w:r>
    </w:p>
    <w:p>
      <w:pPr>
        <w:rPr>
          <w:noProof/>
        </w:rPr>
      </w:pPr>
    </w:p>
    <w:p>
      <w:pPr>
        <w:rPr>
          <w:noProof/>
        </w:rPr>
      </w:pPr>
      <w:r>
        <w:rPr>
          <w:noProof/>
        </w:rPr>
        <w:t xml:space="preserve">„4. Členské státy na vyžádání vydají malým nezávislým pivovarům usazeným na jejich území osvědčení potvrzující jejich celkový roční výstav piva a jejich soulad s kritérii uvedenými v odstavci 2. </w:t>
      </w:r>
    </w:p>
    <w:p>
      <w:pPr>
        <w:rPr>
          <w:noProof/>
        </w:rPr>
      </w:pPr>
    </w:p>
    <w:p>
      <w:pPr>
        <w:rPr>
          <w:noProof/>
        </w:rPr>
      </w:pPr>
      <w:r>
        <w:rPr>
          <w:noProof/>
        </w:rPr>
        <w:t>5. Komise přijme prováděcí akty, kterými stanoví formát osvědčení uvedeného v odstavci 4. Tyto prováděcí akty se přijímají přezkumným postupem podle čl. 28a odst. 2.“;</w:t>
      </w:r>
    </w:p>
    <w:p>
      <w:pPr>
        <w:rPr>
          <w:noProof/>
        </w:rPr>
      </w:pPr>
    </w:p>
    <w:p>
      <w:pPr>
        <w:rPr>
          <w:noProof/>
        </w:rPr>
      </w:pPr>
      <w:r>
        <w:rPr>
          <w:noProof/>
        </w:rPr>
        <w:t>3) v článku 5 se hodnota „2,8 %“ nahrazuje hodnotou „3,5 %“;</w:t>
      </w:r>
    </w:p>
    <w:p>
      <w:pPr>
        <w:rPr>
          <w:noProof/>
        </w:rPr>
      </w:pPr>
    </w:p>
    <w:p>
      <w:pPr>
        <w:rPr>
          <w:noProof/>
        </w:rPr>
      </w:pPr>
      <w:r>
        <w:rPr>
          <w:noProof/>
        </w:rPr>
        <w:t>4) v článku 12 se doplňuje nový bod, který zní:</w:t>
      </w:r>
    </w:p>
    <w:p>
      <w:pPr>
        <w:rPr>
          <w:noProof/>
        </w:rPr>
      </w:pPr>
    </w:p>
    <w:p>
      <w:pPr>
        <w:rPr>
          <w:noProof/>
        </w:rPr>
      </w:pPr>
      <w:r>
        <w:rPr>
          <w:noProof/>
        </w:rPr>
        <w:t xml:space="preserve">„3. „cidrem“ rozumí nápoj, jehož skutečný obsah alkoholu přesahuje 1,2 % objemových, ale nepřesahuje 8,5 % objemových, získaný výlučně kvašením jablečné nebo hruškové šťávy nebo obou, do kterého nebyl přidán žádný jiný alkohol ani alkoholický nápoj.“; </w:t>
      </w:r>
    </w:p>
    <w:p/>
    <w:p>
      <w:pPr>
        <w:rPr>
          <w:noProof/>
        </w:rPr>
      </w:pPr>
      <w:r>
        <w:rPr>
          <w:noProof/>
        </w:rPr>
        <w:t>5) v čl. 13 odst. 2 se slova „Nestanoví-li odstavec 3 jinak“ nahrazují slovy „Nestanoví-li odstavec 3 a článek 13a jinak“;</w:t>
      </w:r>
    </w:p>
    <w:p>
      <w:pPr>
        <w:rPr>
          <w:noProof/>
        </w:rPr>
      </w:pPr>
    </w:p>
    <w:p>
      <w:pPr>
        <w:rPr>
          <w:noProof/>
        </w:rPr>
      </w:pPr>
      <w:r>
        <w:rPr>
          <w:noProof/>
        </w:rPr>
        <w:t>6) vkládá se nový článek, který zní:</w:t>
      </w:r>
    </w:p>
    <w:p>
      <w:pPr>
        <w:keepNext/>
        <w:spacing w:before="360"/>
        <w:jc w:val="center"/>
        <w:rPr>
          <w:rFonts w:eastAsia="Calibri"/>
          <w:i/>
          <w:noProof/>
        </w:rPr>
      </w:pPr>
      <w:r>
        <w:rPr>
          <w:noProof/>
        </w:rPr>
        <w:t>„</w:t>
      </w:r>
      <w:r>
        <w:rPr>
          <w:i/>
          <w:noProof/>
        </w:rPr>
        <w:t>Článek 13a</w:t>
      </w:r>
    </w:p>
    <w:p>
      <w:pPr>
        <w:rPr>
          <w:noProof/>
        </w:rPr>
      </w:pPr>
      <w:r>
        <w:rPr>
          <w:noProof/>
        </w:rPr>
        <w:t xml:space="preserve">1. Členské státy mohou uplatňovat snížené sazby daně, které mohou být diferencovány podle roční produkce dotyčných výrobců cidru, na cider vyrobený malými nezávislými výrobci cidru za následujících omezení: </w:t>
      </w:r>
    </w:p>
    <w:p>
      <w:pPr>
        <w:rPr>
          <w:noProof/>
        </w:rPr>
      </w:pPr>
      <w:r>
        <w:rPr>
          <w:noProof/>
        </w:rPr>
        <w:t xml:space="preserve">– snížené sazby se neuplatní u podniků, které vyrábějí více než 15 000 hl cidru ročně, </w:t>
      </w:r>
    </w:p>
    <w:p>
      <w:pPr>
        <w:rPr>
          <w:noProof/>
        </w:rPr>
      </w:pPr>
      <w:r>
        <w:rPr>
          <w:noProof/>
        </w:rPr>
        <w:t xml:space="preserve">– snížené sazby, které mohou být nižší než minimální sazba, nesmí být o více než 50 % nižší než základní vnitrostátní sazba spotřební daně z cidru. </w:t>
      </w:r>
    </w:p>
    <w:p>
      <w:pPr>
        <w:rPr>
          <w:noProof/>
        </w:rPr>
      </w:pPr>
    </w:p>
    <w:p>
      <w:pPr>
        <w:rPr>
          <w:noProof/>
        </w:rPr>
      </w:pPr>
      <w:r>
        <w:rPr>
          <w:noProof/>
        </w:rPr>
        <w:t xml:space="preserve">2. Pro účely tohoto článku se „malým nezávislým výrobcem cidru“ rozumí výrobce cidru, který je právně a hospodářsky nezávislý na jakémkoli jiném výrobci cidru, který využívá provozních prostor, jež jsou fyzicky umístěny odděleně od prostor jakéhokoli jiného výrobce cidru, a který nevyrábí v licenci. Spolupracují-li však dva nebo více malých výrobců cidru </w:t>
      </w:r>
      <w:r>
        <w:rPr>
          <w:noProof/>
        </w:rPr>
        <w:lastRenderedPageBreak/>
        <w:t xml:space="preserve">a jejich společná roční produkce nepřekročí 15 000 hl, mohou být tito výrobci cidru považováni za jediného malého nezávislého výrobce cidru. </w:t>
      </w:r>
    </w:p>
    <w:p>
      <w:pPr>
        <w:rPr>
          <w:noProof/>
        </w:rPr>
      </w:pPr>
    </w:p>
    <w:p>
      <w:pPr>
        <w:rPr>
          <w:noProof/>
        </w:rPr>
      </w:pPr>
      <w:r>
        <w:rPr>
          <w:noProof/>
        </w:rPr>
        <w:t xml:space="preserve">3. Členské státy zabezpečí, aby případné snížené sazby, které zavedou, platily stejně i pro cider dovezený na jejich území od malých nezávislých výrobců cidru nacházejících se v jiných členských státech. Zejména musí zajistit, aby na žádnou jednotlivou dodávku z jiného členského státu nebyla uvalena vyšší daň než na odpovídající vnitrostátní dodávku. </w:t>
      </w:r>
    </w:p>
    <w:p>
      <w:pPr>
        <w:rPr>
          <w:noProof/>
        </w:rPr>
      </w:pPr>
    </w:p>
    <w:p>
      <w:pPr>
        <w:rPr>
          <w:noProof/>
        </w:rPr>
      </w:pPr>
      <w:r>
        <w:rPr>
          <w:noProof/>
        </w:rPr>
        <w:t>4. Členské státy na vyžádání vydají malým nezávislým výrobcům cidru na svém území osvědčení potvrzující celkovou roční produkci cidru daného výrobce cidru, jakož i jeho soulad s kritérii uvedenými v odstavci 2.</w:t>
      </w:r>
    </w:p>
    <w:p>
      <w:pPr>
        <w:rPr>
          <w:noProof/>
        </w:rPr>
      </w:pPr>
    </w:p>
    <w:p>
      <w:pPr>
        <w:rPr>
          <w:noProof/>
        </w:rPr>
      </w:pPr>
      <w:r>
        <w:rPr>
          <w:noProof/>
        </w:rPr>
        <w:t xml:space="preserve">5. Komise přijme prováděcí akty, kterými stanoví formát osvědčení uvedeného v odstavci 4. Tyto prováděcí akty se přijímají přezkumným postupem podle čl. 28a odst. 2.“; </w:t>
      </w:r>
    </w:p>
    <w:p>
      <w:pPr>
        <w:rPr>
          <w:noProof/>
        </w:rPr>
      </w:pPr>
    </w:p>
    <w:p>
      <w:pPr>
        <w:rPr>
          <w:noProof/>
        </w:rPr>
      </w:pPr>
      <w:r>
        <w:rPr>
          <w:noProof/>
        </w:rPr>
        <w:t>7) článek 27 se mění takto:</w:t>
      </w:r>
    </w:p>
    <w:p>
      <w:pPr>
        <w:rPr>
          <w:noProof/>
        </w:rPr>
      </w:pPr>
    </w:p>
    <w:p>
      <w:pPr>
        <w:rPr>
          <w:noProof/>
        </w:rPr>
      </w:pPr>
      <w:r>
        <w:rPr>
          <w:noProof/>
        </w:rPr>
        <w:t>a) odstavec 1 se mění takto:</w:t>
      </w:r>
    </w:p>
    <w:p>
      <w:pPr>
        <w:rPr>
          <w:noProof/>
        </w:rPr>
      </w:pPr>
    </w:p>
    <w:p>
      <w:pPr>
        <w:rPr>
          <w:noProof/>
        </w:rPr>
      </w:pPr>
      <w:r>
        <w:rPr>
          <w:noProof/>
        </w:rPr>
        <w:t xml:space="preserve">i) uvozující věta se nahrazuje tímto: </w:t>
      </w:r>
    </w:p>
    <w:p>
      <w:pPr>
        <w:rPr>
          <w:noProof/>
        </w:rPr>
      </w:pPr>
      <w:r>
        <w:rPr>
          <w:noProof/>
        </w:rPr>
        <w:t>„Členské státy osvobodí výrobky, na které se vztahuje tato směrnice, od spotřební daně za podmínek, které samy stanoví za účelem zajištění správného a jednoznačného uplatňování těchto úlev a předcházení daňovým únikům, vyhýbání se daňovým povinnostem nebo zneužití daňového režimu,“;</w:t>
      </w:r>
    </w:p>
    <w:p>
      <w:pPr>
        <w:rPr>
          <w:noProof/>
        </w:rPr>
      </w:pPr>
    </w:p>
    <w:p>
      <w:pPr>
        <w:rPr>
          <w:noProof/>
        </w:rPr>
      </w:pPr>
      <w:r>
        <w:rPr>
          <w:noProof/>
        </w:rPr>
        <w:t>ii) písmeno a) se nahrazuje tímto:</w:t>
      </w:r>
    </w:p>
    <w:p>
      <w:pPr>
        <w:rPr>
          <w:noProof/>
        </w:rPr>
      </w:pPr>
    </w:p>
    <w:p>
      <w:pPr>
        <w:rPr>
          <w:noProof/>
        </w:rPr>
      </w:pPr>
      <w:r>
        <w:rPr>
          <w:noProof/>
        </w:rPr>
        <w:t>„a) jsou-li tyto výrobky distribuovány ve formě lihu, který byl plně denaturován v kterémkoli členském státě v souladu s požadavky tohoto členského státu, nebo denaturovaného lihu, který byl dovezen do členského státu a denaturován v souladu s požadavky tohoto členského státu, pokud tyto požadavky byly řádně písemně oznámeny a schváleny v souladu s odstavci 3 a 4;“</w:t>
      </w:r>
    </w:p>
    <w:p>
      <w:pPr>
        <w:rPr>
          <w:noProof/>
        </w:rPr>
      </w:pPr>
    </w:p>
    <w:p>
      <w:pPr>
        <w:rPr>
          <w:noProof/>
        </w:rPr>
      </w:pPr>
      <w:r>
        <w:rPr>
          <w:noProof/>
        </w:rPr>
        <w:t>iii) písmeno b) se nahrazuje tímto:</w:t>
      </w:r>
    </w:p>
    <w:p>
      <w:pPr>
        <w:rPr>
          <w:noProof/>
        </w:rPr>
      </w:pPr>
    </w:p>
    <w:p>
      <w:pPr>
        <w:rPr>
          <w:noProof/>
        </w:rPr>
      </w:pPr>
      <w:r>
        <w:rPr>
          <w:noProof/>
        </w:rPr>
        <w:t xml:space="preserve">„b) jsou-li tyto výrobky používány v rámci výrobního procesu jakéhokoli výrobku, který není určen pro lidskou spotřebu, a to i za účelem údržby a čištění výrobních zařízení, pokud byl daný líh denaturován v souladu s požadavky členského státu, ve kterém výrobní proces probíhá;“ </w:t>
      </w:r>
    </w:p>
    <w:p>
      <w:pPr>
        <w:rPr>
          <w:noProof/>
          <w:color w:val="0000FF"/>
        </w:rPr>
      </w:pPr>
    </w:p>
    <w:p>
      <w:pPr>
        <w:rPr>
          <w:noProof/>
        </w:rPr>
      </w:pPr>
      <w:r>
        <w:rPr>
          <w:noProof/>
        </w:rPr>
        <w:t>b) vkládá se nový odstavec, který zní:</w:t>
      </w:r>
    </w:p>
    <w:p>
      <w:pPr>
        <w:rPr>
          <w:noProof/>
        </w:rPr>
      </w:pPr>
    </w:p>
    <w:p>
      <w:pPr>
        <w:rPr>
          <w:noProof/>
        </w:rPr>
      </w:pPr>
      <w:r>
        <w:rPr>
          <w:noProof/>
        </w:rPr>
        <w:t>„1A. Pro účely odst. 1 písm. b) uplatňují členské státy ustanovení [kapitoly IV směrnice 2008/118/ES] pro přepravu každého výrobku obsahujícího alkohol, který není určen pro lidskou spotřebu,</w:t>
      </w:r>
    </w:p>
    <w:p>
      <w:pPr>
        <w:rPr>
          <w:noProof/>
        </w:rPr>
      </w:pPr>
      <w:r>
        <w:rPr>
          <w:noProof/>
        </w:rPr>
        <w:t>– pokud výrobní proces nebyl dokončen a dotyčný výrobek nemá konečnou podobu nebo</w:t>
      </w:r>
    </w:p>
    <w:p>
      <w:pPr>
        <w:rPr>
          <w:noProof/>
        </w:rPr>
      </w:pPr>
      <w:r>
        <w:rPr>
          <w:noProof/>
        </w:rPr>
        <w:t>– pokud dotyčný výrobek obsahuje líh s obsahem alkoholu 90 % objemových nebo vyšším.“;</w:t>
      </w:r>
    </w:p>
    <w:p>
      <w:pPr>
        <w:rPr>
          <w:noProof/>
          <w:color w:val="0000FF"/>
        </w:rPr>
      </w:pPr>
    </w:p>
    <w:p>
      <w:pPr>
        <w:rPr>
          <w:noProof/>
        </w:rPr>
      </w:pPr>
      <w:r>
        <w:rPr>
          <w:noProof/>
        </w:rPr>
        <w:t>c) odstavec 3 se nahrazuje tímto:</w:t>
      </w:r>
    </w:p>
    <w:p>
      <w:pPr>
        <w:rPr>
          <w:noProof/>
        </w:rPr>
      </w:pPr>
      <w:r>
        <w:rPr>
          <w:noProof/>
        </w:rPr>
        <w:t>„3. Členský stát, který hodlá změnit požadavky na plnou denaturaci lihu uvedené v odst. 1 písm. a), oznámí písemně Komisi příslušné nové požadavky spolu se všemi důležitými informacemi o denaturačních prostředcích, které zamýšlí využívat.</w:t>
      </w:r>
    </w:p>
    <w:p>
      <w:pPr>
        <w:rPr>
          <w:noProof/>
        </w:rPr>
      </w:pPr>
      <w:r>
        <w:rPr>
          <w:noProof/>
        </w:rPr>
        <w:t>Jestliže se Komise domnívá, že nemá k dispozici veškeré nezbytné informace, kontaktuje do jednoho měsíce od obdržení oznámení dotčený členský stát a upřesní, které informace požaduje. Poté, co má Komise k dispozici veškeré informace, které považuje za nezbytné, předá dané oznámení do jednoho měsíce ostatním členským státům.“;</w:t>
      </w:r>
    </w:p>
    <w:p>
      <w:pPr>
        <w:rPr>
          <w:noProof/>
        </w:rPr>
      </w:pPr>
    </w:p>
    <w:p>
      <w:pPr>
        <w:rPr>
          <w:noProof/>
        </w:rPr>
      </w:pPr>
      <w:r>
        <w:rPr>
          <w:noProof/>
        </w:rPr>
        <w:t>d) odstavec 4 se nahrazuje tímto:</w:t>
      </w:r>
    </w:p>
    <w:p>
      <w:pPr>
        <w:rPr>
          <w:noProof/>
        </w:rPr>
      </w:pPr>
      <w:r>
        <w:rPr>
          <w:noProof/>
        </w:rPr>
        <w:t>„4. Komise přijímá prováděcí akty, kterými schvaluje nebo zamítá požadavky, které byly oznámeny podle odstavce 3. Tyto prováděcí akty se přijímají přezkumným postupem podle čl. 28a odst. 2.“;</w:t>
      </w:r>
    </w:p>
    <w:p>
      <w:pPr>
        <w:rPr>
          <w:noProof/>
        </w:rPr>
      </w:pPr>
    </w:p>
    <w:p>
      <w:pPr>
        <w:rPr>
          <w:noProof/>
        </w:rPr>
      </w:pPr>
      <w:r>
        <w:rPr>
          <w:noProof/>
        </w:rPr>
        <w:t>8) článek 28 se zrušuje;</w:t>
      </w:r>
    </w:p>
    <w:p>
      <w:pPr>
        <w:rPr>
          <w:noProof/>
        </w:rPr>
      </w:pPr>
    </w:p>
    <w:p>
      <w:pPr>
        <w:rPr>
          <w:noProof/>
        </w:rPr>
      </w:pPr>
      <w:r>
        <w:rPr>
          <w:noProof/>
        </w:rPr>
        <w:t xml:space="preserve">9) v oddíle VIII se vkládá nový článek, který zní: </w:t>
      </w:r>
    </w:p>
    <w:p>
      <w:pPr>
        <w:keepNext/>
        <w:spacing w:before="360"/>
        <w:jc w:val="center"/>
        <w:rPr>
          <w:rFonts w:eastAsia="Calibri"/>
          <w:i/>
          <w:noProof/>
        </w:rPr>
      </w:pPr>
      <w:r>
        <w:rPr>
          <w:noProof/>
        </w:rPr>
        <w:t>„</w:t>
      </w:r>
      <w:r>
        <w:rPr>
          <w:i/>
          <w:noProof/>
        </w:rPr>
        <w:t>Článek 28a</w:t>
      </w:r>
    </w:p>
    <w:p>
      <w:pPr>
        <w:rPr>
          <w:noProof/>
        </w:rPr>
      </w:pPr>
      <w:r>
        <w:rPr>
          <w:noProof/>
        </w:rPr>
        <w:t>1. Komisi je nápomocen „Výbor pro spotřební daně“. Tento výbor je výborem ve smyslu nařízení (EU) č. 182/2011.</w:t>
      </w:r>
    </w:p>
    <w:p>
      <w:pPr>
        <w:rPr>
          <w:noProof/>
        </w:rPr>
      </w:pPr>
      <w:r>
        <w:rPr>
          <w:noProof/>
        </w:rPr>
        <w:t>2. Odkazuje-li se na tento odstavec, použije se článek 5 nařízení (EU) č. 182/2011.“</w:t>
      </w:r>
    </w:p>
    <w:p>
      <w:pPr>
        <w:pStyle w:val="Titrearticle"/>
        <w:rPr>
          <w:noProof/>
        </w:rPr>
      </w:pPr>
      <w:r>
        <w:rPr>
          <w:noProof/>
        </w:rPr>
        <w:t>Článek 2</w:t>
      </w:r>
    </w:p>
    <w:p>
      <w:pPr>
        <w:pStyle w:val="Titrearticle"/>
        <w:rPr>
          <w:noProof/>
        </w:rPr>
      </w:pPr>
    </w:p>
    <w:p>
      <w:pPr>
        <w:pStyle w:val="ManualNumPar1"/>
        <w:rPr>
          <w:noProof/>
        </w:rPr>
      </w:pPr>
      <w:r>
        <w:rPr>
          <w:noProof/>
        </w:rPr>
        <w:t>1.</w:t>
      </w:r>
      <w:r>
        <w:rPr>
          <w:noProof/>
        </w:rPr>
        <w:tab/>
        <w:t>Členské státy přijmou a zveřejní právní a správní předpisy nezbytné pro dosažení souladu s touto směrnicí do 1. ledna 2020. Neprodleně sdělí Komisi jejich znění.</w:t>
      </w:r>
    </w:p>
    <w:p>
      <w:pPr>
        <w:pStyle w:val="Text1"/>
        <w:rPr>
          <w:noProof/>
        </w:rPr>
      </w:pPr>
      <w:r>
        <w:rPr>
          <w:noProof/>
        </w:rPr>
        <w:t>Použijí tyto předpisy ode dne 1. ledna 2020.</w:t>
      </w:r>
    </w:p>
    <w:p>
      <w:pPr>
        <w:pStyle w:val="Text1"/>
        <w:rPr>
          <w:noProof/>
        </w:rPr>
      </w:pPr>
      <w:r>
        <w:rPr>
          <w:noProof/>
        </w:rPr>
        <w:t>Tyto předpisy přijaté členskými státy musí obsahovat odkaz na tuto směrnici nebo musí být takový odkaz učiněn při jejich úředním vyhlášení. Způsob odkazu si stanoví členské státy.</w:t>
      </w:r>
    </w:p>
    <w:p>
      <w:pPr>
        <w:pStyle w:val="ManualNumPar1"/>
        <w:rPr>
          <w:noProof/>
        </w:rPr>
      </w:pPr>
      <w:r>
        <w:rPr>
          <w:noProof/>
        </w:rPr>
        <w:t>2.</w:t>
      </w:r>
      <w:r>
        <w:rPr>
          <w:noProof/>
        </w:rPr>
        <w:tab/>
        <w:t>Členské státy sdělí Komisi znění hlavních ustanovení vnitrostátních právních předpisů, které přijmou v oblasti působnosti této směrnice.</w:t>
      </w:r>
    </w:p>
    <w:p>
      <w:pPr>
        <w:pStyle w:val="Titrearticle"/>
        <w:rPr>
          <w:noProof/>
        </w:rPr>
      </w:pPr>
      <w:r>
        <w:rPr>
          <w:noProof/>
        </w:rPr>
        <w:lastRenderedPageBreak/>
        <w:t>Článek 3</w:t>
      </w:r>
    </w:p>
    <w:p>
      <w:pPr>
        <w:rPr>
          <w:noProof/>
        </w:rPr>
      </w:pPr>
      <w:r>
        <w:rPr>
          <w:noProof/>
        </w:rPr>
        <w:t>Tato směrnice vstupuje v platnost dvacátým dnem po vyhlášení v </w:t>
      </w:r>
      <w:r>
        <w:rPr>
          <w:i/>
          <w:noProof/>
        </w:rPr>
        <w:t>Úředním věstníku Evropské unie</w:t>
      </w:r>
      <w:r>
        <w:rPr>
          <w:noProof/>
        </w:rPr>
        <w:t>.</w:t>
      </w:r>
    </w:p>
    <w:p>
      <w:pPr>
        <w:pStyle w:val="Titrearticle"/>
        <w:rPr>
          <w:noProof/>
        </w:rPr>
      </w:pPr>
      <w:r>
        <w:rPr>
          <w:noProof/>
        </w:rPr>
        <w:t>Článek 4</w:t>
      </w:r>
    </w:p>
    <w:p>
      <w:pPr>
        <w:rPr>
          <w:noProof/>
        </w:rPr>
      </w:pPr>
      <w:r>
        <w:rPr>
          <w:noProof/>
        </w:rPr>
        <w:t>Tato směrnice je určena členským státům.</w:t>
      </w:r>
    </w:p>
    <w:p>
      <w:pPr>
        <w:rPr>
          <w:noProof/>
        </w:rPr>
      </w:pP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https://ec.europa.eu/info/law/law-making-process/evaluating-and-improving-existing-laws/refit-making-eu-law-simpler-and-less-costly/refit-platform_cs</w:t>
      </w:r>
    </w:p>
  </w:footnote>
  <w:footnote w:id="3">
    <w:p>
      <w:pPr>
        <w:pStyle w:val="FootnoteText"/>
      </w:pPr>
      <w:r>
        <w:rPr>
          <w:rStyle w:val="FootnoteReference"/>
        </w:rPr>
        <w:footnoteRef/>
      </w:r>
      <w:r>
        <w:tab/>
        <w:t>COM(2016) 710 final.</w:t>
      </w:r>
    </w:p>
  </w:footnote>
  <w:footnote w:id="4">
    <w:p>
      <w:pPr>
        <w:pStyle w:val="FootnoteText"/>
      </w:pPr>
      <w:r>
        <w:rPr>
          <w:rStyle w:val="FootnoteReference"/>
        </w:rPr>
        <w:footnoteRef/>
      </w:r>
      <w:r>
        <w:tab/>
        <w:t xml:space="preserve">Směrnice Rady 92/84/EHS ze dne 19. října 1992 o sbližování sazeb spotřební daně z alkoholu a alkoholických nápojů, Úř. věst. L 316, 31.10.1992, s. 29, stanoví minimální sazby spotřební daně. Návrh na změnu směrnice 92/84/EHS by sice mohl omezit motivaci k daňovým únikům a mít pozitivní dopad na veřejné zdraví, ale toto posouzení dopadů se na něj nezaměří z důvodu omezené podpory zúčastněných stran a předchozích zkušeností Komise s návrhy na změnu uvedené směrnice.  </w:t>
      </w:r>
    </w:p>
  </w:footnote>
  <w:footnote w:id="5">
    <w:p>
      <w:pPr>
        <w:pStyle w:val="FootnoteText"/>
      </w:pPr>
      <w:r>
        <w:rPr>
          <w:rStyle w:val="FootnoteReference"/>
        </w:rPr>
        <w:footnoteRef/>
      </w:r>
      <w:r>
        <w:tab/>
        <w:t xml:space="preserve">Ramboll Management Consulting, Coffey a Europe Economics, </w:t>
      </w:r>
      <w:r>
        <w:rPr>
          <w:i/>
        </w:rPr>
        <w:t>Evaluation of Council Directive 92/83/EEC on the harmonisation of the structures of excise duties on alcohol and alcoholic beverages</w:t>
      </w:r>
      <w:r>
        <w:t>, 2016.</w:t>
      </w:r>
    </w:p>
  </w:footnote>
  <w:footnote w:id="6">
    <w:p>
      <w:pPr>
        <w:pStyle w:val="FootnoteText"/>
      </w:pPr>
      <w:r>
        <w:rPr>
          <w:rStyle w:val="FootnoteReference"/>
        </w:rPr>
        <w:footnoteRef/>
      </w:r>
      <w:r>
        <w:tab/>
        <w:t>Zpráva Komise Radě o hodnocení směrnice Rady 92/83/EHS o harmonizaci struktury spotřebních daní z alkoholu a alkoholických nápojů, COM(2016) 676 final, Brusel, 28.10.2016.</w:t>
      </w:r>
    </w:p>
  </w:footnote>
  <w:footnote w:id="7">
    <w:p>
      <w:pPr>
        <w:pStyle w:val="FootnoteText"/>
      </w:pPr>
      <w:r>
        <w:rPr>
          <w:rStyle w:val="FootnoteReference"/>
        </w:rPr>
        <w:footnoteRef/>
      </w:r>
      <w:r>
        <w:tab/>
        <w:t>http://data.consilium.europa.eu/doc/document/ST-15009-2016-INIT/cs/pdf</w:t>
      </w:r>
    </w:p>
  </w:footnote>
  <w:footnote w:id="8">
    <w:p>
      <w:pPr>
        <w:pStyle w:val="FootnoteText"/>
      </w:pPr>
      <w:r>
        <w:rPr>
          <w:rStyle w:val="FootnoteReference"/>
        </w:rPr>
        <w:footnoteRef/>
      </w:r>
      <w:r>
        <w:tab/>
        <w:t>Cílem metody Plato je stanovit koncentraci extraktu v tekutině v procentech hmotnostních. Přidání cukru nebo aromatu do piva po kvašení může uměle ovlivnit jeho stupňovitost ve stupních Plato.</w:t>
      </w:r>
    </w:p>
  </w:footnote>
  <w:footnote w:id="9">
    <w:p>
      <w:pPr>
        <w:pStyle w:val="FootnoteText"/>
      </w:pPr>
      <w:r>
        <w:rPr>
          <w:rStyle w:val="FootnoteReference"/>
        </w:rPr>
        <w:footnoteRef/>
      </w:r>
      <w:r>
        <w:tab/>
        <w:t xml:space="preserve">Sdělení Komise Evropskému parlamentu, Radě, Evropskému hospodářskému a sociálnímu výboru a Výboru regionů – Zlepšování jednotného trhu: více příležitostí pro lidi a podniky (COM(2015) 550 final), s. 4.  </w:t>
      </w:r>
    </w:p>
  </w:footnote>
  <w:footnote w:id="10">
    <w:p>
      <w:pPr>
        <w:pStyle w:val="FootnoteText"/>
      </w:pPr>
      <w:r>
        <w:rPr>
          <w:rStyle w:val="FootnoteReference"/>
        </w:rPr>
        <w:footnoteRef/>
      </w:r>
      <w:r>
        <w:tab/>
        <w:t>Konsolidovaná verze Smlouvy o Evropské unii (Úř. věst. C 326, 26.10.2012, s. 13).</w:t>
      </w:r>
    </w:p>
  </w:footnote>
  <w:footnote w:id="11">
    <w:p>
      <w:pPr>
        <w:pStyle w:val="FootnoteText"/>
      </w:pPr>
      <w:r>
        <w:rPr>
          <w:rStyle w:val="FootnoteReference"/>
        </w:rPr>
        <w:footnoteRef/>
      </w:r>
      <w:r>
        <w:tab/>
        <w:t xml:space="preserve">Ramboll Management Consulting, Coffey a Europe Economics, </w:t>
      </w:r>
      <w:r>
        <w:rPr>
          <w:i/>
        </w:rPr>
        <w:t>Evaluation of Council Directive 92/83/EEC on the harmonisation of the structures of excise duties on alcohol and alcoholic beverages</w:t>
      </w:r>
      <w:r>
        <w:t>, 2016.</w:t>
      </w:r>
    </w:p>
  </w:footnote>
  <w:footnote w:id="12">
    <w:p>
      <w:pPr>
        <w:pStyle w:val="FootnoteText"/>
        <w:rPr>
          <w:sz w:val="18"/>
          <w:szCs w:val="18"/>
        </w:rPr>
      </w:pPr>
      <w:r>
        <w:rPr>
          <w:rStyle w:val="FootnoteReference"/>
        </w:rPr>
        <w:footnoteRef/>
      </w:r>
      <w:r>
        <w:tab/>
      </w:r>
      <w:r>
        <w:rPr>
          <w:sz w:val="18"/>
        </w:rPr>
        <w:t>Zpráva Komise Radě o hodnocení směrnice Rady 92/83/EHS o harmonizaci struktury spotřebních daní z alkoholu a alkoholických nápojů, COM(2016) 676 final, Brusel, 28.10.2016.</w:t>
      </w:r>
    </w:p>
  </w:footnote>
  <w:footnote w:id="13">
    <w:p>
      <w:pPr>
        <w:pStyle w:val="FootnoteText"/>
      </w:pPr>
      <w:r>
        <w:rPr>
          <w:rStyle w:val="FootnoteReference"/>
        </w:rPr>
        <w:footnoteRef/>
      </w:r>
      <w:r>
        <w:tab/>
        <w:t>http://data.consilium.europa.eu/doc/document/ST-15009-2016-INIT/cs/pdf</w:t>
      </w:r>
    </w:p>
  </w:footnote>
  <w:footnote w:id="14">
    <w:p>
      <w:pPr>
        <w:pStyle w:val="FootnoteText"/>
      </w:pPr>
      <w:r>
        <w:rPr>
          <w:rStyle w:val="FootnoteReference"/>
        </w:rPr>
        <w:footnoteRef/>
      </w:r>
      <w:r>
        <w:tab/>
        <w:t xml:space="preserve">Skupina vedená společností Economisti Associati s.r.l. a zahrnující Centrum pro evropská politická studia (CEPS), CASE - Center for Social and Economic Research, wedoIT-solutions GmbH a ECOPA splnila zadání s názvem </w:t>
      </w:r>
      <w:r>
        <w:rPr>
          <w:i/>
        </w:rPr>
        <w:t>Study on Council Directive 92/83/EEC on the structures of excise duty on alcohol and alcoholic beverages</w:t>
      </w:r>
      <w:r>
        <w:t xml:space="preserve"> [Studie o směrnici Rady 92/83/EHS o struktuře spotřebních daní z alkoholu a alkoholických nápojů].</w:t>
      </w:r>
    </w:p>
  </w:footnote>
  <w:footnote w:id="15">
    <w:p>
      <w:pPr>
        <w:pStyle w:val="FootnoteText"/>
      </w:pPr>
      <w:r>
        <w:rPr>
          <w:rStyle w:val="FootnoteReference"/>
        </w:rPr>
        <w:footnoteRef/>
      </w:r>
      <w:r>
        <w:tab/>
        <w:t>Úř. věst. C , , s. .</w:t>
      </w:r>
    </w:p>
  </w:footnote>
  <w:footnote w:id="16">
    <w:p>
      <w:pPr>
        <w:pStyle w:val="FootnoteText"/>
      </w:pPr>
      <w:r>
        <w:rPr>
          <w:rStyle w:val="FootnoteReference"/>
        </w:rPr>
        <w:footnoteRef/>
      </w:r>
      <w:r>
        <w:tab/>
        <w:t>Úř. věst. C , , s. .</w:t>
      </w:r>
    </w:p>
  </w:footnote>
  <w:footnote w:id="17">
    <w:p>
      <w:pPr>
        <w:pStyle w:val="FootnoteText"/>
      </w:pPr>
      <w:r>
        <w:rPr>
          <w:rStyle w:val="FootnoteReference"/>
        </w:rPr>
        <w:footnoteRef/>
      </w:r>
      <w:r>
        <w:tab/>
        <w:t>Směrnice Rady 92/83/EHS ze dne 19. října 1992 o harmonizaci struktury spotřebních daní z alkoholu a alkoholických nápojů (Úř. věst. L 316, 31.10.1992, s. 21).</w:t>
      </w:r>
    </w:p>
  </w:footnote>
  <w:footnote w:id="18">
    <w:p>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467B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E06F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8AF4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44A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4A30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8EE3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D0A62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EFC47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OVAN Eadaoin (TAXUD)">
    <w15:presenceInfo w15:providerId="None" w15:userId="ODONOVAN Eadaoin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7 16:56:4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2A557F9-30AF-430E-A074-2A25EF8301B5"/>
    <w:docVar w:name="LW_COVERPAGE_TYPE" w:val="1"/>
    <w:docVar w:name="LW_CROSSREFERENCE" w:val="{SEC(2018) 254 final}_x000b_{SWD(2018) 258 final}_x000b_{SWD(2018) 259 final}"/>
    <w:docVar w:name="LW_DocType" w:val="COM"/>
    <w:docVar w:name="LW_EMISSION" w:val="25.5.2018"/>
    <w:docVar w:name="LW_EMISSION_ISODATE" w:val="2018-05-25"/>
    <w:docVar w:name="LW_EMISSION_LOCATION" w:val="BRX"/>
    <w:docVar w:name="LW_EMISSION_PREFIX" w:val="V Bruselu dne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NS"/>
    <w:docVar w:name="LW_REF.II.NEW.CP_NUMBER" w:val="0173"/>
    <w:docVar w:name="LW_REF.II.NEW.CP_YEAR" w:val="2018"/>
    <w:docVar w:name="LW_REF.INST.NEW" w:val="COM"/>
    <w:docVar w:name="LW_REF.INST.NEW_ADOPTED" w:val="final"/>
    <w:docVar w:name="LW_REF.INST.NEW_TEXT" w:val="(2018)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erou se m\u283?ní sm\u283?rnice 92/83/EHS o harmonizaci struktury spot\u345?ebních daní z alkoholu a alkoholických nápoj\u367?"/>
    <w:docVar w:name="LW_TYPE.DOC.CP" w:val="SM\u282?RNICE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Number4">
    <w:name w:val="List Number 4"/>
    <w:basedOn w:val="Normal"/>
    <w:pPr>
      <w:numPr>
        <w:numId w:val="1"/>
      </w:numPr>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cs-CZ"/>
    </w:rPr>
  </w:style>
  <w:style w:type="character" w:customStyle="1" w:styleId="Bodytext8">
    <w:name w:val="Body text (8)_"/>
    <w:basedOn w:val="DefaultParagraphFont"/>
    <w:link w:val="Bodytext80"/>
    <w:rPr>
      <w:b/>
      <w:bCs/>
      <w:i/>
      <w:iCs/>
      <w:shd w:val="clear" w:color="auto" w:fill="FFFFFF"/>
    </w:rPr>
  </w:style>
  <w:style w:type="paragraph" w:customStyle="1" w:styleId="Bodytext80">
    <w:name w:val="Body text (8)"/>
    <w:basedOn w:val="Normal"/>
    <w:link w:val="Bodytext8"/>
    <w:pPr>
      <w:shd w:val="clear" w:color="auto" w:fill="FFFFFF"/>
      <w:spacing w:before="240" w:after="240" w:line="266" w:lineRule="exact"/>
    </w:pPr>
    <w:rPr>
      <w:rFonts w:asciiTheme="minorHAnsi" w:hAnsiTheme="minorHAnsi" w:cstheme="minorBidi"/>
      <w:b/>
      <w:bCs/>
      <w:i/>
      <w:iCs/>
      <w:sz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Number4">
    <w:name w:val="List Number 4"/>
    <w:basedOn w:val="Normal"/>
    <w:pPr>
      <w:numPr>
        <w:numId w:val="1"/>
      </w:numPr>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cs-CZ"/>
    </w:rPr>
  </w:style>
  <w:style w:type="character" w:customStyle="1" w:styleId="Bodytext8">
    <w:name w:val="Body text (8)_"/>
    <w:basedOn w:val="DefaultParagraphFont"/>
    <w:link w:val="Bodytext80"/>
    <w:rPr>
      <w:b/>
      <w:bCs/>
      <w:i/>
      <w:iCs/>
      <w:shd w:val="clear" w:color="auto" w:fill="FFFFFF"/>
    </w:rPr>
  </w:style>
  <w:style w:type="paragraph" w:customStyle="1" w:styleId="Bodytext80">
    <w:name w:val="Body text (8)"/>
    <w:basedOn w:val="Normal"/>
    <w:link w:val="Bodytext8"/>
    <w:pPr>
      <w:shd w:val="clear" w:color="auto" w:fill="FFFFFF"/>
      <w:spacing w:before="240" w:after="240" w:line="266" w:lineRule="exact"/>
    </w:pPr>
    <w:rPr>
      <w:rFonts w:asciiTheme="minorHAnsi" w:hAnsiTheme="minorHAnsi" w:cstheme="minorBidi"/>
      <w:b/>
      <w:bCs/>
      <w:i/>
      <w:iCs/>
      <w:sz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144">
      <w:bodyDiv w:val="1"/>
      <w:marLeft w:val="0"/>
      <w:marRight w:val="0"/>
      <w:marTop w:val="0"/>
      <w:marBottom w:val="0"/>
      <w:divBdr>
        <w:top w:val="none" w:sz="0" w:space="0" w:color="auto"/>
        <w:left w:val="none" w:sz="0" w:space="0" w:color="auto"/>
        <w:bottom w:val="none" w:sz="0" w:space="0" w:color="auto"/>
        <w:right w:val="none" w:sz="0" w:space="0" w:color="auto"/>
      </w:divBdr>
    </w:div>
    <w:div w:id="331838476">
      <w:bodyDiv w:val="1"/>
      <w:marLeft w:val="0"/>
      <w:marRight w:val="0"/>
      <w:marTop w:val="0"/>
      <w:marBottom w:val="0"/>
      <w:divBdr>
        <w:top w:val="none" w:sz="0" w:space="0" w:color="auto"/>
        <w:left w:val="none" w:sz="0" w:space="0" w:color="auto"/>
        <w:bottom w:val="none" w:sz="0" w:space="0" w:color="auto"/>
        <w:right w:val="none" w:sz="0" w:space="0" w:color="auto"/>
      </w:divBdr>
    </w:div>
    <w:div w:id="1879512186">
      <w:bodyDiv w:val="1"/>
      <w:marLeft w:val="0"/>
      <w:marRight w:val="0"/>
      <w:marTop w:val="0"/>
      <w:marBottom w:val="0"/>
      <w:divBdr>
        <w:top w:val="none" w:sz="0" w:space="0" w:color="auto"/>
        <w:left w:val="none" w:sz="0" w:space="0" w:color="auto"/>
        <w:bottom w:val="none" w:sz="0" w:space="0" w:color="auto"/>
        <w:right w:val="none" w:sz="0" w:space="0" w:color="auto"/>
      </w:divBdr>
    </w:div>
    <w:div w:id="1933659789">
      <w:bodyDiv w:val="1"/>
      <w:marLeft w:val="0"/>
      <w:marRight w:val="0"/>
      <w:marTop w:val="0"/>
      <w:marBottom w:val="0"/>
      <w:divBdr>
        <w:top w:val="none" w:sz="0" w:space="0" w:color="auto"/>
        <w:left w:val="none" w:sz="0" w:space="0" w:color="auto"/>
        <w:bottom w:val="none" w:sz="0" w:space="0" w:color="auto"/>
        <w:right w:val="none" w:sz="0" w:space="0" w:color="auto"/>
      </w:divBdr>
    </w:div>
    <w:div w:id="19846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960D-F0CD-4191-A98B-5C42F151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6CC0F-AD67-47ED-AA99-B4A2E667EE20}">
  <ds:schemaRefs>
    <ds:schemaRef ds:uri="http://schemas.microsoft.com/sharepoint/v3/contenttype/forms"/>
  </ds:schemaRefs>
</ds:datastoreItem>
</file>

<file path=customXml/itemProps3.xml><?xml version="1.0" encoding="utf-8"?>
<ds:datastoreItem xmlns:ds="http://schemas.openxmlformats.org/officeDocument/2006/customXml" ds:itemID="{297701C4-1DBF-469A-B636-EE6D8E92DDFF}">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116b018f-4aaa-4418-ad06-650d5c9b37c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48396DC-7C15-41E5-98AA-D6AFEAC9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3888</Words>
  <Characters>22556</Characters>
  <Application>Microsoft Office Word</Application>
  <DocSecurity>0</DocSecurity>
  <Lines>417</Lines>
  <Paragraphs>175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2018-02-28T08:47:00Z</cp:lastPrinted>
  <dcterms:created xsi:type="dcterms:W3CDTF">2018-05-07T11:33:00Z</dcterms:created>
  <dcterms:modified xsi:type="dcterms:W3CDTF">2018-05-17T14:56:00Z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0x010100258AA79CEB83498886A3A08681123250000BC207F20EB1F74299FC3A2A06E36F9A</vt:lpwstr>
  </property>
  <property fmtid="{D5CDD505-2E9C-101B-9397-08002B2CF9AE}" pid="11" name="DQCStatus">
    <vt:lpwstr>Green (DQC version 03)</vt:lpwstr>
  </property>
</Properties>
</file>