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CB52715E-DBDD-4830-8CD7-5D5C6D5CB8B0" style="width:450.75pt;height:333.75pt">
            <v:imagedata r:id="rId9" o:title=""/>
          </v:shape>
        </w:pict>
      </w:r>
    </w:p>
    <w:bookmarkEnd w:id="0"/>
    <w:p>
      <w:pPr>
        <w:spacing w:before="120" w:after="120" w:line="240" w:lineRule="auto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Heading2"/>
        <w:numPr>
          <w:ilvl w:val="0"/>
          <w:numId w:val="27"/>
        </w:numPr>
        <w:spacing w:before="120" w:after="120" w:line="240" w:lineRule="auto"/>
        <w:rPr>
          <w:noProof/>
        </w:rPr>
      </w:pPr>
      <w:bookmarkStart w:id="1" w:name="_GoBack"/>
      <w:bookmarkEnd w:id="1"/>
      <w:r>
        <w:rPr>
          <w:noProof/>
        </w:rPr>
        <w:lastRenderedPageBreak/>
        <w:t>Uvod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</w:rPr>
      </w:pPr>
      <w:r>
        <w:rPr>
          <w:rFonts w:ascii="Times New Roman" w:hAnsi="Times New Roman"/>
          <w:noProof/>
          <w:sz w:val="24"/>
        </w:rPr>
        <w:t xml:space="preserve">Na 60. obljetnicu Ugovorâ iz Rima čelnici 27 država članica i institucija EU-a opredijelili su se za Uniju </w:t>
      </w:r>
      <w:r>
        <w:rPr>
          <w:rFonts w:ascii="Times New Roman" w:hAnsi="Times New Roman"/>
          <w:i/>
          <w:noProof/>
          <w:sz w:val="24"/>
        </w:rPr>
        <w:t>u kojoj će građani imati nove mogućnosti za kulturni, društveni i gospodarski rast. [...] Unij[u] koja čuva našu kulturnu baštinu i promiče kulturnu raznolikost</w:t>
      </w:r>
      <w:r>
        <w:rPr>
          <w:rFonts w:ascii="Times New Roman" w:hAnsi="Times New Roman"/>
          <w:i/>
          <w:noProof/>
          <w:sz w:val="24"/>
          <w:vertAlign w:val="superscript"/>
        </w:rPr>
        <w:footnoteReference w:id="2"/>
      </w:r>
      <w:r>
        <w:rPr>
          <w:rFonts w:ascii="Times New Roman" w:hAnsi="Times New Roman"/>
          <w:i/>
          <w:noProof/>
          <w:sz w:val="24"/>
        </w:rPr>
        <w:t xml:space="preserve">. </w:t>
      </w:r>
      <w:r>
        <w:rPr>
          <w:rFonts w:ascii="Times New Roman" w:hAnsi="Times New Roman"/>
          <w:noProof/>
          <w:sz w:val="24"/>
        </w:rPr>
        <w:t>To je potvrđeno na sastanku na vrhu koji su čelnici održali u Göteborgu u studenom 2017. te na sastanku Europskog vijeća u prosincu 2017.</w:t>
      </w:r>
      <w:bookmarkStart w:id="2" w:name="_Ref508976179"/>
      <w:r>
        <w:rPr>
          <w:rFonts w:ascii="Times New Roman" w:hAnsi="Times New Roman"/>
          <w:noProof/>
          <w:sz w:val="24"/>
          <w:vertAlign w:val="superscript"/>
        </w:rPr>
        <w:footnoteReference w:id="3"/>
      </w:r>
      <w:bookmarkEnd w:id="2"/>
      <w:r>
        <w:rPr>
          <w:rFonts w:ascii="Times New Roman" w:hAnsi="Times New Roman"/>
          <w:noProof/>
          <w:sz w:val="24"/>
        </w:rPr>
        <w:t>, na kojima se naglasilo i da je Europska godina kulturne baštine 2018.</w:t>
      </w:r>
      <w:bookmarkStart w:id="3" w:name="_Ref508719289"/>
      <w:r>
        <w:rPr>
          <w:rStyle w:val="FootnoteReference"/>
          <w:rFonts w:ascii="Times New Roman" w:hAnsi="Times New Roman"/>
          <w:noProof/>
          <w:sz w:val="24"/>
        </w:rPr>
        <w:footnoteReference w:id="4"/>
      </w:r>
      <w:bookmarkEnd w:id="3"/>
      <w:r>
        <w:rPr>
          <w:rFonts w:ascii="Times New Roman" w:hAnsi="Times New Roman"/>
          <w:noProof/>
          <w:sz w:val="24"/>
        </w:rPr>
        <w:t xml:space="preserve"> ključna mogućnost da se podigne razina svijesti o društvenoj i gospodarskoj važnosti kulture i baštine.</w:t>
      </w:r>
      <w:r>
        <w:rPr>
          <w:rFonts w:ascii="Times New Roman" w:hAnsi="Times New Roman"/>
          <w:noProof/>
        </w:rPr>
        <w:t xml:space="preserve"> 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Komisija je u svojoj Komunikaciji </w:t>
      </w:r>
      <w:r>
        <w:rPr>
          <w:noProof/>
        </w:rPr>
        <w:t>„</w:t>
      </w:r>
      <w:r>
        <w:rPr>
          <w:rFonts w:ascii="Times New Roman" w:hAnsi="Times New Roman"/>
          <w:noProof/>
          <w:sz w:val="24"/>
        </w:rPr>
        <w:t>Obrazovanjem i kulturom jačati europski identitet</w:t>
      </w:r>
      <w:r>
        <w:rPr>
          <w:noProof/>
        </w:rPr>
        <w:t>”</w:t>
      </w:r>
      <w:r>
        <w:rPr>
          <w:rFonts w:ascii="Times New Roman" w:hAnsi="Times New Roman"/>
          <w:noProof/>
          <w:sz w:val="24"/>
          <w:vertAlign w:val="superscript"/>
        </w:rPr>
        <w:footnoteReference w:id="5"/>
      </w:r>
      <w:r>
        <w:rPr>
          <w:rFonts w:ascii="Times New Roman" w:hAnsi="Times New Roman"/>
          <w:noProof/>
          <w:sz w:val="24"/>
        </w:rPr>
        <w:t xml:space="preserve"> navela da je </w:t>
      </w:r>
      <w:r>
        <w:rPr>
          <w:rFonts w:ascii="Times New Roman" w:hAnsi="Times New Roman"/>
          <w:i/>
          <w:noProof/>
          <w:sz w:val="24"/>
        </w:rPr>
        <w:t>u zajedničkom interesu svih država članica da iskoriste pun potencijal obrazovanja i kulture kao pokretača otvaranja novih radnih mjesta, postizanja socijalne pravednosti i aktivnog građanstva, ali i sredstva za doživljavanje europskog identiteta u svoj njegovoj raznolikosti.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Bogata europska kulturna baština i dinamični europski kulturni i kreativni sektori osnažuju europski identitet te stvaraju osjećaj pripadnosti. Kulturom se promiče aktivno građanstvo, zajedničke vrijednosti, uključivost i međukulturni dijalog u Europi i diljem svijeta. Ona zbližava ljude, uključujući nedavno pridošle izbjeglice i druge migrante, te nam pomaže da se osjećamo dijelom zajednica. Kultura i kreativne industrije mogu i poboljšati život, preobraziti zajednice, doprinijeti otvaranju radnih mjesta i potaknuti rast te mogu imati neizravne učinke na druge gospodarske sektore. 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Nova europska agenda za kulturu („Nova agenda”) odgovor je na poziv europskih čelnika da se učini više, s pomoću kulture i obrazovanja, da se izgrade povezana društva te da se ponudi </w:t>
      </w:r>
      <w:r>
        <w:rPr>
          <w:rFonts w:ascii="Times New Roman" w:hAnsi="Times New Roman"/>
          <w:i/>
          <w:noProof/>
          <w:sz w:val="24"/>
        </w:rPr>
        <w:t>vizija atraktivne Europske unije</w:t>
      </w:r>
      <w:r>
        <w:rPr>
          <w:rFonts w:ascii="Times New Roman" w:hAnsi="Times New Roman"/>
          <w:noProof/>
          <w:sz w:val="24"/>
          <w:vertAlign w:val="superscript"/>
        </w:rPr>
        <w:footnoteReference w:id="6"/>
      </w:r>
      <w:r>
        <w:rPr>
          <w:rFonts w:ascii="Times New Roman" w:hAnsi="Times New Roman"/>
          <w:noProof/>
          <w:sz w:val="24"/>
        </w:rPr>
        <w:t>. Njome se nastoji iskoristiti puni potencijal kulture kako bi se pomoglo izgraditi uključiviju i pravedniju Uniju u kojoj se podupiru inovacije, kreativnost te održiva radna mjesta i rast.</w:t>
      </w:r>
    </w:p>
    <w:p>
      <w:pPr>
        <w:pStyle w:val="Heading2"/>
        <w:numPr>
          <w:ilvl w:val="0"/>
          <w:numId w:val="27"/>
        </w:numPr>
        <w:spacing w:before="120" w:after="120" w:line="240" w:lineRule="auto"/>
        <w:rPr>
          <w:noProof/>
        </w:rPr>
      </w:pPr>
      <w:r>
        <w:rPr>
          <w:noProof/>
        </w:rPr>
        <w:t>Izazovi i ciljevi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Izašavši iz teške financijske krize, Europa se suočila sa sve većim društvenim nejednakostima, raznolikim stanovništvom, populizmom, radikalizacijom i terorističkim prijetnjama. Nove tehnologije i digitalne komunikacije mijenjaju društva, životne stilove, navike potrošača i odnose moći u gospodarskim lancima vrijednosti. U tom promjenjivom okruženju uloga kulture nikad nije bila važnija. U anketi Eurobarometra iz 2017. 53 % ispitanika smatra da države članice imaju puno zajedničkih vrijednosti, a 40 % ispitanika smatra da se njihov pojam o zajedničkim vrijednostima uvelike razlikuje. Kultura može pomoći u tome da se premosti taj jaz jer je ona na vrhu popisa čimbenika s najvećim potencijalom za stvaranje osjećaja pripadnosti zajednici</w:t>
      </w:r>
      <w:r>
        <w:rPr>
          <w:rFonts w:ascii="Times New Roman" w:hAnsi="Times New Roman"/>
          <w:noProof/>
          <w:sz w:val="24"/>
          <w:vertAlign w:val="superscript"/>
        </w:rPr>
        <w:footnoteReference w:id="7"/>
      </w:r>
      <w:r>
        <w:rPr>
          <w:rFonts w:ascii="Times New Roman" w:hAnsi="Times New Roman"/>
          <w:noProof/>
          <w:sz w:val="24"/>
        </w:rPr>
        <w:t xml:space="preserve">. Međutim, podaci Eurostata </w:t>
      </w:r>
      <w:r>
        <w:rPr>
          <w:rFonts w:ascii="Times New Roman" w:hAnsi="Times New Roman"/>
          <w:noProof/>
          <w:sz w:val="24"/>
        </w:rPr>
        <w:lastRenderedPageBreak/>
        <w:t>pokazuju da više od trećine Europljana uopće ne sudjeluje u kulturnim aktivnostima</w:t>
      </w:r>
      <w:r>
        <w:rPr>
          <w:rFonts w:ascii="Times New Roman" w:hAnsi="Times New Roman"/>
          <w:noProof/>
          <w:sz w:val="24"/>
          <w:vertAlign w:val="superscript"/>
        </w:rPr>
        <w:footnoteReference w:id="8"/>
      </w:r>
      <w:r>
        <w:rPr>
          <w:rFonts w:ascii="Times New Roman" w:hAnsi="Times New Roman"/>
          <w:noProof/>
          <w:sz w:val="24"/>
        </w:rPr>
        <w:t>. Stoga postoji jasan prostor za povećanje sudjelovanja u kulturnom djelovanju, čime bi se Europljani ujedinili i iskusili ono što nas povezuje umjesto onoga što nas dijeli. Međutim, fragmentacija tržišta, nedovoljan pristup financiranju i nesigurni ugovorni uvjeti i dalje ometaju kulturne i kreativne sektore i smanjuju prihod stručnjaka iz tih područja.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Novom agendom, poduprtom odgovarajućim financijskim sredstvima, iskoristit će se sinergije između kulture i obrazovanja te će se osnažiti veze između kulture i drugih područja politike. Njome će se pomoći i kulturnim i kreativnim sektorima da prevladaju izazove i iskoriste mogućnosti koje proizlaze iz digitalne promjene.</w:t>
      </w:r>
    </w:p>
    <w:p>
      <w:pPr>
        <w:pStyle w:val="Heading2"/>
        <w:numPr>
          <w:ilvl w:val="0"/>
          <w:numId w:val="27"/>
        </w:numPr>
        <w:spacing w:before="120" w:after="120" w:line="240" w:lineRule="auto"/>
        <w:rPr>
          <w:noProof/>
        </w:rPr>
      </w:pPr>
      <w:r>
        <w:rPr>
          <w:noProof/>
        </w:rPr>
        <w:t>Pravna osnova i prvi koraci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Pravna osnova za djelovanje u području kulture na razini EU-a su članak 3. Ugovora o Europskoj uniji i članak 167. Ugovora o funkcioniranju Europske unije</w:t>
      </w:r>
      <w:r>
        <w:rPr>
          <w:rStyle w:val="FootnoteReference"/>
          <w:rFonts w:ascii="Times New Roman" w:hAnsi="Times New Roman"/>
          <w:noProof/>
          <w:sz w:val="24"/>
        </w:rPr>
        <w:footnoteReference w:id="9"/>
      </w:r>
      <w:r>
        <w:rPr>
          <w:noProof/>
        </w:rPr>
        <w:t>.</w:t>
      </w:r>
      <w:r>
        <w:rPr>
          <w:rFonts w:ascii="Times New Roman" w:hAnsi="Times New Roman"/>
          <w:noProof/>
          <w:sz w:val="24"/>
        </w:rPr>
        <w:t xml:space="preserve"> Države članice imaju isključivu nadležnost u području kulturne politike, a uloga Unije je poticanje suradnje te podupiranje i dopunjavanje mjera država članica. Politička suradnja EU-a dobila je znatnu potporu u okviru Komunikacije Komisije iz 2007. o europskoj agendi za kulturu u globaliziranom svijetu</w:t>
      </w:r>
      <w:r>
        <w:rPr>
          <w:rFonts w:ascii="Times New Roman" w:hAnsi="Times New Roman"/>
          <w:noProof/>
          <w:sz w:val="24"/>
          <w:vertAlign w:val="superscript"/>
        </w:rPr>
        <w:footnoteReference w:id="10"/>
      </w:r>
      <w:r>
        <w:rPr>
          <w:rFonts w:ascii="Times New Roman" w:hAnsi="Times New Roman"/>
          <w:noProof/>
          <w:sz w:val="24"/>
        </w:rPr>
        <w:t>, koju je podržalo Vijeće</w:t>
      </w:r>
      <w:r>
        <w:rPr>
          <w:rFonts w:ascii="Times New Roman" w:hAnsi="Times New Roman"/>
          <w:noProof/>
          <w:sz w:val="24"/>
          <w:vertAlign w:val="superscript"/>
        </w:rPr>
        <w:footnoteReference w:id="11"/>
      </w:r>
      <w:r>
        <w:rPr>
          <w:rFonts w:ascii="Times New Roman" w:hAnsi="Times New Roman"/>
          <w:noProof/>
          <w:sz w:val="24"/>
        </w:rPr>
        <w:t>. I Europski parlament podržao je tu agendu političkim rezolucijama i pilot-projektima.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Otad su države članice poduzele impresivan broj mjera</w:t>
      </w:r>
      <w:bookmarkStart w:id="4" w:name="_Ref510623588"/>
      <w:r>
        <w:rPr>
          <w:rStyle w:val="FootnoteReference"/>
          <w:rFonts w:ascii="Times New Roman" w:hAnsi="Times New Roman"/>
          <w:noProof/>
          <w:sz w:val="24"/>
        </w:rPr>
        <w:footnoteReference w:id="12"/>
      </w:r>
      <w:bookmarkEnd w:id="4"/>
      <w:r>
        <w:rPr>
          <w:rFonts w:ascii="Times New Roman" w:hAnsi="Times New Roman"/>
          <w:noProof/>
          <w:sz w:val="24"/>
        </w:rPr>
        <w:t>, nadahnute političkom suradnjom EU-a u okviru uzastopnih planova rada Vijeća koji se odnose na kulturu, u okviru projekata financiranih programima EU-a</w:t>
      </w:r>
      <w:bookmarkStart w:id="5" w:name="_Ref508722534"/>
      <w:r>
        <w:rPr>
          <w:rFonts w:ascii="Times New Roman" w:hAnsi="Times New Roman"/>
          <w:noProof/>
          <w:sz w:val="24"/>
        </w:rPr>
        <w:t xml:space="preserve"> te u okviru makroregionalnih strategija</w:t>
      </w:r>
      <w:r>
        <w:rPr>
          <w:rStyle w:val="FootnoteReference"/>
          <w:rFonts w:ascii="Times New Roman" w:hAnsi="Times New Roman"/>
          <w:noProof/>
          <w:sz w:val="24"/>
        </w:rPr>
        <w:footnoteReference w:id="13"/>
      </w:r>
      <w:r>
        <w:rPr>
          <w:rFonts w:ascii="Times New Roman" w:hAnsi="Times New Roman"/>
          <w:noProof/>
          <w:sz w:val="24"/>
        </w:rPr>
        <w:t xml:space="preserve">. </w:t>
      </w:r>
      <w:bookmarkEnd w:id="5"/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Europsko vijeće sad je EU-u zadalo zadatak da učini više u tom području te da dodatno </w:t>
      </w:r>
      <w:r>
        <w:rPr>
          <w:rFonts w:ascii="Times New Roman" w:hAnsi="Times New Roman"/>
          <w:i/>
          <w:noProof/>
          <w:sz w:val="24"/>
        </w:rPr>
        <w:t>razmotre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i/>
          <w:noProof/>
          <w:sz w:val="24"/>
        </w:rPr>
        <w:t>moguće mjere koje se</w:t>
      </w:r>
      <w:r>
        <w:rPr>
          <w:rFonts w:ascii="Times New Roman" w:hAnsi="Times New Roman"/>
          <w:noProof/>
          <w:sz w:val="24"/>
        </w:rPr>
        <w:t>, među ostalim,</w:t>
      </w:r>
      <w:r>
        <w:rPr>
          <w:rFonts w:ascii="Times New Roman" w:hAnsi="Times New Roman"/>
          <w:i/>
          <w:noProof/>
          <w:sz w:val="24"/>
        </w:rPr>
        <w:t xml:space="preserve"> odnose na pravne i financijske okvirne uvjete za razvoj kulturnih i kreativnih industrija te za mobilnost profesionalaca u kulturnom sektoru</w:t>
      </w:r>
      <w:r>
        <w:rPr>
          <w:rFonts w:ascii="Times New Roman" w:eastAsia="Calibri" w:hAnsi="Times New Roman" w:cs="Times New Roman"/>
          <w:i/>
          <w:noProof/>
          <w:sz w:val="24"/>
          <w:szCs w:val="24"/>
          <w:vertAlign w:val="superscript"/>
        </w:rPr>
        <w:fldChar w:fldCharType="begin"/>
      </w:r>
      <w:r>
        <w:rPr>
          <w:rFonts w:ascii="Times New Roman" w:eastAsia="Calibri" w:hAnsi="Times New Roman" w:cs="Times New Roman"/>
          <w:i/>
          <w:noProof/>
          <w:sz w:val="24"/>
          <w:szCs w:val="24"/>
          <w:vertAlign w:val="superscript"/>
        </w:rPr>
        <w:instrText xml:space="preserve"> NOTEREF _Ref508976179 \h  \* MERGEFORMAT </w:instrText>
      </w:r>
      <w:r>
        <w:rPr>
          <w:rFonts w:ascii="Times New Roman" w:eastAsia="Calibri" w:hAnsi="Times New Roman" w:cs="Times New Roman"/>
          <w:i/>
          <w:noProof/>
          <w:sz w:val="24"/>
          <w:szCs w:val="24"/>
          <w:vertAlign w:val="superscript"/>
        </w:rPr>
      </w:r>
      <w:r>
        <w:rPr>
          <w:rFonts w:ascii="Times New Roman" w:eastAsia="Calibri" w:hAnsi="Times New Roman" w:cs="Times New Roman"/>
          <w:i/>
          <w:noProof/>
          <w:sz w:val="24"/>
          <w:szCs w:val="24"/>
          <w:vertAlign w:val="superscript"/>
        </w:rPr>
        <w:fldChar w:fldCharType="separate"/>
      </w:r>
      <w:r>
        <w:rPr>
          <w:rFonts w:ascii="Times New Roman" w:eastAsia="Calibri" w:hAnsi="Times New Roman" w:cs="Times New Roman"/>
          <w:i/>
          <w:noProof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i/>
          <w:noProof/>
          <w:sz w:val="24"/>
          <w:szCs w:val="24"/>
          <w:vertAlign w:val="superscript"/>
        </w:rPr>
        <w:fldChar w:fldCharType="end"/>
      </w:r>
      <w:r>
        <w:rPr>
          <w:rFonts w:ascii="Times New Roman" w:hAnsi="Times New Roman"/>
          <w:i/>
          <w:noProof/>
          <w:sz w:val="24"/>
        </w:rPr>
        <w:t>.</w:t>
      </w:r>
    </w:p>
    <w:p>
      <w:pPr>
        <w:pStyle w:val="Heading2"/>
        <w:numPr>
          <w:ilvl w:val="0"/>
          <w:numId w:val="27"/>
        </w:numPr>
        <w:spacing w:before="120" w:after="120" w:line="240" w:lineRule="auto"/>
        <w:rPr>
          <w:noProof/>
        </w:rPr>
      </w:pPr>
      <w:r>
        <w:rPr>
          <w:noProof/>
        </w:rPr>
        <w:t>Strateški ciljevi i mjere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Nova agenda ima tri strateška cilja sa socijalnom, gospodarskom i vanjskom dimenzijom.</w:t>
      </w:r>
    </w:p>
    <w:p>
      <w:pPr>
        <w:pStyle w:val="Heading3"/>
        <w:spacing w:before="120" w:after="120" w:line="240" w:lineRule="auto"/>
        <w:rPr>
          <w:rFonts w:eastAsia="Calibri" w:cs="Times New Roman"/>
          <w:noProof/>
          <w:szCs w:val="24"/>
        </w:rPr>
      </w:pPr>
      <w:r>
        <w:rPr>
          <w:noProof/>
        </w:rPr>
        <w:t xml:space="preserve">Socijalna dimenzija – iskoristiti snagu kulture i kulturne raznolikosti za socijalnu koheziju i dobrobit </w:t>
      </w:r>
    </w:p>
    <w:p>
      <w:pPr>
        <w:pStyle w:val="ListBullet4"/>
        <w:spacing w:before="120" w:after="120" w:line="240" w:lineRule="auto"/>
        <w:contextualSpacing w:val="0"/>
        <w:jc w:val="both"/>
        <w:rPr>
          <w:noProof/>
        </w:rPr>
      </w:pPr>
      <w:r>
        <w:rPr>
          <w:noProof/>
        </w:rPr>
        <w:t>Poticanje kulturnog kapaciteta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svih Europljana stavljanjem na raspolaganje čitavog niza kulturnih aktivnosti i pružanjem prilika za aktivno sudjelovanje </w:t>
      </w:r>
    </w:p>
    <w:p>
      <w:pPr>
        <w:pStyle w:val="ListBullet4"/>
        <w:spacing w:before="120" w:after="120" w:line="240" w:lineRule="auto"/>
        <w:contextualSpacing w:val="0"/>
        <w:jc w:val="both"/>
        <w:rPr>
          <w:noProof/>
        </w:rPr>
      </w:pPr>
      <w:r>
        <w:rPr>
          <w:noProof/>
        </w:rPr>
        <w:t>Poticanje mobilnosti stručnjaka u kulturnim i kreativnim sektorima te uklanjanje prepreka njihovoj mobilnosti</w:t>
      </w:r>
    </w:p>
    <w:p>
      <w:pPr>
        <w:pStyle w:val="ListBullet4"/>
        <w:spacing w:before="120" w:after="120" w:line="240" w:lineRule="auto"/>
        <w:contextualSpacing w:val="0"/>
        <w:jc w:val="both"/>
        <w:rPr>
          <w:noProof/>
        </w:rPr>
      </w:pPr>
      <w:r>
        <w:rPr>
          <w:noProof/>
        </w:rPr>
        <w:t>Zaštita i promicanje kulturne baštine Europe kao zajedničkog resursa kako bi se podigla razina svijesti o našoj zajedničkoj povijesti i vrijednostima te osnažio osjećaj zajedničkog europskog identiteta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u w:val="single"/>
        </w:rPr>
        <w:t>Sudjelovanje u kulturnom djelovanju povezuje ljude.</w:t>
      </w:r>
      <w:r>
        <w:rPr>
          <w:rFonts w:ascii="Times New Roman" w:hAnsi="Times New Roman"/>
          <w:noProof/>
          <w:sz w:val="24"/>
        </w:rPr>
        <w:t xml:space="preserve"> Kultura je idealno sredstvo komunikacije usprkos jezičnim preprekama, ona osnažuje ljude i olakšava socijalnu koheziju, uključujući među izbjeglicama, drugim migrantima i domaćim stanovništvom. U skladu s Europskom agendom iz 2007. kreatori politika i stručnjaci dogovorili su se na koji se način može iskoristiti participativna umjetnost za promicanje razumijevanja, osnaživanje ljudi te povećanje samopouzdanja</w:t>
      </w:r>
      <w:r>
        <w:rPr>
          <w:rFonts w:ascii="Times New Roman" w:hAnsi="Times New Roman"/>
          <w:noProof/>
          <w:sz w:val="24"/>
          <w:vertAlign w:val="superscript"/>
        </w:rPr>
        <w:footnoteReference w:id="15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Kultura je </w:t>
      </w:r>
      <w:r>
        <w:rPr>
          <w:rFonts w:ascii="Times New Roman" w:hAnsi="Times New Roman"/>
          <w:noProof/>
          <w:sz w:val="24"/>
          <w:u w:val="single"/>
        </w:rPr>
        <w:t>transformacijska sila za obnovu zajednice</w:t>
      </w:r>
      <w:r>
        <w:rPr>
          <w:rFonts w:ascii="Times New Roman" w:hAnsi="Times New Roman"/>
          <w:noProof/>
          <w:sz w:val="24"/>
        </w:rPr>
        <w:t>. Dokaz za navedeno su uspješna 30-godišnja povijest inicijative Europske prijestolnice kulture te kulturni infrastrukturni projekti koji se financiraju iz europskih strukturnih i investicijskih fondova. U okviru Europske godine skreće se pozornost na transverzalni doprinos baštine europskim društvima i gospodarstvima. To je nov, prilagodljiv pristup oblikovanju našeg izgrađenog okoliša koji se temelji na kulturi</w:t>
      </w:r>
      <w:r>
        <w:rPr>
          <w:rFonts w:ascii="Times New Roman" w:hAnsi="Times New Roman"/>
          <w:noProof/>
          <w:sz w:val="24"/>
          <w:vertAlign w:val="superscript"/>
        </w:rPr>
        <w:footnoteReference w:id="16"/>
      </w:r>
      <w:r>
        <w:rPr>
          <w:rFonts w:ascii="Times New Roman" w:hAnsi="Times New Roman"/>
          <w:noProof/>
          <w:sz w:val="24"/>
        </w:rPr>
        <w:t>.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Sudjelovanjem u kulturnom djelovanju poboljšavaju se i </w:t>
      </w:r>
      <w:r>
        <w:rPr>
          <w:rFonts w:ascii="Times New Roman" w:hAnsi="Times New Roman"/>
          <w:noProof/>
          <w:sz w:val="24"/>
          <w:u w:val="single"/>
        </w:rPr>
        <w:t>zdravlje i dobrobit</w:t>
      </w:r>
      <w:r>
        <w:rPr>
          <w:rFonts w:ascii="Times New Roman" w:hAnsi="Times New Roman"/>
          <w:noProof/>
          <w:sz w:val="24"/>
        </w:rPr>
        <w:t>. Nedavno je među Europljanima provedena anketa u kojoj se 71 % ispitanika složilo da se „kvaliteta života može poboljšati kad se živi blizu mjesta povezanih s europskom kulturnom baštinom”</w:t>
      </w:r>
      <w:r>
        <w:rPr>
          <w:rFonts w:ascii="Times New Roman" w:hAnsi="Times New Roman"/>
          <w:noProof/>
          <w:sz w:val="24"/>
          <w:vertAlign w:val="superscript"/>
        </w:rPr>
        <w:footnoteReference w:id="17"/>
      </w:r>
      <w:r>
        <w:rPr>
          <w:rFonts w:ascii="Times New Roman" w:hAnsi="Times New Roman"/>
          <w:noProof/>
          <w:sz w:val="24"/>
        </w:rPr>
        <w:t>. Istraživanje</w:t>
      </w:r>
      <w:r>
        <w:rPr>
          <w:rFonts w:ascii="Times New Roman" w:hAnsi="Times New Roman"/>
          <w:noProof/>
          <w:sz w:val="24"/>
          <w:vertAlign w:val="superscript"/>
        </w:rPr>
        <w:footnoteReference w:id="18"/>
      </w:r>
      <w:r>
        <w:rPr>
          <w:rFonts w:ascii="Times New Roman" w:hAnsi="Times New Roman"/>
          <w:noProof/>
          <w:sz w:val="24"/>
        </w:rPr>
        <w:t xml:space="preserve"> potvrđuje da je pristup kulturi drugi po važnosti kad je riječ o psihološkoj dobrobiti, a prethodi mu jedino zdravlje.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Međutim, i dalje postoje socijalne i financijske prepreke sudjelovanju u kulturnom djelovanju unatoč tomu što se kulturne organizacije nastoje prilagoditi promjenjivim obrascima kulturne potrošnje i sastava stanovništva. Stoga se predlaže novi pristup u kojemu je </w:t>
      </w:r>
      <w:r>
        <w:rPr>
          <w:rFonts w:ascii="Times New Roman" w:hAnsi="Times New Roman"/>
          <w:noProof/>
          <w:sz w:val="24"/>
          <w:u w:val="single"/>
        </w:rPr>
        <w:t>kulturni kapacitet</w:t>
      </w:r>
      <w:r>
        <w:rPr>
          <w:rFonts w:ascii="Times New Roman" w:hAnsi="Times New Roman"/>
          <w:noProof/>
          <w:sz w:val="24"/>
        </w:rPr>
        <w:t xml:space="preserve"> vodeće načelo. To znači da se stavlja na raspolaganje čitav niz kvalitetnih kulturnih aktivnosti, promiču se mogućnosti za sudjelovanje i stvaranje dostupne svima te se jačaju veze između kulture i obrazovanja, socijalne politike, urbane politike, istraživanja i inovacija</w:t>
      </w:r>
      <w:r>
        <w:rPr>
          <w:rStyle w:val="FootnoteReference"/>
          <w:rFonts w:ascii="Times New Roman" w:hAnsi="Times New Roman"/>
          <w:noProof/>
          <w:sz w:val="24"/>
        </w:rPr>
        <w:footnoteReference w:id="19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Da bi se povećalo sudjelovanje, potreban je veći </w:t>
      </w:r>
      <w:r>
        <w:rPr>
          <w:rFonts w:ascii="Times New Roman" w:hAnsi="Times New Roman"/>
          <w:noProof/>
          <w:sz w:val="24"/>
          <w:u w:val="single"/>
        </w:rPr>
        <w:t>protok europskih umjetničkih djela i stručnjaka</w:t>
      </w:r>
      <w:r>
        <w:rPr>
          <w:rFonts w:ascii="Times New Roman" w:hAnsi="Times New Roman"/>
          <w:noProof/>
          <w:sz w:val="24"/>
        </w:rPr>
        <w:t xml:space="preserve"> u europskim kulturnim i kreativnim sektorima. Na temelju čvrstih dokaza</w:t>
      </w:r>
      <w:r>
        <w:rPr>
          <w:rFonts w:ascii="Times New Roman" w:hAnsi="Times New Roman"/>
          <w:noProof/>
          <w:sz w:val="24"/>
          <w:vertAlign w:val="superscript"/>
        </w:rPr>
        <w:footnoteReference w:id="20"/>
      </w:r>
      <w:r>
        <w:rPr>
          <w:rFonts w:ascii="Times New Roman" w:hAnsi="Times New Roman"/>
          <w:noProof/>
          <w:sz w:val="24"/>
        </w:rPr>
        <w:t xml:space="preserve"> EU će nastaviti podupirati politiku i osiguravati financijska sredstva, ali države članice morat će se dodatno potruditi da uklone administrativne prepreke poput rizika od dvostrukog oporezivanja umjetnika i zaposlenika u području umjetnosti.</w:t>
      </w:r>
    </w:p>
    <w:tbl>
      <w:tblPr>
        <w:tblStyle w:val="TableGrid1"/>
        <w:tblW w:w="9017" w:type="dxa"/>
        <w:tblInd w:w="360" w:type="dxa"/>
        <w:tblLook w:val="04A0" w:firstRow="1" w:lastRow="0" w:firstColumn="1" w:lastColumn="0" w:noHBand="0" w:noVBand="1"/>
      </w:tblPr>
      <w:tblGrid>
        <w:gridCol w:w="9017"/>
      </w:tblGrid>
      <w:tr>
        <w:trPr>
          <w:trHeight w:val="4536"/>
        </w:trPr>
        <w:tc>
          <w:tcPr>
            <w:tcW w:w="9017" w:type="dxa"/>
          </w:tcPr>
          <w:p>
            <w:p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će:</w:t>
            </w:r>
          </w:p>
          <w:p>
            <w:pPr>
              <w:numPr>
                <w:ilvl w:val="0"/>
                <w:numId w:val="4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podupirati istraživanje o kulturnim preplitanjima kako bi se procijenili utjecaji u različitim područjima, uključujući zdravlje i dobrobit (2018.)</w:t>
            </w:r>
          </w:p>
          <w:p>
            <w:pPr>
              <w:numPr>
                <w:ilvl w:val="0"/>
                <w:numId w:val="4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osmisliti posebne mjere za socijalnu uključivost s pomoću kulture, programa Kreativna Europa i programa Erasmus+</w:t>
            </w:r>
            <w:bookmarkStart w:id="6" w:name="_Ref508720651"/>
            <w:r>
              <w:rPr>
                <w:rStyle w:val="FootnoteReference"/>
                <w:rFonts w:ascii="Times New Roman" w:hAnsi="Times New Roman"/>
                <w:noProof/>
                <w:sz w:val="24"/>
              </w:rPr>
              <w:footnoteReference w:id="21"/>
            </w:r>
            <w:bookmarkEnd w:id="6"/>
            <w:r>
              <w:rPr>
                <w:rFonts w:ascii="Times New Roman" w:hAnsi="Times New Roman"/>
                <w:noProof/>
                <w:sz w:val="24"/>
              </w:rPr>
              <w:t xml:space="preserve"> te razmotriti kriterije odabira za program Kreativna Europa kako bi se potaknulo projektno upravljanje koje se temelji na rodnoj ravnopravnosti (2019.) </w:t>
            </w:r>
          </w:p>
          <w:p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pokrenuti projekt za kulturne i kreativne prostore i gradove u okviru programa Kreativna Europa kako bi se promicali kulturno sudjelovanje te društvena i urbana obnova (2018.)</w:t>
            </w:r>
          </w:p>
          <w:p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predložiti program mobilnosti za stručnjake u kulturnim i kreativnim sektorima u okviru programa Kreativna Europa (2018.–2019.)</w:t>
            </w:r>
          </w:p>
          <w:p>
            <w:p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poziva države članice da:</w:t>
            </w:r>
          </w:p>
          <w:p>
            <w:pPr>
              <w:numPr>
                <w:ilvl w:val="0"/>
                <w:numId w:val="4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preuzmu obvezu ostvarenja znatnog napretka u uklanjanju administrativnih i fiskalnih prepreka mobilnosti, među ostalim u okviru sljedećeg plana rada za kulturu</w:t>
            </w:r>
          </w:p>
        </w:tc>
      </w:tr>
    </w:tbl>
    <w:p>
      <w:pPr>
        <w:spacing w:before="120" w:after="120" w:line="240" w:lineRule="auto"/>
        <w:ind w:left="792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>
      <w:pPr>
        <w:pStyle w:val="Heading3"/>
        <w:spacing w:before="120" w:after="120" w:line="240" w:lineRule="auto"/>
        <w:rPr>
          <w:noProof/>
        </w:rPr>
      </w:pPr>
      <w:r>
        <w:rPr>
          <w:noProof/>
        </w:rPr>
        <w:t xml:space="preserve"> Gospodarska dimenzija – podupiranje kreativnosti u obrazovanju i inovacijama koja se temelji na kulturi te one u pogledu radnih mjesta i rasta</w:t>
      </w:r>
    </w:p>
    <w:p>
      <w:pPr>
        <w:pStyle w:val="ListBullet4"/>
        <w:spacing w:before="120" w:after="120" w:line="240" w:lineRule="auto"/>
        <w:contextualSpacing w:val="0"/>
        <w:jc w:val="both"/>
        <w:rPr>
          <w:noProof/>
        </w:rPr>
      </w:pPr>
      <w:r>
        <w:rPr>
          <w:noProof/>
        </w:rPr>
        <w:t>Promicanje umjetnosti, kulture i kreativnog razmišljanja u formalnom i neformalnom obrazovanju i osposobljavanju na svim razinama te u cjeloživotnom učenju</w:t>
      </w:r>
    </w:p>
    <w:p>
      <w:pPr>
        <w:pStyle w:val="ListBullet4"/>
        <w:spacing w:before="120" w:after="120" w:line="240" w:lineRule="auto"/>
        <w:contextualSpacing w:val="0"/>
        <w:jc w:val="both"/>
        <w:rPr>
          <w:noProof/>
        </w:rPr>
      </w:pPr>
      <w:r>
        <w:rPr>
          <w:noProof/>
        </w:rPr>
        <w:t>Poticanje pogodnih ekosustava za kulturne i kreativne industrije, pristupa financiranju, inovacijskog kapaciteta, pravednih naknada za autore i stvaraoce te međusektorske suradnje</w:t>
      </w:r>
    </w:p>
    <w:p>
      <w:pPr>
        <w:pStyle w:val="ListBullet4"/>
        <w:spacing w:before="120" w:after="120" w:line="240" w:lineRule="auto"/>
        <w:contextualSpacing w:val="0"/>
        <w:jc w:val="both"/>
        <w:rPr>
          <w:noProof/>
        </w:rPr>
      </w:pPr>
      <w:r>
        <w:rPr>
          <w:noProof/>
        </w:rPr>
        <w:t>Promicanje vještina potrebnih u kulturnim i kreativnim sektorima, uključujući digitalne, poduzetničke, tradicionalne i specijalizirane vještine</w:t>
      </w:r>
    </w:p>
    <w:p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Kultura i kreativnost važne su vrijednosti za gospodarstvo. Kultura izravno doprinosi otvaranju radnih mjesta, rastu i vanjskoj trgovini. Zapošljavanje u kulturnim sektorima EU-a postupno se povećavalo od 2011. do 2016., kad je doseglo 8,4 milijuna. Trgovinski suficit u kulturnim dobrima je 8,7 milijardi EUR</w:t>
      </w:r>
      <w:bookmarkStart w:id="7" w:name="_Ref508716581"/>
      <w:r>
        <w:rPr>
          <w:rStyle w:val="FootnoteReference"/>
          <w:rFonts w:ascii="Times New Roman" w:hAnsi="Times New Roman"/>
          <w:noProof/>
          <w:sz w:val="24"/>
        </w:rPr>
        <w:footnoteReference w:id="22"/>
      </w:r>
      <w:bookmarkEnd w:id="7"/>
      <w:r>
        <w:rPr>
          <w:rFonts w:ascii="Times New Roman" w:hAnsi="Times New Roman"/>
          <w:noProof/>
          <w:sz w:val="24"/>
        </w:rPr>
        <w:t>, a procjenjuje se da bruto domaćem proizvodu EU-a</w:t>
      </w:r>
      <w:r>
        <w:rPr>
          <w:rFonts w:ascii="Times New Roman" w:hAnsi="Times New Roman"/>
          <w:noProof/>
          <w:sz w:val="24"/>
          <w:vertAlign w:val="superscript"/>
        </w:rPr>
        <w:footnoteReference w:id="23"/>
      </w:r>
      <w:r>
        <w:rPr>
          <w:rFonts w:ascii="Times New Roman" w:hAnsi="Times New Roman"/>
          <w:noProof/>
          <w:sz w:val="24"/>
        </w:rPr>
        <w:t xml:space="preserve"> kulturni i kreativni sektori doprinose s 4,2 %. Inovativni gospodarski sektori trebaju i kreativnost kako bi zadržali prednost u odnosu na konkurenciju. Urbane i ruralne zajednice sve se više oslanjaju na kulturu u privlačenju poslodavaca, studenata i turista.</w:t>
      </w:r>
    </w:p>
    <w:p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Kultura, umjetnost, kreativnost i kreativne industrije međusobno su neovisne. Kombiniranje znanja i vještina specifičnih kulturnim i kreativnim sektorima sa znanjima i vještinama iz drugih sektora pomaže u stvaranju inovativnih rješenja, među ostalim u području informacijskih i komunikacijskih tehnologija, turizma, proizvodnje, usluga i javnog sektora. Kako bi iskoristila tu transformacijsku moć, Komisija predlaže da se naglasak stavi na tri posebna ekosustava: obrazovanje i osposobljavanje, gradove i regije te same kulturne i kreativne industrije kako bi se stvorila okruženja u kojima se podupiru inovacije na temelju kulture.</w:t>
      </w:r>
    </w:p>
    <w:p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u w:val="single"/>
        </w:rPr>
        <w:t>Obrazovanje i osposobljavanje</w:t>
      </w:r>
      <w:r>
        <w:rPr>
          <w:rFonts w:ascii="Times New Roman" w:hAnsi="Times New Roman"/>
          <w:noProof/>
          <w:sz w:val="24"/>
        </w:rPr>
        <w:t>: Postoji jasna veza između razina obrazovanja i sudjelovanja u kulturi. Međusektorsko djelovanje na kulturnu svijest i izričaj, jednu od osam ključnih kompetencija prepoznatih na europskoj razini, istražit će se u kontekstu revidiranog Okvira ključnih kompetencija za cjeloživotno učenje</w:t>
      </w:r>
      <w:r>
        <w:rPr>
          <w:rFonts w:ascii="Times New Roman" w:hAnsi="Times New Roman"/>
          <w:noProof/>
          <w:sz w:val="24"/>
          <w:vertAlign w:val="superscript"/>
        </w:rPr>
        <w:footnoteReference w:id="24"/>
      </w:r>
      <w:r>
        <w:rPr>
          <w:rFonts w:ascii="Times New Roman" w:hAnsi="Times New Roman"/>
          <w:noProof/>
          <w:sz w:val="24"/>
        </w:rPr>
        <w:t>. Postoji i konsenzus o potrebi za prenosivim kompetencijama i vještinama, kojima se potiče kreativnost i kritičko razmišljanje. Komisija podupire rad Organizacije za gospodarsku suradnju i razvoj (OECD) u vezi s tim kako podučavati, učiti i procjenjivati kreativno i kritičko razmišljanje</w:t>
      </w:r>
      <w:r>
        <w:rPr>
          <w:rFonts w:ascii="Times New Roman" w:hAnsi="Times New Roman"/>
          <w:noProof/>
          <w:sz w:val="24"/>
          <w:vertAlign w:val="superscript"/>
        </w:rPr>
        <w:footnoteReference w:id="25"/>
      </w:r>
      <w:r>
        <w:rPr>
          <w:rFonts w:ascii="Times New Roman" w:hAnsi="Times New Roman"/>
          <w:noProof/>
          <w:sz w:val="24"/>
        </w:rPr>
        <w:t>, što je trenutačno inovativno područje za Program za međunarodnu procjenu učenika 2021. (PISA). Taj naglasak na kreativnom i kritičkom razmišljanju trebalo bi proširiti na sve razine obrazovanja i osposobljavanja, u skladu s pomakom u pristupu sa STEM-a (znanost, tehnologija, inženjerstvo i matematika) na STEAM (uključujući umjetnost)</w:t>
      </w:r>
      <w:r>
        <w:rPr>
          <w:rStyle w:val="FootnoteReference"/>
          <w:rFonts w:ascii="Times New Roman" w:hAnsi="Times New Roman"/>
          <w:noProof/>
          <w:sz w:val="24"/>
        </w:rPr>
        <w:footnoteReference w:id="26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u w:val="single"/>
        </w:rPr>
        <w:t>Gradovi i regije</w:t>
      </w:r>
      <w:r>
        <w:rPr>
          <w:rFonts w:ascii="Times New Roman" w:hAnsi="Times New Roman"/>
          <w:noProof/>
          <w:sz w:val="24"/>
        </w:rPr>
        <w:t>: Kulturni i kreativni sektori imaju goleme mogućnosti za eksperimentiranje, predviđanje trendova te istraživanje modela društvenih i gospodarskih inovacija. Gradovi i regije su prirodni partneri</w:t>
      </w:r>
      <w:r>
        <w:rPr>
          <w:rFonts w:ascii="Times New Roman" w:hAnsi="Times New Roman"/>
          <w:noProof/>
          <w:sz w:val="24"/>
          <w:vertAlign w:val="superscript"/>
        </w:rPr>
        <w:footnoteReference w:id="27"/>
      </w:r>
      <w:r>
        <w:rPr>
          <w:rFonts w:ascii="Times New Roman" w:hAnsi="Times New Roman"/>
          <w:noProof/>
          <w:sz w:val="24"/>
        </w:rPr>
        <w:t>; glavni su predvodnici razvoja utemeljenog na kulturi zato što imaju veću lokalnu autonomiju, privlačni su pojedincima koji posjeduju velike talente te zato što su pri ruci ljudima koji u njima žive kad je riječ o ispunjavanju potreba i potencijala. Kultura i turizam snažni su pokretači gospodarske aktivnosti. Gradovi koji ulažu u kulturu mogu imati znatne koristi, mogu privući veći ljudski kapital i otvoriti više radnih mjesta u odnosu na usporedive gradove, kako se vidi iz Pregleda kulturnih i kreativnih gradova koji je razvio Zajednički istraživački centar Komisije</w:t>
      </w:r>
      <w:r>
        <w:rPr>
          <w:rFonts w:ascii="Times New Roman" w:hAnsi="Times New Roman"/>
          <w:noProof/>
          <w:sz w:val="24"/>
          <w:vertAlign w:val="superscript"/>
        </w:rPr>
        <w:footnoteReference w:id="28"/>
      </w:r>
      <w:r>
        <w:rPr>
          <w:rFonts w:ascii="Times New Roman" w:hAnsi="Times New Roman"/>
          <w:noProof/>
          <w:sz w:val="24"/>
        </w:rPr>
        <w:t>. U ruralnim područjima obnova i unapređenje kulturne i prirodne baštine doprinose potencijalu rasta i održivosti</w:t>
      </w:r>
      <w:r>
        <w:rPr>
          <w:rStyle w:val="FootnoteReference"/>
          <w:rFonts w:ascii="Times New Roman" w:hAnsi="Times New Roman"/>
          <w:noProof/>
          <w:sz w:val="24"/>
        </w:rPr>
        <w:footnoteReference w:id="29"/>
      </w:r>
      <w:r>
        <w:rPr>
          <w:rFonts w:ascii="Times New Roman" w:hAnsi="Times New Roman"/>
          <w:noProof/>
          <w:sz w:val="24"/>
        </w:rPr>
        <w:t>. Integrirano upravljanje kulturnom i prirodnom imovinom potiče ljude da ih otkriju i njima se bave</w:t>
      </w:r>
      <w:r>
        <w:rPr>
          <w:rStyle w:val="FootnoteReference"/>
          <w:rFonts w:ascii="Times New Roman" w:hAnsi="Times New Roman"/>
          <w:noProof/>
          <w:sz w:val="24"/>
        </w:rPr>
        <w:footnoteReference w:id="30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Planiranje je neophodno, ali moraju se dopustiti i inovacije u okviru postupaka odozdo prema gore, kreativni centri</w:t>
      </w:r>
      <w:r>
        <w:rPr>
          <w:rFonts w:ascii="Times New Roman" w:hAnsi="Times New Roman"/>
          <w:noProof/>
          <w:sz w:val="24"/>
          <w:vertAlign w:val="superscript"/>
        </w:rPr>
        <w:footnoteReference w:id="31"/>
      </w:r>
      <w:r>
        <w:rPr>
          <w:rFonts w:ascii="Times New Roman" w:hAnsi="Times New Roman"/>
          <w:noProof/>
          <w:sz w:val="24"/>
        </w:rPr>
        <w:t xml:space="preserve"> i inkubatori u kojima slobodni djelatnici i kreativni pojedinci zajedno rade i stvaraju. Klasteri poduzeća u kreativnim sektorima također su pokazali da mogu ostvariti visok rast zaposlenosti</w:t>
      </w:r>
      <w:r>
        <w:rPr>
          <w:rFonts w:ascii="Times New Roman" w:hAnsi="Times New Roman"/>
          <w:noProof/>
          <w:sz w:val="24"/>
          <w:vertAlign w:val="superscript"/>
        </w:rPr>
        <w:footnoteReference w:id="32"/>
      </w:r>
      <w:r>
        <w:rPr>
          <w:rFonts w:ascii="Times New Roman" w:hAnsi="Times New Roman"/>
          <w:noProof/>
          <w:sz w:val="24"/>
        </w:rPr>
        <w:t>; već se oko 6 % od ukupno 1 300 regionalnih prioriteta za pametnu specijalizaciju odnosi na kulturu</w:t>
      </w:r>
      <w:r>
        <w:rPr>
          <w:rStyle w:val="FootnoteReference"/>
          <w:rFonts w:ascii="Times New Roman" w:hAnsi="Times New Roman"/>
          <w:noProof/>
          <w:sz w:val="24"/>
        </w:rPr>
        <w:footnoteReference w:id="33"/>
      </w:r>
      <w:r>
        <w:rPr>
          <w:rFonts w:ascii="Times New Roman" w:hAnsi="Times New Roman"/>
          <w:noProof/>
          <w:sz w:val="24"/>
        </w:rPr>
        <w:t>. Regionalnom i europskom teritorijalnom suradnjom ostvaruje se rast i otvaraju radna mjesta te se promiče Europa kao turističko odredište, uključujući putem makroregionalnih kulturnih ruta</w:t>
      </w:r>
      <w:r>
        <w:rPr>
          <w:rStyle w:val="FootnoteReference"/>
          <w:rFonts w:ascii="Times New Roman" w:hAnsi="Times New Roman"/>
          <w:noProof/>
          <w:sz w:val="24"/>
        </w:rPr>
        <w:footnoteReference w:id="34"/>
      </w:r>
      <w:r>
        <w:rPr>
          <w:rFonts w:ascii="Times New Roman" w:hAnsi="Times New Roman"/>
          <w:noProof/>
          <w:sz w:val="24"/>
        </w:rPr>
        <w:t xml:space="preserve">. Postoji prostor da se na temelju tih iskustava osnaži uloga kulture za teritorijalni razvoj potaknut inovacijama.  </w:t>
      </w:r>
    </w:p>
    <w:p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u w:val="single"/>
        </w:rPr>
        <w:t>Kulturne i kreativne industrije</w:t>
      </w:r>
      <w:r>
        <w:rPr>
          <w:rFonts w:ascii="Times New Roman" w:hAnsi="Times New Roman"/>
          <w:noProof/>
          <w:sz w:val="24"/>
        </w:rPr>
        <w:t xml:space="preserve">: Da bi se iskoristile mogućnosti u pogledu rasta i radnih mjesta, poduzeća i stručnjaci iz kulturnih i privatnih sektora trebaju povoljne okvirne uvjete: regulatorno okruženje kojim se nagrađuje stvaranje, bolji pristup financiranju, mogućnosti za širenje i poslovanje na međunarodnoj razini te ponudu posebnih vještina. </w:t>
      </w:r>
    </w:p>
    <w:p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Za mnoge Europljane, posebno mlade, zapošljavanje u kulturnom sektoru važno je za ulazak na tržište rada (u Latviji, Rumunjskoj, Cipru, Bugarskoj, Portugalu, Estoniji i Španjolskoj veći udio osoba od 15 do 29 godina zaposlen je u kulturnom sektoru nego u gospodarstvu u cjelini). Međutim, kad prevladava rad na projektima, atipično zapošljavanje i rad u nepunom radnom vremenu, to može biti problematično. Prilagodba regulatornog okvira za pružanje osiguranja i socijalne zaštite radnicima koji rade s prekidima i koji su sve mobilniji predstavlja veliki politički izazov. Pravedna naknada autorima i stvaraocima još je jedan cilj koji Komisija nastoji ostvariti u okviru strategije jedinstvenog digitalnog tržišta.</w:t>
      </w:r>
    </w:p>
    <w:p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Pristup financiranju i dalje je veliki izazov za sektor koji većinom čine MSP-ovi i mikropoduzeća. Početak provedbe Instrumenta jamstva za kulturne i kreativne sektore, dostupnog u okviru programa Kreativna Europa, obećava te će se taj instrument i osnažiti. Nastavit će se istraživati drugi instrumenti poput skupnog financiranja</w:t>
      </w:r>
      <w:r>
        <w:rPr>
          <w:rFonts w:ascii="Times New Roman" w:hAnsi="Times New Roman"/>
          <w:noProof/>
          <w:sz w:val="24"/>
          <w:vertAlign w:val="superscript"/>
        </w:rPr>
        <w:footnoteReference w:id="35"/>
      </w:r>
      <w:r>
        <w:rPr>
          <w:rFonts w:ascii="Times New Roman" w:hAnsi="Times New Roman"/>
          <w:noProof/>
          <w:sz w:val="24"/>
        </w:rPr>
        <w:t>, privatnog financiranja sredstvima sponzora ili zaklada te privatno-javnih partnerstava.</w:t>
      </w:r>
    </w:p>
    <w:p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Stručnjaci u kulturnim i kreativnim sektorima trebaju imati široku paletu digitalnih, tradicionalnih, transverzalnih i posebnih vještina. Nova agenda temelji se na tekućem političkom radu, posebno na poduzetničkim</w:t>
      </w:r>
      <w:r>
        <w:rPr>
          <w:rStyle w:val="FootnoteReference"/>
          <w:rFonts w:ascii="Times New Roman" w:hAnsi="Times New Roman"/>
          <w:noProof/>
          <w:sz w:val="24"/>
        </w:rPr>
        <w:footnoteReference w:id="36"/>
      </w:r>
      <w:r>
        <w:rPr>
          <w:rFonts w:ascii="Times New Roman" w:hAnsi="Times New Roman"/>
          <w:noProof/>
          <w:sz w:val="24"/>
        </w:rPr>
        <w:t xml:space="preserve"> vještinama i vještinama povezanima s baštinom.</w:t>
      </w:r>
    </w:p>
    <w:p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U Novoj agendi prednost se daje međusektorskom pristupu suradnji EU-a jer digitalizacija i zajedničko stvaranje i dalje ruše umjetničke i gospodarske granice. To će se nadopuniti posebnim inicijativama u najzrelijim sektorima kako bi se učinkovitije podupirala bogata raznovrsnost europskog kulturnog izričaja. </w:t>
      </w:r>
    </w:p>
    <w:tbl>
      <w:tblPr>
        <w:tblStyle w:val="TableGrid1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>
        <w:tc>
          <w:tcPr>
            <w:tcW w:w="8962" w:type="dxa"/>
          </w:tcPr>
          <w:p>
            <w:p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će:</w:t>
            </w:r>
          </w:p>
          <w:p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podupirati fazu validacije projekta Organizacije za gospodarsku suradnju i razvoj (OECD) pod naslovom „Poučavanje, procjenjivanje i učenje vještina za kreativno i kritičko razmišljanje u obrazovanju” kako bi se modul kreativnost uključio u Program za međunarodnu procjenu učenika 2021., te istražiti mogućnosti za slično djelovanje u visokom obrazovanju i osposobljavanju (2018.)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jc w:val="both"/>
              <w:rPr>
                <w:rFonts w:eastAsia="Calibri" w:cs="Times New Roman"/>
                <w:noProof/>
                <w:szCs w:val="24"/>
              </w:rPr>
            </w:pPr>
            <w:r>
              <w:rPr>
                <w:noProof/>
              </w:rPr>
              <w:t>promicati glazbu i umjetnost u obrazovanju i osposobljavanju, uključujući kao prioritetnu temu u programu Erasmus+ (2019.), te promicati razvoj kreativnosti usmjerene na interdisciplinarne module na visokim učilištima, kombiniranjem umjetnosti, informacijskih i komunikacijskih tehnologija, poduzetničkih i poslovnih vještina (2018.)</w:t>
            </w:r>
          </w:p>
          <w:p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nastaviti podupirati regije u provedbi strategija pametne specijalizacije i makroregionalnih strategija usmjerenih na kulturu te promicati održivi kulturni turizam u okviru posebne europske inicijative u Europskoj godini</w:t>
            </w:r>
          </w:p>
          <w:p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podupirati partnerstva kreativnih stručnjaka i industrija i europskih mreža inkubatora za inovacije utemeljene na kreativnosti kojima se integriraju kreativnost, umjetnost i dizajn s najnovijim tehnologijama i znanosti</w:t>
            </w:r>
          </w:p>
          <w:p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provesti pilot-projekt kojim se potiču čvršća partnerstva kulturnih i kreativnih sektora, lokalnih tijela, socijalnih partnera te pružatelja obrazovanja i osposobljavanja (2018.)</w:t>
            </w:r>
          </w:p>
          <w:p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razmotriti osnivanje zajednice znanja i inovacija za kulturnu baštinu i kreativne industrije Europskog instituta za inovacije i tehnologiju (2019.)</w:t>
            </w:r>
          </w:p>
          <w:p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organizirati redoviti dijalog s kulturnim i kreativnim sektorima u kontekstu obnovljene strategije za industrijsku politiku kako bi se utvrdile potrebe politike i pružila potpora sveobuhvatnom političkom okviru na razini EU-a</w:t>
            </w:r>
          </w:p>
          <w:p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organizirati redoviti dijalog s glazbenim sektorom i provoditi pripremnu mjeru „Glazba pokreće Europu”</w:t>
            </w:r>
          </w:p>
          <w:p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pojačati dijalog s europskom audiovizualnom industrijom, uključujući putem događanja u okviru Europskog filmskog foruma (2018.)</w:t>
            </w:r>
          </w:p>
          <w:p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podupirati države članice u osiguravanju pravednih naknada za umjetnike i stvaraoce u okviru općih i sektorskih dijaloga, u skladu sa strategijom jedinstvenog digitalnog tržišta (2019.)</w:t>
            </w:r>
          </w:p>
          <w:p>
            <w:p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poziva države članice da:</w:t>
            </w:r>
          </w:p>
          <w:p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preuzmu obvezu poboljšanja socio-ekonomskih uvjeta umjetnika i stvaraoca te promicanja obrazovanja i osposobljavanja u području umjetnosti u okviru sljedećeg plana rada </w:t>
            </w:r>
          </w:p>
        </w:tc>
      </w:tr>
    </w:tbl>
    <w:p>
      <w:pPr>
        <w:pStyle w:val="Heading3"/>
        <w:spacing w:before="120" w:after="120" w:line="240" w:lineRule="auto"/>
        <w:rPr>
          <w:noProof/>
        </w:rPr>
      </w:pPr>
      <w:r>
        <w:rPr>
          <w:noProof/>
        </w:rPr>
        <w:t>Vanjska dimenzija – Jačanje međunarodnih kulturnih odnosa</w:t>
      </w:r>
    </w:p>
    <w:p>
      <w:pPr>
        <w:pStyle w:val="ListBullet4"/>
        <w:spacing w:before="120" w:after="120" w:line="240" w:lineRule="auto"/>
        <w:contextualSpacing w:val="0"/>
        <w:jc w:val="both"/>
        <w:rPr>
          <w:noProof/>
        </w:rPr>
      </w:pPr>
      <w:r>
        <w:rPr>
          <w:noProof/>
        </w:rPr>
        <w:t xml:space="preserve">podupiranje kulture kao pokretača održivog društvenog i gospodarskog razvoja </w:t>
      </w:r>
    </w:p>
    <w:p>
      <w:pPr>
        <w:pStyle w:val="ListBullet4"/>
        <w:spacing w:before="120" w:after="120" w:line="240" w:lineRule="auto"/>
        <w:contextualSpacing w:val="0"/>
        <w:jc w:val="both"/>
        <w:rPr>
          <w:noProof/>
        </w:rPr>
      </w:pPr>
      <w:r>
        <w:rPr>
          <w:noProof/>
        </w:rPr>
        <w:t xml:space="preserve">promicanje kulture i međukulturnog dijaloga radi miroljubivih odnosa među zajednicama </w:t>
      </w:r>
    </w:p>
    <w:p>
      <w:pPr>
        <w:pStyle w:val="ListBullet4"/>
        <w:spacing w:before="120" w:after="120" w:line="240" w:lineRule="auto"/>
        <w:contextualSpacing w:val="0"/>
        <w:jc w:val="both"/>
        <w:rPr>
          <w:noProof/>
        </w:rPr>
      </w:pPr>
      <w:r>
        <w:rPr>
          <w:noProof/>
        </w:rPr>
        <w:t xml:space="preserve">osnaživanje suradnje u području kulturne baštine </w:t>
      </w:r>
    </w:p>
    <w:p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Zajedničkom komunikacijom iz 2016. pod nazivom „Ususret Strategiji EU-a za međunarodne kulturne odnose”</w:t>
      </w:r>
      <w:r>
        <w:rPr>
          <w:rFonts w:ascii="Times New Roman" w:hAnsi="Times New Roman"/>
          <w:noProof/>
          <w:sz w:val="24"/>
          <w:vertAlign w:val="superscript"/>
        </w:rPr>
        <w:footnoteReference w:id="37"/>
      </w:r>
      <w:r>
        <w:rPr>
          <w:rFonts w:ascii="Times New Roman" w:hAnsi="Times New Roman"/>
          <w:noProof/>
          <w:sz w:val="24"/>
        </w:rPr>
        <w:t xml:space="preserve"> EU je uspostavio okvir za kulturnu suradnju s partnerskim zemljama. To je potpuno u skladu s Konvencijom UNESCO-a iz 2005. o zaštiti i promicanju raznolikosti kulturnih izričaja, čije su stranke EU i sve države članice</w:t>
      </w:r>
      <w:r>
        <w:rPr>
          <w:rStyle w:val="FootnoteReference"/>
          <w:rFonts w:ascii="Times New Roman" w:hAnsi="Times New Roman"/>
          <w:noProof/>
          <w:sz w:val="24"/>
        </w:rPr>
        <w:footnoteReference w:id="38"/>
      </w:r>
      <w:r>
        <w:rPr>
          <w:rFonts w:ascii="Times New Roman" w:hAnsi="Times New Roman"/>
          <w:noProof/>
          <w:sz w:val="24"/>
        </w:rPr>
        <w:t>. U Globalnoj strategiji za vanjsku i sigurnosnu politiku Europske unije</w:t>
      </w:r>
      <w:r>
        <w:rPr>
          <w:rFonts w:ascii="Times New Roman" w:hAnsi="Times New Roman"/>
          <w:noProof/>
          <w:sz w:val="24"/>
          <w:vertAlign w:val="superscript"/>
        </w:rPr>
        <w:footnoteReference w:id="39"/>
      </w:r>
      <w:r>
        <w:rPr>
          <w:rFonts w:ascii="Times New Roman" w:hAnsi="Times New Roman"/>
          <w:noProof/>
          <w:sz w:val="24"/>
        </w:rPr>
        <w:t xml:space="preserve"> utvrđeno je da je kulturna diplomacija novo područje za zajedničko vanjsko djelovanje EU-a. U novom europskom konsenzusu o razvoju</w:t>
      </w:r>
      <w:r>
        <w:rPr>
          <w:rFonts w:ascii="Times New Roman" w:hAnsi="Times New Roman"/>
          <w:noProof/>
          <w:sz w:val="24"/>
          <w:vertAlign w:val="superscript"/>
        </w:rPr>
        <w:footnoteReference w:id="40"/>
      </w:r>
      <w:r>
        <w:rPr>
          <w:rFonts w:ascii="Times New Roman" w:hAnsi="Times New Roman"/>
          <w:noProof/>
          <w:sz w:val="24"/>
        </w:rPr>
        <w:t xml:space="preserve"> prepoznaje se uloga kulture kao važne sastavnice i pokretača. </w:t>
      </w:r>
    </w:p>
    <w:p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Komisija, Visoka predstavnica Unije za vanjske poslove i sigurnosnu politiku (Visoka predstavnica) i službe Komisije, uključujući Europsku službu za vanjsko djelovanje (EEAS) potpuno podupiru tekući rad u Vijeću na osmišljavanju sveobuhvatnog postupnog pristupa međunarodnim kulturnim odnosima. Djelovanjem EU-a ostvaruju se sinergije i dodana vrijednost</w:t>
      </w:r>
      <w:r>
        <w:rPr>
          <w:rStyle w:val="FootnoteReference"/>
          <w:rFonts w:ascii="Times New Roman" w:hAnsi="Times New Roman"/>
          <w:noProof/>
          <w:sz w:val="24"/>
        </w:rPr>
        <w:footnoteReference w:id="41"/>
      </w:r>
      <w:r>
        <w:rPr>
          <w:rFonts w:ascii="Times New Roman" w:hAnsi="Times New Roman"/>
          <w:noProof/>
          <w:sz w:val="24"/>
        </w:rPr>
        <w:t>, posebno s obzirom na proširenu ulogu delegacija EU-a.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sz w:val="24"/>
        </w:rPr>
        <w:t>Kulturne žarišne točke u delegacijama EU-a osposobljavaju se o kulturnoj dimenziji razvoja i vanjskih odnosa kako bi se bolje širile najbolje prakse te ispunile potrebe i očekivanja lokalnih partnera.</w:t>
      </w:r>
    </w:p>
    <w:p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Novom agendom omogućava se djelotvornije promicanje kulture kao temelja identiteta i kohezije, pokretača socio-ekonomskog razvoja te čimbenika kojim se izravno potiču miroljubivi odnosi, uključujući kontaktima među ljudima do kojih dolazi u okviru obrazovanja i projekata za mlade, s posebnim naglaskom na zemlje zapadnog Balkana i zemlje proširenja</w:t>
      </w:r>
      <w:r>
        <w:rPr>
          <w:rStyle w:val="FootnoteReference"/>
          <w:rFonts w:ascii="Times New Roman" w:hAnsi="Times New Roman"/>
          <w:noProof/>
          <w:sz w:val="24"/>
        </w:rPr>
        <w:footnoteReference w:id="42"/>
      </w:r>
      <w:r>
        <w:rPr>
          <w:rFonts w:ascii="Times New Roman" w:hAnsi="Times New Roman"/>
          <w:noProof/>
          <w:sz w:val="24"/>
        </w:rPr>
        <w:t xml:space="preserve">. Komisija namjerava iskoristiti Agendu i kako bi se naglasila kulturna dimenzija održivog razvoja te kako bi se pomoglo u provedbi UN-ova Programa održivog razvoja do 2030. </w:t>
      </w:r>
    </w:p>
    <w:p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Europska godina kulturne baštine 2018.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ldChar w:fldCharType="begin"/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instrText xml:space="preserve"> NOTEREF _Ref508719289 \h  \* MERGEFORMAT </w:instrTex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ldChar w:fldCharType="end"/>
      </w:r>
      <w:r>
        <w:rPr>
          <w:rFonts w:ascii="Times New Roman" w:hAnsi="Times New Roman"/>
          <w:noProof/>
          <w:sz w:val="24"/>
        </w:rPr>
        <w:t>, u koju je područje zapadnog Balkana potpuno uključeno, jedinstvena je prilika za jačanje kulturnih veza s partnerskim zemljama i lokalnim kulturnim sektorima. Partnerstva nastala tijekom te godine trebala bi se nastaviti u okviru kulturne suradnje EU-a i novog Europskog akcijskog plana za kulturnu baštinu. U područjima pogođenima sukobima provode se ili samo što se nisu počeli provoditi projekti za zaštitu i obnovu oštećene kulturne baštine, za promicanje otvaranja radnih mjesta i boljih životnih uvjeta.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>
        <w:tc>
          <w:tcPr>
            <w:tcW w:w="9288" w:type="dxa"/>
          </w:tcPr>
          <w:p>
            <w:p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i Visoka predstavnica će: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promicati kulturne i kreativne sektore na zapadnom Balkanu pojačanom potporom iz programa Kreativna Europa te razmotriti uporabu Instrumenta pretpristupne pomoći za potporu kulturi u zemljama proširenja i na zapadnom Balkanu, posebice u pogledu provedbe povezanih ključnih inicijativa Akcijskog plana za potporu preobrazbi zapadnog Balkana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razmotriti pokretanje treće faze kulturnog programa Istočnoga partnerstva te u mediteranskim zemljama osnažiti civilno društvo s pomoću kulture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pokrenuti pripremne mjere u vezi s Europskim kućama kulture u partnerskim zemljama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ojačati dijalog o kulturi s Kinom i pokrenuti novi dijalog s Japanom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provesti 11. kulturni program Europskog razvojnog fonda unutar država AKP-a za afričke, karipske i pacifičke zemlje, nadopunjujući aktivnosti u okviru svih drugih relevantnih programa EU-a kako bi se poticalo otvaranje radnih mjesta, izgradnja identiteta, strukovno osposobljavanje, audiovizualna suradnja i provela Konvencija UNESCO-a iz 2005. o zemljama u razvoju 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razviti strategije za kulturnu suradnju na regionalnoj razini, počevši sa zemljama zapadnog Balkana, Bliskog istoka, regijom sjeverne Afrike i Latinske Amerike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dodati zaštitu kulturne baštine zadaćama misija Zajedničke sigurnosne i obrambene politike, prema potrebi, na temelju misija i projekata koji su u tijeku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podupirati koridore povezane s baštinom Puta svile u središnjoj Aziji, Afganistanu i Iranu</w:t>
            </w:r>
          </w:p>
          <w:p>
            <w:pPr>
              <w:keepNext/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poziva države članice da: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jc w:val="both"/>
              <w:rPr>
                <w:noProof/>
              </w:rPr>
            </w:pPr>
            <w:r>
              <w:rPr>
                <w:noProof/>
              </w:rPr>
              <w:t>surađuju u osmišljavanju zajedničkih aktivnosti s Komisijom, Visokom predstavnicom i službama Komisije, uključujući Europsku službu za vanjsko djelovanje</w:t>
            </w:r>
          </w:p>
        </w:tc>
      </w:tr>
    </w:tbl>
    <w:p>
      <w:pPr>
        <w:pStyle w:val="Heading2"/>
        <w:numPr>
          <w:ilvl w:val="0"/>
          <w:numId w:val="27"/>
        </w:numPr>
        <w:spacing w:before="120" w:after="120" w:line="240" w:lineRule="auto"/>
        <w:rPr>
          <w:noProof/>
        </w:rPr>
      </w:pPr>
      <w:r>
        <w:rPr>
          <w:noProof/>
        </w:rPr>
        <w:t>Horizontalne mjere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Iako većina mjera iz Nove agende prvenstveno doprinosi jednom od tri cilja, odnosno socijalnim, gospodarskim i međunarodnim odnosima, mnogi su aspekti transverzalni. Dva velika područja političkog djelovanja na razini EU-a, odnosno kulturna baština i digitalno područje, poslužit će za sva tri cilja. </w:t>
      </w:r>
    </w:p>
    <w:p>
      <w:pPr>
        <w:pStyle w:val="Heading4"/>
        <w:spacing w:before="120" w:after="120" w:line="240" w:lineRule="auto"/>
        <w:rPr>
          <w:b w:val="0"/>
          <w:noProof/>
        </w:rPr>
      </w:pPr>
      <w:r>
        <w:rPr>
          <w:b w:val="0"/>
          <w:noProof/>
        </w:rPr>
        <w:t>Zaštita i vrednovanje kulturne baštine</w:t>
      </w:r>
    </w:p>
    <w:p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Europska godina kulturne baštine 2018. uspješno je započela; tisuće se aktivnosti provodi diljem Europe. Komisija doprinosi tako što se izravno usredotočava na deset glavnih tema</w:t>
      </w:r>
      <w:r>
        <w:rPr>
          <w:noProof/>
          <w:vertAlign w:val="superscript"/>
        </w:rPr>
        <w:footnoteReference w:id="43"/>
      </w:r>
      <w:r>
        <w:rPr>
          <w:rFonts w:ascii="Times New Roman" w:hAnsi="Times New Roman"/>
          <w:noProof/>
          <w:sz w:val="24"/>
        </w:rPr>
        <w:t xml:space="preserve"> u okviru četiri osnovna cilja: angažman, održivost, zaštita i inovacije. Oni će se pretočiti u preporuke, načela i alate kako bi se osiguralo pozitivno nasljeđe Europske godine te doprinijelo Novoj agendi.</w:t>
      </w:r>
    </w:p>
    <w:tbl>
      <w:tblPr>
        <w:tblStyle w:val="TableGrid1"/>
        <w:tblW w:w="915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9156"/>
      </w:tblGrid>
      <w:tr>
        <w:trPr>
          <w:trHeight w:val="2822"/>
        </w:trPr>
        <w:tc>
          <w:tcPr>
            <w:tcW w:w="9156" w:type="dxa"/>
          </w:tcPr>
          <w:p>
            <w:p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 završetku Europske godine Komisija će: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predstaviti </w:t>
            </w:r>
            <w:r>
              <w:rPr>
                <w:rFonts w:ascii="Times New Roman" w:hAnsi="Times New Roman"/>
                <w:b/>
                <w:noProof/>
                <w:sz w:val="24"/>
              </w:rPr>
              <w:t>Akcijski plan za kulturnu baštinu</w:t>
            </w:r>
            <w:r>
              <w:rPr>
                <w:rFonts w:ascii="Times New Roman" w:hAnsi="Times New Roman"/>
                <w:noProof/>
                <w:sz w:val="24"/>
              </w:rPr>
              <w:t xml:space="preserve"> i zatražiti od država članica da izrade slične planove na nacionalnoj razini te da nastave s provedbom deset europskih inicijativa u okviru planova rada za kulturu koje je sastavilo Vijeće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predložiti uključenje rezultata Europske godine u buduće programe EU-a i kohezijsku politiku 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podupirati provedbu buduće uredbe EU-a o uvozu kulturnih dobara u okviru akcijskog plana protiv nezakonitog trgovanja kulturnim dobrima te uspostaviti znanstveno-političku socijalnu platformu dionika za ugroženu kulturnu baštinu </w:t>
            </w:r>
          </w:p>
        </w:tc>
      </w:tr>
    </w:tbl>
    <w:p>
      <w:pPr>
        <w:pStyle w:val="Heading4"/>
        <w:spacing w:before="120" w:after="120" w:line="240" w:lineRule="auto"/>
        <w:rPr>
          <w:b w:val="0"/>
          <w:noProof/>
        </w:rPr>
      </w:pPr>
      <w:r>
        <w:rPr>
          <w:b w:val="0"/>
          <w:noProof/>
        </w:rPr>
        <w:t>Strategija Digital4Culture</w:t>
      </w:r>
    </w:p>
    <w:p>
      <w:pPr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Digitalna revolucija omogućuje uvođenje novih i inovativnih oblika umjetničkog stvaralaštva, širi, demokratičniji pristup kulturi i kulturnoj baštini te nove načine pristupa kulturnom sadržaju, njegovoj potrošnji i unovčivanju. Da bi uzela u obzir taj razvoj, Komisija priprema novu strategiju EU-a </w:t>
      </w:r>
      <w:r>
        <w:rPr>
          <w:rFonts w:ascii="Times New Roman" w:hAnsi="Times New Roman"/>
          <w:i/>
          <w:noProof/>
          <w:sz w:val="24"/>
        </w:rPr>
        <w:t>Digital4Culture</w:t>
      </w:r>
      <w:r>
        <w:rPr>
          <w:rFonts w:ascii="Times New Roman" w:hAnsi="Times New Roman"/>
          <w:noProof/>
          <w:sz w:val="24"/>
        </w:rPr>
        <w:t xml:space="preserve"> kako bi se nadovezala na prijedloge o autorskim pravima, audiovizualnom sektoru i emitiranju u okviru strategije jedinstvenog digitalnog tržišta te postavila temelje za buduće djelovanje u okviru idućeg višegodišnjeg financijskog okvira Unije. </w:t>
      </w: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>
        <w:tc>
          <w:tcPr>
            <w:tcW w:w="9288" w:type="dxa"/>
          </w:tcPr>
          <w:p>
            <w:pPr>
              <w:spacing w:before="120" w:after="120"/>
              <w:ind w:left="357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će: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stvoriti mreže stručnih centara diljem EU-a za zaštitu ugroženih spomenika kulturne baštine putem digitalizacije velikih razmjera (2019.)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stvoriti internetski direktorij europskih filmova i pokrenuti prvi Filmski tjedan EU-a kako bi europski filmovi bili dostupni u školama diljem Europe (2019.)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uspostaviti paneeuropsku mrežu digitalnih kreativnih i inovacijskih centara za potporu digitalnoj transformaciji (2020.)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predložiti sljedeće korake za Europeanu, europsku digitalnu platformu za kulturnu baštinu (2018.) 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pokrenuti pilot-programe mentorstva za stručnjake iz audiovizualnog sektora, posebno žene, kako bi se pomoglo novim talentima u razvoju karijere i sposobnosti (2019.)</w:t>
            </w:r>
          </w:p>
          <w:p>
            <w:pPr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stimulirati preplitanja i suradnju između umjetnosti i tehnologije za održive inovacije na industrijskoj i društvenoj razini (2018.)</w:t>
            </w:r>
          </w:p>
        </w:tc>
      </w:tr>
    </w:tbl>
    <w:p>
      <w:pPr>
        <w:pStyle w:val="Heading2"/>
        <w:numPr>
          <w:ilvl w:val="0"/>
          <w:numId w:val="27"/>
        </w:numPr>
        <w:spacing w:before="120" w:after="120" w:line="240" w:lineRule="auto"/>
        <w:rPr>
          <w:noProof/>
        </w:rPr>
      </w:pPr>
      <w:r>
        <w:rPr>
          <w:noProof/>
        </w:rPr>
        <w:t>Provedba Nove agende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Poštujući načela supsidijarnosti, uloga je EU-a da osigura poticaje i smjernice za ispitivanje novih ideja i da podupire države članice u unapređenju zajedničke agende. U nekim područjima ima dosta prostora da se učini više u okviru strateškog usmjeravanja, poboljšanih metoda rada i pokusnih aktivnosti.</w:t>
      </w:r>
    </w:p>
    <w:p>
      <w:pPr>
        <w:pStyle w:val="Heading2"/>
        <w:numPr>
          <w:ilvl w:val="1"/>
          <w:numId w:val="27"/>
        </w:numPr>
        <w:spacing w:before="120" w:after="120" w:line="240" w:lineRule="auto"/>
        <w:ind w:left="426" w:hanging="426"/>
        <w:rPr>
          <w:b w:val="0"/>
          <w:i/>
          <w:noProof/>
        </w:rPr>
      </w:pPr>
      <w:r>
        <w:rPr>
          <w:b w:val="0"/>
          <w:i/>
          <w:noProof/>
        </w:rPr>
        <w:t>Suradnja s državama članicama</w:t>
      </w:r>
    </w:p>
    <w:p>
      <w:pPr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Novu agendu trebalo bi provoditi putem planova rada i radnih metoda, poput otvorene metode koordinacije, koje su odobrile države članice. </w:t>
      </w:r>
    </w:p>
    <w:p>
      <w:pPr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Da bi se povećao utjecaj, Komisija predlaže i stavljanje naglaska na konkretnu provedbu na nacionalnoj, regionalnoj i lokalnoj razini u okviru zajedničkih projekata koji se djelomično financiraju instrumentima EU-a, nudeći uzajamno učenje i tehničku pomoć državama članicama ili regionalnim i lokalnim tijelima koja su odredile države članice. </w:t>
      </w:r>
    </w:p>
    <w:tbl>
      <w:tblPr>
        <w:tblStyle w:val="TableGrid1"/>
        <w:tblW w:w="896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961"/>
      </w:tblGrid>
      <w:tr>
        <w:trPr>
          <w:trHeight w:val="1803"/>
        </w:trPr>
        <w:tc>
          <w:tcPr>
            <w:tcW w:w="8961" w:type="dxa"/>
          </w:tcPr>
          <w:p>
            <w:p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</w:rPr>
              <w:t>Komisija poziva države članice da razmotre sljedeće teme za zajednički rad:</w:t>
            </w:r>
          </w:p>
          <w:p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participativno upravljanje baštinom, u suradnji s Vijećem Europe</w:t>
            </w:r>
          </w:p>
          <w:p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načela kvalitete za intervencije u vezi s baštinom i njezinu obnovu </w:t>
            </w:r>
          </w:p>
          <w:p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pristup financiranju i inovacijskim kapacitetima u kulturnom i kreativnom sektoru</w:t>
            </w:r>
          </w:p>
          <w:p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povećanje broja projekata povezanih s kulturom i baštinom koji se podupiru programima EU-a </w:t>
            </w:r>
          </w:p>
        </w:tc>
      </w:tr>
    </w:tbl>
    <w:p>
      <w:pPr>
        <w:pStyle w:val="Heading2"/>
        <w:numPr>
          <w:ilvl w:val="1"/>
          <w:numId w:val="27"/>
        </w:numPr>
        <w:spacing w:before="120" w:after="120" w:line="240" w:lineRule="auto"/>
        <w:ind w:left="426" w:hanging="426"/>
        <w:rPr>
          <w:b w:val="0"/>
          <w:i/>
          <w:noProof/>
        </w:rPr>
      </w:pPr>
      <w:r>
        <w:rPr>
          <w:b w:val="0"/>
          <w:i/>
          <w:noProof/>
        </w:rPr>
        <w:t>Strukturirani dijalog s civilnim društvom</w:t>
      </w:r>
    </w:p>
    <w:p>
      <w:pPr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Komisija namjerava proširiti trenutačni strukturirani dijalog</w:t>
      </w:r>
      <w:r>
        <w:rPr>
          <w:rStyle w:val="FootnoteReference"/>
          <w:rFonts w:ascii="Times New Roman" w:hAnsi="Times New Roman"/>
          <w:noProof/>
          <w:sz w:val="24"/>
        </w:rPr>
        <w:footnoteReference w:id="44"/>
      </w:r>
      <w:r>
        <w:rPr>
          <w:rFonts w:ascii="Times New Roman" w:hAnsi="Times New Roman"/>
          <w:noProof/>
          <w:sz w:val="24"/>
        </w:rPr>
        <w:t xml:space="preserve"> te razmatrati i teme koje nisu obuhvaćene otvorenom metodom koordinacije, bolje iskoristiti mogućnosti internetske suradnje te na pojedinačnoj osnovi surađivati s relevantnim organizacijama izvan kulturnih i kreativnih sektora. Predložit će i aktivniju ulogu civilnog društva u pripremi europskih kulturnih foruma koji se odvijaju svake dvije godine. </w:t>
      </w:r>
    </w:p>
    <w:p>
      <w:pPr>
        <w:pStyle w:val="Heading2"/>
        <w:numPr>
          <w:ilvl w:val="0"/>
          <w:numId w:val="27"/>
        </w:numPr>
        <w:spacing w:before="120" w:after="120" w:line="240" w:lineRule="auto"/>
        <w:rPr>
          <w:noProof/>
        </w:rPr>
      </w:pPr>
      <w:r>
        <w:rPr>
          <w:noProof/>
        </w:rPr>
        <w:t>Promicanje kulture u okviru politika i programa EU-a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Program Kreativna Europa i idući program imat će izravnu ulogu u podupiranju Nove agende, a Komisija će poboljšati sinergije između projekata i političkih aktivnosti. Strategijom </w:t>
      </w:r>
      <w:r>
        <w:rPr>
          <w:rFonts w:ascii="Times New Roman" w:hAnsi="Times New Roman"/>
          <w:i/>
          <w:noProof/>
          <w:sz w:val="24"/>
        </w:rPr>
        <w:t>Digital4Culture</w:t>
      </w:r>
      <w:r>
        <w:rPr>
          <w:rFonts w:ascii="Times New Roman" w:hAnsi="Times New Roman"/>
          <w:noProof/>
          <w:sz w:val="24"/>
        </w:rPr>
        <w:t xml:space="preserve"> poboljšat će se usklađenost između kulturnih, digitalnih i audiovizualnih inicijativa. Komisija će podupirati i društvene, gospodarske i međunarodne ciljeve Nove agende mjerama u drugim područjima politike i drugim politikama EU-a, sadašnjim i budućima, a intervencijama će se nadopuniti i podržati kulturne politike država članica.</w:t>
      </w:r>
    </w:p>
    <w:p>
      <w:pPr>
        <w:pStyle w:val="Heading2"/>
        <w:numPr>
          <w:ilvl w:val="0"/>
          <w:numId w:val="27"/>
        </w:numPr>
        <w:spacing w:before="120" w:after="120" w:line="240" w:lineRule="auto"/>
        <w:rPr>
          <w:noProof/>
        </w:rPr>
      </w:pPr>
      <w:r>
        <w:rPr>
          <w:noProof/>
        </w:rPr>
        <w:t>Sljedeći koraci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Nova europska agenda za kulturu ključni je element Komisijina odgovora na zadaću sa sastanka Europskog vijeća iz prosinca 2017. Njome se nudi okvir za iduću fazu suradnje na razini EU-a u rješavanju aktualnih društvenih izazova putem transformacijske moći kulture. Novi se pristup predlaže u okviru holističke vizije, odnosno poticanjem sinergije među kulturnim sektorima i s drugim područjima politike. Za uspješnu provedbu Nove agende i mjera iz nje potrebna je bliska suradnja s Europskim parlamentom, Vijećem i državama članicama te dionicima iz kulturnog sektora, a i njihova uključenost.</w:t>
      </w:r>
    </w:p>
    <w:p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Politička suradnja u okviru Nove agende podupirat će se 2019. i 2020. u okviru programa Kreativna Europa i drugih programa EU-a kojima se financiraju kulturni projekti, a od 2021. idućim programima u okviru idućeg višegodišnjeg financijskog okvira EU-a.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85246119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1"/>
        <w:ind w:left="240" w:hanging="24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1">
        <w:r>
          <w:rPr>
            <w:rStyle w:val="Hyperlink1"/>
            <w:rFonts w:ascii="Times New Roman" w:hAnsi="Times New Roman"/>
          </w:rPr>
          <w:t>Rimska deklaracija, ožujak 2017.</w:t>
        </w:r>
      </w:hyperlink>
    </w:p>
  </w:footnote>
  <w:footnote w:id="3">
    <w:p>
      <w:pPr>
        <w:pStyle w:val="FootnoteText1"/>
        <w:ind w:left="240" w:hanging="24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2">
        <w:r>
          <w:rPr>
            <w:rStyle w:val="Hyperlink1"/>
            <w:rFonts w:ascii="Times New Roman" w:hAnsi="Times New Roman"/>
          </w:rPr>
          <w:t>Zaključci Europskog vijeća, prosinac 2017.</w:t>
        </w:r>
      </w:hyperlink>
    </w:p>
  </w:footnote>
  <w:footnote w:id="4">
    <w:p>
      <w:pPr>
        <w:pStyle w:val="FootnoteText"/>
        <w:ind w:left="240" w:hanging="240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3">
        <w:r>
          <w:rPr>
            <w:rStyle w:val="Hyperlink"/>
            <w:rFonts w:ascii="Times New Roman" w:hAnsi="Times New Roman"/>
          </w:rPr>
          <w:t>https://europa.eu/cultural-heritage/</w:t>
        </w:r>
      </w:hyperlink>
      <w:r>
        <w:rPr>
          <w:rFonts w:ascii="Times New Roman" w:hAnsi="Times New Roman"/>
        </w:rPr>
        <w:t xml:space="preserve"> </w:t>
      </w:r>
    </w:p>
  </w:footnote>
  <w:footnote w:id="5">
    <w:p>
      <w:pPr>
        <w:pStyle w:val="FootnoteText1"/>
        <w:ind w:left="240" w:hanging="24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4">
        <w:r>
          <w:rPr>
            <w:rStyle w:val="Hyperlink"/>
            <w:rFonts w:ascii="Times New Roman" w:hAnsi="Times New Roman"/>
          </w:rPr>
          <w:t>COM(2017) 673</w:t>
        </w:r>
      </w:hyperlink>
      <w:r>
        <w:rPr>
          <w:rStyle w:val="Hyperlink1"/>
          <w:rFonts w:ascii="Times New Roman" w:hAnsi="Times New Roman"/>
        </w:rPr>
        <w:t xml:space="preserve"> </w:t>
      </w:r>
    </w:p>
  </w:footnote>
  <w:footnote w:id="6">
    <w:p>
      <w:pPr>
        <w:pStyle w:val="FootnoteText1"/>
        <w:ind w:left="240" w:hanging="24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5">
        <w:r>
          <w:rPr>
            <w:rStyle w:val="Hyperlink1"/>
            <w:rFonts w:ascii="Times New Roman" w:hAnsi="Times New Roman"/>
          </w:rPr>
          <w:t>Izjava iz Bratislave, rujan 2016.</w:t>
        </w:r>
      </w:hyperlink>
    </w:p>
  </w:footnote>
  <w:footnote w:id="7">
    <w:p>
      <w:pPr>
        <w:pStyle w:val="FootnoteText1"/>
        <w:ind w:left="240" w:hanging="24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6">
        <w:r>
          <w:rPr>
            <w:rStyle w:val="Hyperlink1"/>
            <w:rFonts w:ascii="Times New Roman" w:hAnsi="Times New Roman"/>
          </w:rPr>
          <w:t>Eurobarometar br. 87, proljeće 2017.</w:t>
        </w:r>
      </w:hyperlink>
    </w:p>
  </w:footnote>
  <w:footnote w:id="8">
    <w:p>
      <w:pPr>
        <w:pStyle w:val="FootnoteText1"/>
        <w:ind w:left="240" w:hanging="24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7">
        <w:r>
          <w:rPr>
            <w:rStyle w:val="Hyperlink1"/>
            <w:rFonts w:ascii="Times New Roman" w:hAnsi="Times New Roman"/>
          </w:rPr>
          <w:t>Eurostat, studeni 2017.</w:t>
        </w:r>
      </w:hyperlink>
    </w:p>
  </w:footnote>
  <w:footnote w:id="9">
    <w:p>
      <w:pPr>
        <w:pStyle w:val="FootnoteText"/>
        <w:ind w:left="284" w:hanging="284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Članci 173. i 208. također su relevantni za kreativne industrije i razvojnu suradnju.</w:t>
      </w:r>
    </w:p>
  </w:footnote>
  <w:footnote w:id="10">
    <w:p>
      <w:pPr>
        <w:pStyle w:val="FootnoteText1"/>
        <w:ind w:left="284" w:hanging="284"/>
        <w:rPr>
          <w:rFonts w:ascii="Times New Roman" w:hAnsi="Times New Roman" w:cs="Times New Roman"/>
          <w:lang w:val="hu-HU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8">
        <w:r>
          <w:rPr>
            <w:rStyle w:val="Hyperlink1"/>
            <w:rFonts w:ascii="Times New Roman" w:hAnsi="Times New Roman"/>
          </w:rPr>
          <w:t>COM(2007) 242</w:t>
        </w:r>
      </w:hyperlink>
    </w:p>
  </w:footnote>
  <w:footnote w:id="11">
    <w:p>
      <w:pPr>
        <w:pStyle w:val="FootnoteText1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9">
        <w:r>
          <w:rPr>
            <w:rStyle w:val="Hyperlink1"/>
            <w:rFonts w:ascii="Times New Roman" w:hAnsi="Times New Roman"/>
          </w:rPr>
          <w:t>2007/C 287/01</w:t>
        </w:r>
      </w:hyperlink>
    </w:p>
  </w:footnote>
  <w:footnote w:id="12">
    <w:p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U dokumentu SWD/2018/167, radnom dokumentu službi Komisije priloženom ovoj Komunikaciji, daje se pregled mjera u okviru Agende iz 2007., pojedinosti o mjerama predloženima u ovoj novoj Agendi i druge relevantne mjere koje su u tijeku ili se planiraju, te pojedinosti o savjetovanjima, statističkim podacima i anketama na kojima se temeljila.</w:t>
      </w:r>
    </w:p>
  </w:footnote>
  <w:footnote w:id="13">
    <w:p>
      <w:pPr>
        <w:pStyle w:val="FootnoteText"/>
        <w:ind w:left="284" w:hanging="284"/>
        <w:rPr>
          <w:rFonts w:ascii="Times New Roman" w:hAnsi="Times New Roman" w:cs="Times New Roman"/>
          <w:lang w:val="hu-HU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10">
        <w:r>
          <w:rPr>
            <w:rStyle w:val="Hyperlink"/>
            <w:rFonts w:ascii="Times New Roman" w:hAnsi="Times New Roman"/>
          </w:rPr>
          <w:t>http://ec.europa.eu/regional_policy/hr/policy/cooperation/</w:t>
        </w:r>
      </w:hyperlink>
      <w:r>
        <w:rPr>
          <w:rFonts w:ascii="Times New Roman" w:hAnsi="Times New Roman"/>
        </w:rPr>
        <w:t xml:space="preserve"> </w:t>
      </w:r>
    </w:p>
  </w:footnote>
  <w:footnote w:id="14">
    <w:p>
      <w:pPr>
        <w:pStyle w:val="FootnoteText"/>
        <w:ind w:left="284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„Kapacitetni pristup” razvio je Amartya Sen. Do njegove primjene na kulturu došlo je nedavno.</w:t>
      </w:r>
    </w:p>
  </w:footnote>
  <w:footnote w:id="15">
    <w:p>
      <w:pPr>
        <w:pStyle w:val="FootnoteText1"/>
        <w:ind w:left="240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11">
        <w:r>
          <w:rPr>
            <w:rStyle w:val="Hyperlink1"/>
            <w:rFonts w:ascii="Times New Roman" w:hAnsi="Times New Roman"/>
          </w:rPr>
          <w:t>Otvorena metoda koordinacije i glasovi kulture, 2014., 2016. i 2017.</w:t>
        </w:r>
      </w:hyperlink>
    </w:p>
  </w:footnote>
  <w:footnote w:id="16">
    <w:p>
      <w:pPr>
        <w:pStyle w:val="FootnoteText1"/>
        <w:ind w:left="240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 xml:space="preserve">U skladu s </w:t>
      </w:r>
      <w:hyperlink r:id="rId12">
        <w:r>
          <w:rPr>
            <w:rStyle w:val="Hyperlink"/>
            <w:rFonts w:ascii="Times New Roman" w:hAnsi="Times New Roman"/>
          </w:rPr>
          <w:t>Deklaracijom o visokokvalitetnoj kulturi građenja za Europu, iz Davosa 2018.</w:t>
        </w:r>
      </w:hyperlink>
      <w:r>
        <w:rPr>
          <w:rFonts w:ascii="Times New Roman" w:hAnsi="Times New Roman"/>
        </w:rPr>
        <w:t xml:space="preserve"> </w:t>
      </w:r>
    </w:p>
  </w:footnote>
  <w:footnote w:id="17">
    <w:p>
      <w:pPr>
        <w:pStyle w:val="FootnoteText1"/>
        <w:ind w:left="240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13">
        <w:r>
          <w:rPr>
            <w:rStyle w:val="Hyperlink1"/>
            <w:rFonts w:ascii="Times New Roman" w:hAnsi="Times New Roman"/>
          </w:rPr>
          <w:t>Posebno izvješće Eurobarometra iz 2017.</w:t>
        </w:r>
      </w:hyperlink>
      <w:r>
        <w:rPr>
          <w:rFonts w:ascii="Times New Roman" w:hAnsi="Times New Roman"/>
        </w:rPr>
        <w:t xml:space="preserve"> </w:t>
      </w:r>
    </w:p>
  </w:footnote>
  <w:footnote w:id="18">
    <w:p>
      <w:pPr>
        <w:pStyle w:val="FootnoteText1"/>
        <w:ind w:left="240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rPr>
          <w:rStyle w:val="Hyperlink1"/>
          <w:rFonts w:ascii="Times New Roman" w:hAnsi="Times New Roman"/>
        </w:rPr>
        <w:t xml:space="preserve">Sacco </w:t>
      </w:r>
      <w:r>
        <w:rPr>
          <w:rStyle w:val="Hyperlink1"/>
          <w:rFonts w:ascii="Times New Roman" w:hAnsi="Times New Roman"/>
          <w:i/>
        </w:rPr>
        <w:t>et al.</w:t>
      </w:r>
      <w:r>
        <w:rPr>
          <w:rStyle w:val="Hyperlink1"/>
          <w:rFonts w:ascii="Times New Roman" w:hAnsi="Times New Roman"/>
        </w:rPr>
        <w:t>, 2011.</w:t>
      </w:r>
      <w:r>
        <w:rPr>
          <w:rFonts w:ascii="Times New Roman" w:hAnsi="Times New Roman"/>
        </w:rPr>
        <w:t xml:space="preserve">, </w:t>
      </w:r>
      <w:hyperlink r:id="rId14">
        <w:r>
          <w:rPr>
            <w:rStyle w:val="Hyperlink1"/>
            <w:rFonts w:ascii="Times New Roman" w:hAnsi="Times New Roman"/>
            <w:i/>
          </w:rPr>
          <w:t>The Interaction Between Culture, Health and Psychological Well-Being</w:t>
        </w:r>
      </w:hyperlink>
      <w:r>
        <w:rPr>
          <w:rFonts w:ascii="Times New Roman" w:hAnsi="Times New Roman"/>
        </w:rPr>
        <w:t>(„Interakcija između kulture, zdravlja i psihološke dobrobiti”). Dokazi o zdravlju i dobrobiti prikupljaju se i otvorenom metodom koordinacije o kulturi za socijalnu uključenost iz 2017. i 2018.</w:t>
      </w:r>
    </w:p>
  </w:footnote>
  <w:footnote w:id="19">
    <w:p>
      <w:pPr>
        <w:pStyle w:val="FootnoteText"/>
        <w:ind w:left="240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 xml:space="preserve"> Izvješće ustanove </w:t>
      </w:r>
      <w:hyperlink r:id="rId15">
        <w:r>
          <w:rPr>
            <w:rStyle w:val="Hyperlink"/>
            <w:rFonts w:ascii="Times New Roman" w:hAnsi="Times New Roman"/>
          </w:rPr>
          <w:t>King’s College London</w:t>
        </w:r>
      </w:hyperlink>
      <w:r>
        <w:rPr>
          <w:rFonts w:ascii="Times New Roman" w:hAnsi="Times New Roman"/>
        </w:rPr>
        <w:t xml:space="preserve"> „Prema kulturnoj demokraciji – promicanje kulturnih kapaciteta za sve”. </w:t>
      </w:r>
    </w:p>
  </w:footnote>
  <w:footnote w:id="20">
    <w:p>
      <w:pPr>
        <w:pStyle w:val="FootnoteText"/>
        <w:ind w:left="240" w:hanging="284"/>
        <w:rPr>
          <w:rFonts w:ascii="Times New Roman" w:hAnsi="Times New Roman" w:cs="Times New Roman"/>
          <w:lang w:val="hu-HU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 xml:space="preserve">Tri otvorene metode koordinacije o </w:t>
      </w:r>
      <w:hyperlink r:id="rId16">
        <w:r>
          <w:rPr>
            <w:rStyle w:val="Hyperlink1"/>
            <w:rFonts w:ascii="Times New Roman" w:hAnsi="Times New Roman"/>
          </w:rPr>
          <w:t>mobilnosti umjetnika</w:t>
        </w:r>
      </w:hyperlink>
      <w:r>
        <w:rPr>
          <w:rFonts w:ascii="Times New Roman" w:hAnsi="Times New Roman"/>
        </w:rPr>
        <w:t xml:space="preserve"> i gostovanju, 2010., 2012., 2014.</w:t>
      </w:r>
    </w:p>
  </w:footnote>
  <w:footnote w:id="21">
    <w:p>
      <w:pPr>
        <w:pStyle w:val="FootnoteText"/>
        <w:ind w:left="240" w:hanging="284"/>
        <w:rPr>
          <w:rFonts w:ascii="Times New Roman" w:hAnsi="Times New Roman" w:cs="Times New Roman"/>
          <w:lang w:val="hu-HU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17">
        <w:r>
          <w:rPr>
            <w:rStyle w:val="Hyperlink"/>
            <w:rFonts w:ascii="Times New Roman" w:hAnsi="Times New Roman"/>
          </w:rPr>
          <w:t>ec.europa.eu/programmes/creative-europe/</w:t>
        </w:r>
      </w:hyperlink>
      <w:r>
        <w:rPr>
          <w:rFonts w:ascii="Times New Roman" w:hAnsi="Times New Roman"/>
        </w:rPr>
        <w:t xml:space="preserve">; </w:t>
      </w:r>
      <w:hyperlink r:id="rId18">
        <w:r>
          <w:rPr>
            <w:rStyle w:val="Hyperlink"/>
            <w:rFonts w:ascii="Times New Roman" w:hAnsi="Times New Roman"/>
          </w:rPr>
          <w:t>https://ec.europa.eu/programmes/erasmus-plus/node_hr</w:t>
        </w:r>
      </w:hyperlink>
      <w:r>
        <w:rPr>
          <w:rFonts w:ascii="Times New Roman" w:hAnsi="Times New Roman"/>
        </w:rPr>
        <w:t xml:space="preserve"> </w:t>
      </w:r>
    </w:p>
  </w:footnote>
  <w:footnote w:id="22">
    <w:p>
      <w:pPr>
        <w:pStyle w:val="FootnoteText"/>
        <w:ind w:left="240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19">
        <w:r>
          <w:rPr>
            <w:rStyle w:val="Hyperlink1"/>
            <w:rFonts w:ascii="Times New Roman" w:hAnsi="Times New Roman"/>
          </w:rPr>
          <w:t>Eurostat 2016.</w:t>
        </w:r>
      </w:hyperlink>
      <w:r>
        <w:rPr>
          <w:rStyle w:val="Hyperlink1"/>
          <w:rFonts w:ascii="Times New Roman" w:hAnsi="Times New Roman"/>
        </w:rPr>
        <w:t xml:space="preserve"> (statistički podaci u području kulture: zapošljavanje, poduzeća, sudjelovanje, trgovina, rashodi)</w:t>
      </w:r>
    </w:p>
  </w:footnote>
  <w:footnote w:id="23">
    <w:p>
      <w:pPr>
        <w:pStyle w:val="FootnoteText1"/>
        <w:ind w:left="240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20">
        <w:r>
          <w:rPr>
            <w:rStyle w:val="Hyperlink1"/>
            <w:rFonts w:ascii="Times New Roman" w:hAnsi="Times New Roman"/>
          </w:rPr>
          <w:t>Ernst &amp; Young, istraživanje iz 2014.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Measuring cultural and creative markets in the EU</w:t>
      </w:r>
      <w:r>
        <w:rPr>
          <w:rFonts w:ascii="Times New Roman" w:hAnsi="Times New Roman"/>
        </w:rPr>
        <w:t xml:space="preserve"> („Analiza kulturnih i kreativnih tržišta u EU-u”)</w:t>
      </w:r>
    </w:p>
  </w:footnote>
  <w:footnote w:id="24">
    <w:p>
      <w:pPr>
        <w:pStyle w:val="FootnoteText1"/>
        <w:ind w:left="240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 xml:space="preserve">U </w:t>
      </w:r>
      <w:hyperlink r:id="rId21">
        <w:r>
          <w:rPr>
            <w:rStyle w:val="Hyperlink1"/>
            <w:rFonts w:ascii="Times New Roman" w:hAnsi="Times New Roman"/>
          </w:rPr>
          <w:t xml:space="preserve">Priručniku za otvorenu metodu koordinacije (2016.) </w:t>
        </w:r>
      </w:hyperlink>
      <w:r>
        <w:rPr>
          <w:rFonts w:ascii="Times New Roman" w:hAnsi="Times New Roman"/>
        </w:rPr>
        <w:t xml:space="preserve"> utvrđuju se prakse i preporuke.</w:t>
      </w:r>
    </w:p>
  </w:footnote>
  <w:footnote w:id="25">
    <w:p>
      <w:pPr>
        <w:pStyle w:val="FootnoteText1"/>
        <w:ind w:left="240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22">
        <w:r>
          <w:rPr>
            <w:rStyle w:val="Hyperlink1"/>
            <w:rFonts w:ascii="Times New Roman" w:hAnsi="Times New Roman"/>
          </w:rPr>
          <w:t>Centar OECD-a za obrazovna istraživanja i inovacije</w:t>
        </w:r>
      </w:hyperlink>
      <w:r>
        <w:rPr>
          <w:rFonts w:ascii="Times New Roman" w:hAnsi="Times New Roman"/>
        </w:rPr>
        <w:t xml:space="preserve"> </w:t>
      </w:r>
    </w:p>
  </w:footnote>
  <w:footnote w:id="26">
    <w:p>
      <w:pPr>
        <w:pStyle w:val="FootnoteText"/>
        <w:ind w:left="240" w:hanging="284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23">
        <w:r>
          <w:rPr>
            <w:rStyle w:val="Hyperlink"/>
            <w:rFonts w:ascii="Times New Roman" w:hAnsi="Times New Roman"/>
          </w:rPr>
          <w:t>COM(2017) 247</w:t>
        </w:r>
      </w:hyperlink>
    </w:p>
  </w:footnote>
  <w:footnote w:id="27">
    <w:p>
      <w:pPr>
        <w:pStyle w:val="FootnoteText1"/>
        <w:ind w:left="240" w:hanging="284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24">
        <w:r>
          <w:rPr>
            <w:rStyle w:val="Hyperlink1"/>
            <w:rFonts w:ascii="Times New Roman" w:hAnsi="Times New Roman"/>
          </w:rPr>
          <w:t>Kultura za gradove i regije</w:t>
        </w:r>
      </w:hyperlink>
      <w:r>
        <w:rPr>
          <w:rFonts w:ascii="Times New Roman" w:hAnsi="Times New Roman"/>
        </w:rPr>
        <w:t>, projekt uzajamnog učenja, 2015.–2017.</w:t>
      </w:r>
    </w:p>
  </w:footnote>
  <w:footnote w:id="28">
    <w:p>
      <w:pPr>
        <w:pStyle w:val="FootnoteText1"/>
        <w:ind w:left="240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25">
        <w:r>
          <w:rPr>
            <w:rStyle w:val="Hyperlink1"/>
            <w:rFonts w:ascii="Times New Roman" w:hAnsi="Times New Roman"/>
          </w:rPr>
          <w:t>Pregled kulturnih i kreativnih gradova</w:t>
        </w:r>
      </w:hyperlink>
      <w:r>
        <w:rPr>
          <w:rFonts w:ascii="Times New Roman" w:hAnsi="Times New Roman"/>
        </w:rPr>
        <w:t>, 2017.</w:t>
      </w:r>
    </w:p>
  </w:footnote>
  <w:footnote w:id="29">
    <w:p>
      <w:pPr>
        <w:pStyle w:val="FootnoteText"/>
        <w:ind w:left="240" w:hanging="284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ab/>
      </w:r>
      <w:hyperlink r:id="rId26">
        <w:r>
          <w:rPr>
            <w:rFonts w:ascii="Times New Roman" w:hAnsi="Times New Roman"/>
          </w:rPr>
          <w:t>Informativni članak o umjetnosti i kulturi u ruralnim područjima</w:t>
        </w:r>
      </w:hyperlink>
      <w:r>
        <w:rPr>
          <w:rFonts w:ascii="Times New Roman" w:hAnsi="Times New Roman"/>
        </w:rPr>
        <w:t>, Europska mreža za ruralni razvoj, 2016.</w:t>
      </w:r>
    </w:p>
  </w:footnote>
  <w:footnote w:id="30">
    <w:p>
      <w:pPr>
        <w:pStyle w:val="FootnoteText"/>
        <w:ind w:left="240" w:hanging="284"/>
        <w:jc w:val="both"/>
        <w:rPr>
          <w:rStyle w:val="FootnoteReference"/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Studije slučaja u okviru mreže </w:t>
      </w:r>
      <w:hyperlink r:id="rId27">
        <w:r>
          <w:rPr>
            <w:rFonts w:ascii="Times New Roman" w:hAnsi="Times New Roman"/>
          </w:rPr>
          <w:t>Natura 2000</w:t>
        </w:r>
      </w:hyperlink>
      <w:r>
        <w:rPr>
          <w:rFonts w:ascii="Times New Roman" w:hAnsi="Times New Roman"/>
        </w:rPr>
        <w:t xml:space="preserve"> o povezivanju kulturne i prirodne baštine</w:t>
      </w:r>
    </w:p>
  </w:footnote>
  <w:footnote w:id="31">
    <w:p>
      <w:pPr>
        <w:pStyle w:val="FootnoteText1"/>
        <w:ind w:left="240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28">
        <w:r>
          <w:rPr>
            <w:rStyle w:val="Hyperlink1"/>
            <w:rFonts w:ascii="Times New Roman" w:hAnsi="Times New Roman"/>
          </w:rPr>
          <w:t>Europska mreža kreativnih centara</w:t>
        </w:r>
      </w:hyperlink>
      <w:r>
        <w:rPr>
          <w:rFonts w:ascii="Times New Roman" w:hAnsi="Times New Roman"/>
        </w:rPr>
        <w:t>, 2016.–2018.</w:t>
      </w:r>
    </w:p>
  </w:footnote>
  <w:footnote w:id="32">
    <w:p>
      <w:pPr>
        <w:pStyle w:val="FootnoteText1"/>
        <w:ind w:left="240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29">
        <w:r>
          <w:rPr>
            <w:rStyle w:val="Hyperlink"/>
            <w:rFonts w:ascii="Times New Roman" w:hAnsi="Times New Roman"/>
          </w:rPr>
          <w:t>Europska panorama klastera, 2014.</w:t>
        </w:r>
      </w:hyperlink>
    </w:p>
  </w:footnote>
  <w:footnote w:id="33">
    <w:p>
      <w:pPr>
        <w:pStyle w:val="FootnoteText"/>
        <w:ind w:left="240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30">
        <w:r>
          <w:rPr>
            <w:rStyle w:val="Hyperlink"/>
            <w:rFonts w:ascii="Times New Roman" w:hAnsi="Times New Roman"/>
          </w:rPr>
          <w:t>http://s3platform.jrc.ec.europa.eu/map</w:t>
        </w:r>
      </w:hyperlink>
    </w:p>
  </w:footnote>
  <w:footnote w:id="34">
    <w:p>
      <w:pPr>
        <w:pStyle w:val="FootnoteText"/>
        <w:ind w:left="240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31">
        <w:r>
          <w:rPr>
            <w:rStyle w:val="Hyperlink"/>
            <w:rFonts w:ascii="Times New Roman" w:hAnsi="Times New Roman"/>
          </w:rPr>
          <w:t>Routes4U (Rute za vas)</w:t>
        </w:r>
      </w:hyperlink>
      <w:r>
        <w:rPr>
          <w:rFonts w:ascii="Times New Roman" w:hAnsi="Times New Roman"/>
        </w:rPr>
        <w:t>: Zajednički program Komisije i Vijeća Europe o kulturnim rutama u makroregijama</w:t>
      </w:r>
    </w:p>
  </w:footnote>
  <w:footnote w:id="35">
    <w:p>
      <w:pPr>
        <w:pStyle w:val="FootnoteText"/>
        <w:ind w:left="240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32">
        <w:r>
          <w:rPr>
            <w:rStyle w:val="Hyperlink1"/>
            <w:rFonts w:ascii="Times New Roman" w:hAnsi="Times New Roman"/>
          </w:rPr>
          <w:t>Crowdfunding4Culture</w:t>
        </w:r>
      </w:hyperlink>
      <w:r>
        <w:rPr>
          <w:rFonts w:ascii="Times New Roman" w:hAnsi="Times New Roman"/>
        </w:rPr>
        <w:t xml:space="preserve"> </w:t>
      </w:r>
    </w:p>
  </w:footnote>
  <w:footnote w:id="36">
    <w:p>
      <w:pPr>
        <w:pStyle w:val="FootnoteText"/>
        <w:ind w:left="240" w:hanging="284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rPr>
          <w:rFonts w:ascii="Times New Roman" w:hAnsi="Times New Roman"/>
        </w:rPr>
        <w:t>Uključujući putem okvira za europsko poduzetništvo i okvira za digitalne kompetencije (EntreComp, DigComp).</w:t>
      </w:r>
    </w:p>
  </w:footnote>
  <w:footnote w:id="37">
    <w:p>
      <w:pPr>
        <w:pStyle w:val="FootnoteText1"/>
        <w:ind w:left="240" w:hanging="24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33">
        <w:r>
          <w:rPr>
            <w:rStyle w:val="Hyperlink1"/>
            <w:rFonts w:ascii="Times New Roman" w:hAnsi="Times New Roman"/>
          </w:rPr>
          <w:t>JOIN/2016/029</w:t>
        </w:r>
      </w:hyperlink>
    </w:p>
  </w:footnote>
  <w:footnote w:id="38">
    <w:p>
      <w:pPr>
        <w:pStyle w:val="FootnoteText"/>
        <w:ind w:left="240" w:hanging="24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hyperlink r:id="rId34">
        <w:r>
          <w:tab/>
        </w:r>
      </w:hyperlink>
      <w:hyperlink r:id="rId35">
        <w:r>
          <w:rPr>
            <w:rStyle w:val="Hyperlink"/>
            <w:rFonts w:ascii="Times New Roman" w:hAnsi="Times New Roman"/>
          </w:rPr>
          <w:t>http://en.unesco.org/creativity/</w:t>
        </w:r>
      </w:hyperlink>
      <w:r>
        <w:rPr>
          <w:rFonts w:ascii="Times New Roman" w:hAnsi="Times New Roman"/>
        </w:rPr>
        <w:t xml:space="preserve">; najnovije izvješće EU-a dostupno je </w:t>
      </w:r>
      <w:hyperlink r:id="rId36">
        <w:r>
          <w:rPr>
            <w:rStyle w:val="Hyperlink"/>
            <w:rFonts w:ascii="Times New Roman" w:hAnsi="Times New Roman"/>
          </w:rPr>
          <w:t>ovdje</w:t>
        </w:r>
      </w:hyperlink>
      <w:r>
        <w:rPr>
          <w:rFonts w:ascii="Times New Roman" w:hAnsi="Times New Roman"/>
        </w:rPr>
        <w:t>.</w:t>
      </w:r>
    </w:p>
  </w:footnote>
  <w:footnote w:id="39">
    <w:p>
      <w:pPr>
        <w:pStyle w:val="FootnoteText1"/>
        <w:tabs>
          <w:tab w:val="left" w:pos="2895"/>
        </w:tabs>
        <w:ind w:left="240" w:hanging="24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r>
        <w:fldChar w:fldCharType="begin"/>
      </w:r>
      <w:r>
        <w:rPr>
          <w:rFonts w:ascii="Times New Roman" w:hAnsi="Times New Roman" w:cs="Times New Roman"/>
        </w:rPr>
        <w:instrText xml:space="preserve"> "https://europa.eu/globalstrategy/sites/globalstrategy/files/regions/files/eugs_review_web_0.pdf" </w:instrText>
      </w:r>
      <w:r>
        <w:fldChar w:fldCharType="separate"/>
      </w:r>
      <w:r>
        <w:rPr>
          <w:rStyle w:val="Hyperlink1"/>
          <w:rFonts w:ascii="Times New Roman" w:hAnsi="Times New Roman" w:cs="Times New Roman"/>
        </w:rPr>
        <w:t>https://europa.eu/globalstrategy/sites/globalstrategy/files/regions/files/eugs_review_web_0.pdf</w:t>
      </w:r>
      <w:r>
        <w:rPr>
          <w:rStyle w:val="Hyperlink1"/>
          <w:rFonts w:ascii="Times New Roman" w:hAnsi="Times New Roman" w:cs="Times New Roman"/>
        </w:rPr>
        <w:fldChar w:fldCharType="end"/>
      </w:r>
      <w:hyperlink r:id="rId37">
        <w:r>
          <w:rPr>
            <w:rStyle w:val="Hyperlink1"/>
            <w:rFonts w:ascii="Times New Roman" w:hAnsi="Times New Roman"/>
          </w:rPr>
          <w:t>Globalna strategija EU-a</w:t>
        </w:r>
      </w:hyperlink>
    </w:p>
  </w:footnote>
  <w:footnote w:id="40">
    <w:p>
      <w:pPr>
        <w:pStyle w:val="FootnoteText1"/>
        <w:ind w:left="240" w:hanging="24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38">
        <w:r>
          <w:rPr>
            <w:rStyle w:val="Hyperlink"/>
            <w:rFonts w:ascii="Times New Roman" w:hAnsi="Times New Roman"/>
          </w:rPr>
          <w:t>Naš svijet, naše dostojanstvo, naša budućnost, 2017.</w:t>
        </w:r>
      </w:hyperlink>
    </w:p>
  </w:footnote>
  <w:footnote w:id="41">
    <w:p>
      <w:pPr>
        <w:pStyle w:val="FootnoteText1"/>
        <w:ind w:left="240" w:hanging="240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Style w:val="FootnoteReference"/>
        </w:rPr>
        <w:t xml:space="preserve"> </w:t>
      </w:r>
      <w:r>
        <w:tab/>
      </w:r>
      <w:r>
        <w:rPr>
          <w:rFonts w:ascii="Times New Roman" w:hAnsi="Times New Roman" w:cs="Times New Roman"/>
        </w:rPr>
        <w:t xml:space="preserve">Uključujući u okviru nove </w:t>
      </w:r>
      <w:hyperlink r:id="rId39">
        <w:r>
          <w:rPr>
            <w:rFonts w:ascii="Times New Roman" w:hAnsi="Times New Roman" w:cs="Times New Roman"/>
          </w:rPr>
          <w:t xml:space="preserve">Platforme za kulturnu diplomaciju EU-a 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42">
    <w:p>
      <w:pPr>
        <w:pStyle w:val="FootnoteText1"/>
        <w:ind w:left="240" w:hanging="240"/>
        <w:rPr>
          <w:rStyle w:val="FootnoteReference"/>
          <w:rFonts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Style w:val="FootnoteReferenc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hyperlink r:id="rId40">
        <w:r>
          <w:rPr>
            <w:rFonts w:ascii="Times New Roman" w:hAnsi="Times New Roman" w:cs="Times New Roman"/>
          </w:rPr>
          <w:t>COM(2018) 65</w:t>
        </w:r>
      </w:hyperlink>
    </w:p>
  </w:footnote>
  <w:footnote w:id="43">
    <w:p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ascii="Times New Roman" w:hAnsi="Times New Roman"/>
        </w:rPr>
        <w:t xml:space="preserve">Deset </w:t>
      </w:r>
      <w:hyperlink r:id="rId41">
        <w:r>
          <w:rPr>
            <w:rFonts w:ascii="Times New Roman" w:hAnsi="Times New Roman"/>
            <w:color w:val="0000FF"/>
            <w:u w:val="single"/>
          </w:rPr>
          <w:t>europskih inicijativa</w:t>
        </w:r>
      </w:hyperlink>
      <w:r>
        <w:rPr>
          <w:rFonts w:ascii="Times New Roman" w:hAnsi="Times New Roman"/>
        </w:rPr>
        <w:t xml:space="preserve"> glavne su teme za međusektorsko političko djelovanje, uključujući obrazovanje, nezakonitu trgovinu, načela kvalitete za obnovu, održiv kulturni turizam, vještine i inovacije.</w:t>
      </w:r>
    </w:p>
  </w:footnote>
  <w:footnote w:id="44">
    <w:p>
      <w:pPr>
        <w:pStyle w:val="FootnoteText"/>
        <w:ind w:left="240" w:hanging="284"/>
      </w:pPr>
      <w:r>
        <w:rPr>
          <w:rStyle w:val="FootnoteReference"/>
          <w:rFonts w:ascii="Times New Roman" w:hAnsi="Times New Roman"/>
        </w:rPr>
        <w:footnoteRef/>
      </w:r>
      <w:r>
        <w:tab/>
      </w:r>
      <w:hyperlink r:id="rId42">
        <w:r>
          <w:rPr>
            <w:rStyle w:val="Hyperlink"/>
            <w:rFonts w:ascii="Times New Roman" w:hAnsi="Times New Roman"/>
          </w:rPr>
          <w:t>www.voicesofculture.eu</w:t>
        </w:r>
      </w:hyperlink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8BC90F2"/>
    <w:lvl w:ilvl="0">
      <w:start w:val="1"/>
      <w:numFmt w:val="decimal"/>
      <w:pStyle w:val="ListNumber2"/>
      <w:lvlText w:val="5.%1"/>
      <w:lvlJc w:val="left"/>
      <w:pPr>
        <w:ind w:left="643" w:hanging="360"/>
      </w:pPr>
      <w:rPr>
        <w:rFonts w:hint="default"/>
        <w:i/>
      </w:rPr>
    </w:lvl>
  </w:abstractNum>
  <w:abstractNum w:abstractNumId="1">
    <w:nsid w:val="FFFFFF81"/>
    <w:multiLevelType w:val="singleLevel"/>
    <w:tmpl w:val="DD06DF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630AF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0E21D8"/>
    <w:multiLevelType w:val="hybridMultilevel"/>
    <w:tmpl w:val="24D4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145B2"/>
    <w:multiLevelType w:val="hybridMultilevel"/>
    <w:tmpl w:val="114A8120"/>
    <w:lvl w:ilvl="0" w:tplc="F87409A4">
      <w:start w:val="1"/>
      <w:numFmt w:val="decimal"/>
      <w:pStyle w:val="Heading5"/>
      <w:lvlText w:val="5.%1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4794"/>
    <w:multiLevelType w:val="hybridMultilevel"/>
    <w:tmpl w:val="720C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91F1E"/>
    <w:multiLevelType w:val="multilevel"/>
    <w:tmpl w:val="0809001F"/>
    <w:name w:val="Point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48450E"/>
    <w:multiLevelType w:val="multilevel"/>
    <w:tmpl w:val="420061C6"/>
    <w:lvl w:ilvl="0">
      <w:start w:val="1"/>
      <w:numFmt w:val="decimal"/>
      <w:lvlText w:val="%1."/>
      <w:lvlJc w:val="left"/>
      <w:pPr>
        <w:ind w:left="360" w:hanging="360"/>
      </w:pPr>
      <w:rPr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414E7E"/>
    <w:multiLevelType w:val="hybridMultilevel"/>
    <w:tmpl w:val="5752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92C63"/>
    <w:multiLevelType w:val="multilevel"/>
    <w:tmpl w:val="0809001F"/>
    <w:name w:val="Point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2F4C21"/>
    <w:multiLevelType w:val="hybridMultilevel"/>
    <w:tmpl w:val="60E4A92E"/>
    <w:lvl w:ilvl="0" w:tplc="CB28752A">
      <w:start w:val="6"/>
      <w:numFmt w:val="decimal"/>
      <w:pStyle w:val="Style1"/>
      <w:lvlText w:val="5.%1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F70E5"/>
    <w:multiLevelType w:val="hybridMultilevel"/>
    <w:tmpl w:val="846C95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577CE"/>
    <w:multiLevelType w:val="hybridMultilevel"/>
    <w:tmpl w:val="FE42BA00"/>
    <w:name w:val="Point22"/>
    <w:lvl w:ilvl="0" w:tplc="B64031C4">
      <w:start w:val="1"/>
      <w:numFmt w:val="decimal"/>
      <w:pStyle w:val="Heading4"/>
      <w:lvlText w:val="5.%1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A800B9"/>
    <w:multiLevelType w:val="hybridMultilevel"/>
    <w:tmpl w:val="F442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351D2"/>
    <w:multiLevelType w:val="hybridMultilevel"/>
    <w:tmpl w:val="5A7E0B32"/>
    <w:name w:val="Point2"/>
    <w:lvl w:ilvl="0" w:tplc="22624FA2">
      <w:start w:val="1"/>
      <w:numFmt w:val="decimal"/>
      <w:pStyle w:val="Heading3"/>
      <w:lvlText w:val="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15867"/>
    <w:multiLevelType w:val="hybridMultilevel"/>
    <w:tmpl w:val="4218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14"/>
  </w:num>
  <w:num w:numId="14">
    <w:abstractNumId w:val="1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  <w:lvlOverride w:ilvl="0">
      <w:startOverride w:val="5"/>
    </w:lvlOverride>
  </w:num>
  <w:num w:numId="20">
    <w:abstractNumId w:val="12"/>
  </w:num>
  <w:num w:numId="21">
    <w:abstractNumId w:val="12"/>
  </w:num>
  <w:num w:numId="22">
    <w:abstractNumId w:val="10"/>
  </w:num>
  <w:num w:numId="23">
    <w:abstractNumId w:val="4"/>
  </w:num>
  <w:num w:numId="24">
    <w:abstractNumId w:val="6"/>
    <w:lvlOverride w:ilvl="0">
      <w:startOverride w:val="6"/>
    </w:lvlOverride>
  </w:num>
  <w:num w:numId="25">
    <w:abstractNumId w:val="12"/>
  </w:num>
  <w:num w:numId="26">
    <w:abstractNumId w:val="12"/>
    <w:lvlOverride w:ilvl="0">
      <w:lvl w:ilvl="0" w:tplc="B64031C4">
        <w:start w:val="1"/>
        <w:numFmt w:val="decimal"/>
        <w:pStyle w:val="Heading4"/>
        <w:lvlText w:val="5.%1"/>
        <w:lvlJc w:val="left"/>
        <w:pPr>
          <w:ind w:left="720" w:hanging="360"/>
        </w:pPr>
        <w:rPr>
          <w:rFonts w:hint="default"/>
          <w:i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9001B">
        <w:start w:val="1"/>
        <w:numFmt w:val="decimal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9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INSON Nicola (EAC)">
    <w15:presenceInfo w15:providerId="None" w15:userId="ROBINSON Nicola (EAC)"/>
  </w15:person>
  <w15:person w15:author="ZAMPIERI Walter (EAC)">
    <w15:presenceInfo w15:providerId="None" w15:userId="ZAMPIERI Walter (EA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CB52715E-DBDD-4830-8CD7-5D5C6D5CB8B0"/>
    <w:docVar w:name="LW_COVERPAGE_TYPE" w:val="1"/>
    <w:docVar w:name="LW_CROSSREFERENCE" w:val="{SWD(2018) 167 final}"/>
    <w:docVar w:name="LW_DocType" w:val="NORMAL"/>
    <w:docVar w:name="LW_EMISSION" w:val="22.5.2018."/>
    <w:docVar w:name="LW_EMISSION_ISODATE" w:val="2018-05-22"/>
    <w:docVar w:name="LW_EMISSION_LOCATION" w:val="BRX"/>
    <w:docVar w:name="LW_EMISSION_PREFIX" w:val="Bruxelles, "/>
    <w:docVar w:name="LW_EMISSION_SUFFIX" w:val="&lt;EMPTY&gt;"/>
    <w:docVar w:name="LW_ID_DOCTYPE_NONLW" w:val="CP-014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8) 26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Nova europska agenda za kulturu_x000b_"/>
    <w:docVar w:name="LW_TYPE.DOC.CP" w:val="KOMUNIKACIJA KOMISIJE EUROPSKOM PARLAMENTU, VIJE\u262?U, EUROPSKOM GOSPODARSKOM I SOCIJALNOM ODBORU I ODBORU REGIJA"/>
    <w:docVar w:name="LW_TYPE.DOC.CP.USERTEXT" w:val="&lt;EMPTY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numId w:val="11"/>
      </w:numPr>
      <w:spacing w:before="200" w:after="0"/>
      <w:outlineLvl w:val="2"/>
    </w:pPr>
    <w:rPr>
      <w:rFonts w:ascii="Times New Roman" w:eastAsiaTheme="majorEastAsia" w:hAnsi="Times New Roman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numId w:val="20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numId w:val="23"/>
      </w:numPr>
      <w:spacing w:before="200" w:after="0"/>
      <w:outlineLvl w:val="4"/>
    </w:pPr>
    <w:rPr>
      <w:rFonts w:ascii="Times New Roman" w:eastAsiaTheme="majorEastAsia" w:hAnsi="Times New Roman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ListParagraph">
    <w:name w:val="List Paragraph"/>
    <w:basedOn w:val="Normal"/>
    <w:next w:val="ListNumber"/>
    <w:link w:val="ListParagraphChar"/>
    <w:uiPriority w:val="34"/>
    <w:qFormat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Number">
    <w:name w:val="List Number"/>
    <w:basedOn w:val="Normal"/>
    <w:uiPriority w:val="99"/>
    <w:unhideWhenUsed/>
    <w:pPr>
      <w:numPr>
        <w:numId w:val="7"/>
      </w:numPr>
      <w:contextualSpacing/>
    </w:pPr>
    <w:rPr>
      <w:rFonts w:ascii="Times New Roman" w:hAnsi="Times New Roman"/>
      <w:sz w:val="24"/>
    </w:rPr>
  </w:style>
  <w:style w:type="paragraph" w:styleId="ListNumber2">
    <w:name w:val="List Number 2"/>
    <w:basedOn w:val="Normal"/>
    <w:uiPriority w:val="99"/>
    <w:unhideWhenUsed/>
    <w:pPr>
      <w:numPr>
        <w:numId w:val="8"/>
      </w:numPr>
      <w:contextualSpacing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Cs/>
      <w:i/>
      <w:sz w:val="24"/>
    </w:rPr>
  </w:style>
  <w:style w:type="paragraph" w:styleId="ListBullet4">
    <w:name w:val="List Bullet 4"/>
    <w:basedOn w:val="Normal"/>
    <w:uiPriority w:val="99"/>
    <w:unhideWhenUsed/>
    <w:pPr>
      <w:numPr>
        <w:numId w:val="12"/>
      </w:numPr>
      <w:contextualSpacing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theme="majorBidi"/>
      <w:sz w:val="24"/>
    </w:rPr>
  </w:style>
  <w:style w:type="paragraph" w:customStyle="1" w:styleId="Style1">
    <w:name w:val="Style1"/>
    <w:basedOn w:val="ListParagraph"/>
    <w:link w:val="Style1Char"/>
    <w:qFormat/>
    <w:pPr>
      <w:numPr>
        <w:numId w:val="22"/>
      </w:numPr>
      <w:spacing w:before="120" w:after="120"/>
    </w:pPr>
    <w:rPr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Times New Roman" w:hAnsi="Times New Roman"/>
      <w:sz w:val="24"/>
    </w:rPr>
  </w:style>
  <w:style w:type="character" w:customStyle="1" w:styleId="Style1Char">
    <w:name w:val="Style1 Char"/>
    <w:basedOn w:val="ListParagraphChar"/>
    <w:link w:val="Style1"/>
    <w:rPr>
      <w:rFonts w:ascii="Times New Roman" w:hAnsi="Times New Roman"/>
      <w:i/>
      <w:sz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numId w:val="11"/>
      </w:numPr>
      <w:spacing w:before="200" w:after="0"/>
      <w:outlineLvl w:val="2"/>
    </w:pPr>
    <w:rPr>
      <w:rFonts w:ascii="Times New Roman" w:eastAsiaTheme="majorEastAsia" w:hAnsi="Times New Roman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numId w:val="20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numId w:val="23"/>
      </w:numPr>
      <w:spacing w:before="200" w:after="0"/>
      <w:outlineLvl w:val="4"/>
    </w:pPr>
    <w:rPr>
      <w:rFonts w:ascii="Times New Roman" w:eastAsiaTheme="majorEastAsia" w:hAnsi="Times New Roman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ListParagraph">
    <w:name w:val="List Paragraph"/>
    <w:basedOn w:val="Normal"/>
    <w:next w:val="ListNumber"/>
    <w:link w:val="ListParagraphChar"/>
    <w:uiPriority w:val="34"/>
    <w:qFormat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Number">
    <w:name w:val="List Number"/>
    <w:basedOn w:val="Normal"/>
    <w:uiPriority w:val="99"/>
    <w:unhideWhenUsed/>
    <w:pPr>
      <w:numPr>
        <w:numId w:val="7"/>
      </w:numPr>
      <w:contextualSpacing/>
    </w:pPr>
    <w:rPr>
      <w:rFonts w:ascii="Times New Roman" w:hAnsi="Times New Roman"/>
      <w:sz w:val="24"/>
    </w:rPr>
  </w:style>
  <w:style w:type="paragraph" w:styleId="ListNumber2">
    <w:name w:val="List Number 2"/>
    <w:basedOn w:val="Normal"/>
    <w:uiPriority w:val="99"/>
    <w:unhideWhenUsed/>
    <w:pPr>
      <w:numPr>
        <w:numId w:val="8"/>
      </w:numPr>
      <w:contextualSpacing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Cs/>
      <w:i/>
      <w:sz w:val="24"/>
    </w:rPr>
  </w:style>
  <w:style w:type="paragraph" w:styleId="ListBullet4">
    <w:name w:val="List Bullet 4"/>
    <w:basedOn w:val="Normal"/>
    <w:uiPriority w:val="99"/>
    <w:unhideWhenUsed/>
    <w:pPr>
      <w:numPr>
        <w:numId w:val="12"/>
      </w:numPr>
      <w:contextualSpacing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theme="majorBidi"/>
      <w:sz w:val="24"/>
    </w:rPr>
  </w:style>
  <w:style w:type="paragraph" w:customStyle="1" w:styleId="Style1">
    <w:name w:val="Style1"/>
    <w:basedOn w:val="ListParagraph"/>
    <w:link w:val="Style1Char"/>
    <w:qFormat/>
    <w:pPr>
      <w:numPr>
        <w:numId w:val="22"/>
      </w:numPr>
      <w:spacing w:before="120" w:after="120"/>
    </w:pPr>
    <w:rPr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Times New Roman" w:hAnsi="Times New Roman"/>
      <w:sz w:val="24"/>
    </w:rPr>
  </w:style>
  <w:style w:type="character" w:customStyle="1" w:styleId="Style1Char">
    <w:name w:val="Style1 Char"/>
    <w:basedOn w:val="ListParagraphChar"/>
    <w:link w:val="Style1"/>
    <w:rPr>
      <w:rFonts w:ascii="Times New Roman" w:hAnsi="Times New Roman"/>
      <w:i/>
      <w:sz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uri=celex:52007DC0242http://eur-lex.europa.eu/legal-content/EN/TXT/?uri=celex:52007DC0242" TargetMode="External"/><Relationship Id="rId13" Type="http://schemas.openxmlformats.org/officeDocument/2006/relationships/hyperlink" Target="http://europa.eu/cultural-heritage/toolkits/special-eurobarometer-europeans-and-cultural-heritage_en" TargetMode="External"/><Relationship Id="rId18" Type="http://schemas.openxmlformats.org/officeDocument/2006/relationships/hyperlink" Target="file:///C:\Users\zampiwa\AppData\Local\Microsoft\Windows\INetCache\Content.Outlook\IAUD9B1X\ec.europa.eu\programmes\erasmus-plus" TargetMode="External"/><Relationship Id="rId26" Type="http://schemas.openxmlformats.org/officeDocument/2006/relationships/hyperlink" Target="https://enrd.ec.europa.eu/sites/enrd/files/nrn5_arts-rural-areas_factsheet.pdf" TargetMode="External"/><Relationship Id="rId39" Type="http://schemas.openxmlformats.org/officeDocument/2006/relationships/hyperlink" Target="http://www.cultureinexternalrelations.eu/" TargetMode="External"/><Relationship Id="rId3" Type="http://schemas.openxmlformats.org/officeDocument/2006/relationships/hyperlink" Target="https://europa.eu/cultural-heritage/" TargetMode="External"/><Relationship Id="rId21" Type="http://schemas.openxmlformats.org/officeDocument/2006/relationships/hyperlink" Target="https://ec.europa.eu/culture/news/2016/0422-handbook-cultural-awareness-expression_en" TargetMode="External"/><Relationship Id="rId34" Type="http://schemas.openxmlformats.org/officeDocument/2006/relationships/hyperlink" Target="file:///C:\Users\zampiwa\AppData\Local\Microsoft\Windows\INetCache\Content.Outlook\IAUD9B1X\%09http:\en.unesco.org\creativity" TargetMode="External"/><Relationship Id="rId42" Type="http://schemas.openxmlformats.org/officeDocument/2006/relationships/hyperlink" Target="http://www.voicesofculture.eu/" TargetMode="External"/><Relationship Id="rId7" Type="http://schemas.openxmlformats.org/officeDocument/2006/relationships/hyperlink" Target="http://ec.europa.eu/eurostat/statistics-explained/index.php/Culture_statistics_-_cultural_participation_by_socioeconomic_background" TargetMode="External"/><Relationship Id="rId12" Type="http://schemas.openxmlformats.org/officeDocument/2006/relationships/hyperlink" Target="https://www.newsd.admin.ch/newsd/message/attachments/51119.pdf" TargetMode="External"/><Relationship Id="rId17" Type="http://schemas.openxmlformats.org/officeDocument/2006/relationships/hyperlink" Target="https://ec.europa.eu/programmes/creative-europe/" TargetMode="External"/><Relationship Id="rId25" Type="http://schemas.openxmlformats.org/officeDocument/2006/relationships/hyperlink" Target="https://ec.europa.eu/jrc/en/publication/eur-scientific-and-technical-research-reports/cultural-and-creative-cities-monitor-2017-edition" TargetMode="External"/><Relationship Id="rId33" Type="http://schemas.openxmlformats.org/officeDocument/2006/relationships/hyperlink" Target="http://eur-lex.europa.eu/legal-content/HR/TXT/?uri=JOIN:2016:29:FIN" TargetMode="External"/><Relationship Id="rId38" Type="http://schemas.openxmlformats.org/officeDocument/2006/relationships/hyperlink" Target="https://ec.europa.eu/europeaid/new-european-consensus-development-our-world-our-dignity-our-future_en" TargetMode="External"/><Relationship Id="rId2" Type="http://schemas.openxmlformats.org/officeDocument/2006/relationships/hyperlink" Target="http://www.consilium.europa.eu/hr/press/press-releases/2017/12/14/european-council-conclusions-external-relations/" TargetMode="External"/><Relationship Id="rId16" Type="http://schemas.openxmlformats.org/officeDocument/2006/relationships/hyperlink" Target="https://ec.europa.eu/culture/policy/cultural-creative-industries/mobility_en" TargetMode="External"/><Relationship Id="rId20" Type="http://schemas.openxmlformats.org/officeDocument/2006/relationships/hyperlink" Target="http://www.ey.com/Publication/vwLUAssets/Measuring_cultural_and_creative_markets_in_the_EU/$FILE/Creating-Growth.pdf" TargetMode="External"/><Relationship Id="rId29" Type="http://schemas.openxmlformats.org/officeDocument/2006/relationships/hyperlink" Target="http://ec.europa.eu/DocsRoom/documents/7242/attachments/1/translations/en/renditions/pdf" TargetMode="External"/><Relationship Id="rId41" Type="http://schemas.openxmlformats.org/officeDocument/2006/relationships/hyperlink" Target="https://europa.eu/cultural-heritage/sites/eych/files/eych-initiatives_hr.pdf" TargetMode="External"/><Relationship Id="rId1" Type="http://schemas.openxmlformats.org/officeDocument/2006/relationships/hyperlink" Target="http://www.consilium.europa.eu/hr/press/press-releases/2017/03/25/rome-declaration/" TargetMode="External"/><Relationship Id="rId6" Type="http://schemas.openxmlformats.org/officeDocument/2006/relationships/hyperlink" Target="http://ec.europa.eu/commfrontoffice/publicopinion/index.cfm/Survey/getSurveyDetail/instruments/STANDARD/surveyKy/2142" TargetMode="External"/><Relationship Id="rId11" Type="http://schemas.openxmlformats.org/officeDocument/2006/relationships/hyperlink" Target="https://ec.europa.eu/culture/policy/strategic-framework/intercultural-dialogue_en" TargetMode="External"/><Relationship Id="rId24" Type="http://schemas.openxmlformats.org/officeDocument/2006/relationships/hyperlink" Target="http://www.cultureforcitiesandregions.eu/" TargetMode="External"/><Relationship Id="rId32" Type="http://schemas.openxmlformats.org/officeDocument/2006/relationships/hyperlink" Target="https://ec.europa.eu/culture/news/20160601-crowdfunding-cultural-creative-sector_en" TargetMode="External"/><Relationship Id="rId37" Type="http://schemas.openxmlformats.org/officeDocument/2006/relationships/hyperlink" Target="https://europa.eu/globalstrategy/en/global-strategy-foreign-and-security-policy-european-union" TargetMode="External"/><Relationship Id="rId40" Type="http://schemas.openxmlformats.org/officeDocument/2006/relationships/hyperlink" Target="https://eur-lex.europa.eu/legal-content/HR/TXT/?uri=CELEX:52018DC0065" TargetMode="External"/><Relationship Id="rId5" Type="http://schemas.openxmlformats.org/officeDocument/2006/relationships/hyperlink" Target="http://www.consilium.europa.eu/hr/press/press-releases/2016/09/16/bratislava-declaration-and-roadmap/" TargetMode="External"/><Relationship Id="rId15" Type="http://schemas.openxmlformats.org/officeDocument/2006/relationships/hyperlink" Target="https://www.kcl.ac.uk/Cultural/-/Projects/Towards-cultural-democracy.aspx" TargetMode="External"/><Relationship Id="rId23" Type="http://schemas.openxmlformats.org/officeDocument/2006/relationships/hyperlink" Target="https://eur-lex.europa.eu/legal-content/HR/TXT/?uri=COM:2017:247:FIN" TargetMode="External"/><Relationship Id="rId28" Type="http://schemas.openxmlformats.org/officeDocument/2006/relationships/hyperlink" Target="https://www.creativehubs.eu/" TargetMode="External"/><Relationship Id="rId36" Type="http://schemas.openxmlformats.org/officeDocument/2006/relationships/hyperlink" Target="http://en.unesco.org/creativity/monitoreo-e-informes/informes-periodicos/informes-25" TargetMode="External"/><Relationship Id="rId10" Type="http://schemas.openxmlformats.org/officeDocument/2006/relationships/hyperlink" Target="http://ec.europa.eu/regional_policy/hr/policy/cooperation/" TargetMode="External"/><Relationship Id="rId19" Type="http://schemas.openxmlformats.org/officeDocument/2006/relationships/hyperlink" Target="http://ec.europa.eu/eurostat/statistics-explained/index.php/Category:Culture" TargetMode="External"/><Relationship Id="rId31" Type="http://schemas.openxmlformats.org/officeDocument/2006/relationships/hyperlink" Target="https://www.coe.int/en/web/cultural-routes/eu-jp-2017-20" TargetMode="External"/><Relationship Id="rId4" Type="http://schemas.openxmlformats.org/officeDocument/2006/relationships/hyperlink" Target="https://eur-lex.europa.eu/legal-content/HR/TXT/?qid=1524663124515&amp;uri=CELEX:52017DC0673" TargetMode="External"/><Relationship Id="rId9" Type="http://schemas.openxmlformats.org/officeDocument/2006/relationships/hyperlink" Target="http://eur-lex.europa.eu/legal-content/EN/TXT/?uri=CELEX:32007G1129(01)" TargetMode="External"/><Relationship Id="rId14" Type="http://schemas.openxmlformats.org/officeDocument/2006/relationships/hyperlink" Target="https://www.researchgate.net/publication/226193693_The_Interaction_Between_Culture_Health_and_Psychological_Well-Being_Project" TargetMode="External"/><Relationship Id="rId22" Type="http://schemas.openxmlformats.org/officeDocument/2006/relationships/hyperlink" Target="http://www.oecd.org/education/ceri/assessingprogressionincreativeandcriticalthinkingskillsineducation.htm" TargetMode="External"/><Relationship Id="rId27" Type="http://schemas.openxmlformats.org/officeDocument/2006/relationships/hyperlink" Target="http://ec.europa.eu/environment/nature/natura2000/management/links_natural_cultural_heritage_en.htm" TargetMode="External"/><Relationship Id="rId30" Type="http://schemas.openxmlformats.org/officeDocument/2006/relationships/hyperlink" Target="http://s3platform.jrc.ec.europa.eu/map" TargetMode="External"/><Relationship Id="rId35" Type="http://schemas.openxmlformats.org/officeDocument/2006/relationships/hyperlink" Target="http://en.unesco.org/creativ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7375-1375-451A-8B2F-3070F874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3800</Words>
  <Characters>23906</Characters>
  <Application>Microsoft Office Word</Application>
  <DocSecurity>0</DocSecurity>
  <Lines>385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27</cp:revision>
  <cp:lastPrinted>2018-04-11T11:46:00Z</cp:lastPrinted>
  <dcterms:created xsi:type="dcterms:W3CDTF">2018-05-08T08:47:00Z</dcterms:created>
  <dcterms:modified xsi:type="dcterms:W3CDTF">2018-05-25T09:25:00Z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</Properties>
</file>