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23" w:rsidRDefault="0040443B" w:rsidP="0040443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C481CDD1-E95F-4F3E-9747-B5B082BE2C12" style="width:450.6pt;height:438.2pt">
            <v:imagedata r:id="rId8" o:title=""/>
          </v:shape>
        </w:pict>
      </w:r>
    </w:p>
    <w:p w:rsidR="000E5123" w:rsidRDefault="000E5123">
      <w:pPr>
        <w:rPr>
          <w:noProof/>
        </w:rPr>
        <w:sectPr w:rsidR="000E5123" w:rsidSect="004044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  <w:bookmarkStart w:id="0" w:name="_GoBack"/>
      <w:bookmarkEnd w:id="0"/>
    </w:p>
    <w:p w:rsidR="000E5123" w:rsidRPr="0040443B" w:rsidRDefault="0040443B">
      <w:pPr>
        <w:pStyle w:val="Annexetitre"/>
      </w:pPr>
      <w:r>
        <w:rPr>
          <w:noProof/>
        </w:rPr>
        <w:lastRenderedPageBreak/>
        <w:t>I LISA. PIIRANGUTEGA LÕHKEAINETE LÄHTEAINED</w:t>
      </w:r>
    </w:p>
    <w:p w:rsidR="000E5123" w:rsidRDefault="0040443B">
      <w:pPr>
        <w:rPr>
          <w:noProof/>
          <w:szCs w:val="24"/>
        </w:rPr>
      </w:pPr>
      <w:r>
        <w:rPr>
          <w:noProof/>
        </w:rPr>
        <w:t xml:space="preserve">Ained (puhasainena või seda sisaldava segu või ainena), mida ei tehta üldsuse hulka kuuluvatele isikutele </w:t>
      </w:r>
      <w:r>
        <w:rPr>
          <w:noProof/>
        </w:rPr>
        <w:t>kättesaadavaks ning mida sellised isikud ei tohi sisse tuua, omada ega kasutada, välja arvatud 2. veerus sätestatud piirmääraga võrdses või sellest väiksemas kontsentratsioonis.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38"/>
        <w:gridCol w:w="1800"/>
        <w:gridCol w:w="1865"/>
        <w:gridCol w:w="1888"/>
      </w:tblGrid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1. Aine nimetus ja CASi number (</w:t>
            </w:r>
            <w:r>
              <w:rPr>
                <w:i/>
                <w:noProof/>
                <w:color w:val="000000"/>
                <w:sz w:val="20"/>
              </w:rPr>
              <w:t>Chemical Abstracts Service Registry number</w:t>
            </w:r>
            <w:r>
              <w:rPr>
                <w:noProof/>
                <w:color w:val="000000"/>
                <w:sz w:val="20"/>
              </w:rPr>
              <w:t>, ed</w:t>
            </w:r>
            <w:r>
              <w:rPr>
                <w:noProof/>
                <w:color w:val="000000"/>
                <w:sz w:val="20"/>
              </w:rPr>
              <w:t xml:space="preserve">aspidi „CASi nr“)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2. Piirmäär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3. Ülemine piirmäär artikli 5 lõike 3 kohase loa andmisel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4. Kombineeritud nomenklatuuri (CN) kood eraldi kindla keemilise koostisega ühendite jaoks, mis vastavad kombineeritud nomenklatuuri 28. või 29. grupi esimese märkus</w:t>
            </w:r>
            <w:r>
              <w:rPr>
                <w:noProof/>
                <w:color w:val="000000"/>
                <w:sz w:val="20"/>
              </w:rPr>
              <w:t>e tingimustele (1)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5. Kombineeritud nomenklatuuri (CN) kood ilma lisanditeta segu jaoks (nt elavhõbe, väärismetallid, haruldased muldmetallid, radioaktiivsed ained), mis tingivad klassifitseerimise muu CN-koodi alla (1) </w:t>
            </w:r>
          </w:p>
        </w:tc>
      </w:tr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Lämmastikhape (CASi nr 7697-37-2) </w:t>
            </w: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massiprotsenti</w:t>
            </w: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 massiprotsenti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2808 00 00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3824 99 96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Vesinikperoksiid (CASi nr 7722-84-1) </w:t>
            </w: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12 massiprotsenti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 massiprotsenti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2847 00 00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3824 99 96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Väävelhape (CASi nr 7664-93-9)</w:t>
            </w: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15 </w:t>
            </w:r>
            <w:r>
              <w:rPr>
                <w:noProof/>
                <w:color w:val="000000"/>
                <w:sz w:val="20"/>
              </w:rPr>
              <w:t>massiprotsenti</w:t>
            </w: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40 massiprotsenti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2807 00 00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96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Nitrometaan (CASi nr 75-52-5) </w:t>
            </w: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16 massiprotsenti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40 massiprotsenti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2904 20 00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92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Ammooniumnitraat (CASi nr 6484-52-2)</w:t>
            </w: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kontsentratsioonis 16 protsenti lämmastikku ammooniumn</w:t>
            </w:r>
            <w:r>
              <w:rPr>
                <w:noProof/>
                <w:color w:val="000000"/>
                <w:sz w:val="20"/>
              </w:rPr>
              <w:t xml:space="preserve">itraadi massist (2) </w:t>
            </w: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Ei kohaldata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3102 30 10 (vesilahusena) </w:t>
            </w:r>
          </w:p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3102 30 90 (muu) </w:t>
            </w: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96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Kaaliumkloraat (CASi nr 3811-04-9) </w:t>
            </w: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40 massiprotsenti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Ei kohaldata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2829 19 00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96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Kaaliumperkloraat (CASi nr 7778-74-7) </w:t>
            </w: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40 massiprotsenti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Ei kohaldata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2829 90 10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3824 99 96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Naatriumkloraat (CASi nr 7775-09-9) </w:t>
            </w: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40 massiprotsenti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Ei kohaldata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2829 11 00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3824 99 96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1913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Naatriumperkloraat (CASi nr 7601-89-0) </w:t>
            </w:r>
          </w:p>
        </w:tc>
        <w:tc>
          <w:tcPr>
            <w:tcW w:w="1692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40 massiprotsenti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Ei kohaldata</w:t>
            </w:r>
          </w:p>
        </w:tc>
        <w:tc>
          <w:tcPr>
            <w:tcW w:w="1928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2829 90 10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3824 99 96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0E5123" w:rsidRDefault="0040443B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>(1) Komisjoni 12. oktoobri 2017. aasta rakendusmäärus (EL) nr 2017/1925, millega muudetakse tariifi- ja statistikanomenklatuuri ning ühist tollitariifistikku käsitleva nõukogu määruse (EMÜ) nr 2658/87 I lisa (ELT L 282, 31.10.2017, lk 1). Ajakohastatud CN-</w:t>
      </w:r>
      <w:r>
        <w:rPr>
          <w:noProof/>
          <w:color w:val="000000"/>
          <w:sz w:val="20"/>
        </w:rPr>
        <w:t xml:space="preserve">koode tuleks vaadata määruse (EÜ) nr 2658/87 I lisa hilisematest muudatustest. </w:t>
      </w:r>
    </w:p>
    <w:p w:rsidR="000E5123" w:rsidRDefault="0040443B">
      <w:pPr>
        <w:rPr>
          <w:noProof/>
        </w:rPr>
      </w:pPr>
      <w:r>
        <w:rPr>
          <w:noProof/>
          <w:color w:val="000000"/>
          <w:sz w:val="20"/>
        </w:rPr>
        <w:t xml:space="preserve"> (2) Ammooniumnitraati võib üldsuse hulka kuuluvatele isikutele kättesaadavaks teha või nad tohivad seda sisse tuua, omada või kasutada puhasainena või seda sisaldava segu või ainena üksnes </w:t>
      </w:r>
      <w:r>
        <w:rPr>
          <w:noProof/>
          <w:color w:val="000000"/>
          <w:sz w:val="20"/>
          <w:u w:val="single"/>
        </w:rPr>
        <w:t>väiksemas</w:t>
      </w:r>
      <w:r>
        <w:rPr>
          <w:noProof/>
          <w:color w:val="000000"/>
          <w:sz w:val="20"/>
        </w:rPr>
        <w:t xml:space="preserve"> kontsentratsioonis kui 16 protsenti lämmastikku ammooniu</w:t>
      </w:r>
      <w:r>
        <w:rPr>
          <w:noProof/>
          <w:color w:val="000000"/>
          <w:sz w:val="20"/>
        </w:rPr>
        <w:t>mnitraadi massist.</w:t>
      </w:r>
    </w:p>
    <w:p w:rsidR="000E5123" w:rsidRDefault="000E5123">
      <w:pPr>
        <w:rPr>
          <w:noProof/>
        </w:rPr>
        <w:sectPr w:rsidR="000E5123" w:rsidSect="0040443B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E5123" w:rsidRPr="0040443B" w:rsidRDefault="0040443B">
      <w:pPr>
        <w:pStyle w:val="Annexetitre"/>
      </w:pPr>
      <w:r>
        <w:rPr>
          <w:noProof/>
        </w:rPr>
        <w:lastRenderedPageBreak/>
        <w:t>II LISA. LÕHKEAINETE LÄHTEAINED, MILLEST TULEB TEATADA</w:t>
      </w:r>
    </w:p>
    <w:p w:rsidR="000E5123" w:rsidRDefault="0040443B">
      <w:pPr>
        <w:autoSpaceDE w:val="0"/>
        <w:autoSpaceDN w:val="0"/>
        <w:adjustRightInd w:val="0"/>
        <w:spacing w:before="60" w:after="60"/>
        <w:jc w:val="left"/>
        <w:rPr>
          <w:noProof/>
          <w:color w:val="000000"/>
          <w:szCs w:val="24"/>
        </w:rPr>
      </w:pPr>
      <w:r>
        <w:rPr>
          <w:noProof/>
          <w:color w:val="000000"/>
        </w:rPr>
        <w:t>Ained (puhasainena või seda sisaldava seguna), mille puhul tuleb teatada kahtlustäratavatest tehingutest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6"/>
      </w:tblGrid>
      <w:tr w:rsidR="000E5123">
        <w:trPr>
          <w:trHeight w:val="1736"/>
        </w:trPr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1. Aine nimetus ja CASi nu</w:t>
            </w:r>
            <w:r>
              <w:rPr>
                <w:noProof/>
                <w:color w:val="000000"/>
                <w:sz w:val="20"/>
              </w:rPr>
              <w:t>mber (</w:t>
            </w:r>
            <w:r>
              <w:rPr>
                <w:i/>
                <w:noProof/>
                <w:color w:val="000000"/>
                <w:sz w:val="20"/>
              </w:rPr>
              <w:t>Chemical Abstracts Service Registry number</w:t>
            </w:r>
            <w:r>
              <w:rPr>
                <w:noProof/>
                <w:color w:val="000000"/>
                <w:sz w:val="20"/>
              </w:rPr>
              <w:t>, edaspidi „CASi nr“)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2. Kombineeritud nomenklatuuri (CN) kood (1)</w:t>
            </w:r>
          </w:p>
        </w:tc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3. Kombineeritud nomenklatuuri (CN) kood ilma lisanditeta segude jaoks (nt elavhõbe, väärismetallid, haruldased muldmetallid, radioaktiivsed </w:t>
            </w:r>
            <w:r>
              <w:rPr>
                <w:noProof/>
                <w:color w:val="000000"/>
                <w:sz w:val="20"/>
              </w:rPr>
              <w:t xml:space="preserve">ained), mis tingivad klassifitseerimise muu CN-koodi alla (1) </w:t>
            </w:r>
          </w:p>
        </w:tc>
      </w:tr>
      <w:tr w:rsidR="000E5123">
        <w:trPr>
          <w:trHeight w:val="428"/>
        </w:trPr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Heksamiin (CASi nr 100-97-0) 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2933 69 40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93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Atsetoon (CASi nr 67-64-1) 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2914 11 00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92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Kaaliumnitraat (CASi nr 7757-79-1) 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2834 21 00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96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Naatriumnitraat (CASi nr 7631-99-4) 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3102 50 00 </w:t>
            </w:r>
          </w:p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96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Kaltsiumnitraat (CASi nr 10124-37-5) 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2834 29 80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96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Kaltsium-ammooniumnitraat (CASi nr 15245-12-2) 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3102 60 00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96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Magneesium, </w:t>
            </w:r>
            <w:r>
              <w:rPr>
                <w:i/>
                <w:noProof/>
                <w:color w:val="000000"/>
                <w:sz w:val="20"/>
              </w:rPr>
              <w:t xml:space="preserve">pulbrid </w:t>
            </w:r>
            <w:r>
              <w:rPr>
                <w:noProof/>
                <w:color w:val="000000"/>
                <w:sz w:val="20"/>
              </w:rPr>
              <w:t xml:space="preserve">(CASi nr 7439-95-4) (2) (3) 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8104 30 00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Magneesiumnitraatheksahüdraat (CASi nr 13446-18-9) 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2834 29 80 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 3824 99 96</w:t>
            </w:r>
          </w:p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0E5123">
        <w:tc>
          <w:tcPr>
            <w:tcW w:w="3096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Alumiinium, </w:t>
            </w:r>
            <w:r>
              <w:rPr>
                <w:i/>
                <w:noProof/>
                <w:color w:val="000000"/>
                <w:sz w:val="20"/>
              </w:rPr>
              <w:t xml:space="preserve">pulbrid </w:t>
            </w:r>
            <w:r>
              <w:rPr>
                <w:noProof/>
                <w:color w:val="000000"/>
                <w:sz w:val="20"/>
              </w:rPr>
              <w:t xml:space="preserve">(CASi nr 7429-90-5) ( 2 ) ( 3 ) </w:t>
            </w:r>
          </w:p>
        </w:tc>
        <w:tc>
          <w:tcPr>
            <w:tcW w:w="3095" w:type="dxa"/>
          </w:tcPr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7603 10 00 </w:t>
            </w:r>
          </w:p>
          <w:p w:rsidR="000E5123" w:rsidRDefault="0040443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 7603 20 00 </w:t>
            </w:r>
          </w:p>
        </w:tc>
        <w:tc>
          <w:tcPr>
            <w:tcW w:w="3096" w:type="dxa"/>
          </w:tcPr>
          <w:p w:rsidR="000E5123" w:rsidRDefault="000E512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0E5123" w:rsidRDefault="0040443B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 xml:space="preserve">(1) Komisjoni 12. oktoobri 2017. aasta </w:t>
      </w:r>
      <w:r>
        <w:rPr>
          <w:noProof/>
          <w:color w:val="000000"/>
          <w:sz w:val="20"/>
        </w:rPr>
        <w:t>rakendusmäärus (EL) nr 2017/1925, millega muudetakse tariifi- ja statistikanomenklatuuri ning ühist tollitariifistikku käsitleva nõukogu määruse (EMÜ) nr 2658/87 I lisa (ELT L 282, 31.10.2017, lk 1). Ajakohastatud CN-koode tuleks vaadata määruse (EÜ) nr 26</w:t>
      </w:r>
      <w:r>
        <w:rPr>
          <w:noProof/>
          <w:color w:val="000000"/>
          <w:sz w:val="20"/>
        </w:rPr>
        <w:t>58/87 I lisa hilisematest muudatustest.</w:t>
      </w:r>
    </w:p>
    <w:p w:rsidR="000E5123" w:rsidRDefault="0040443B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>(2) Osakeste suurusega vähem kui 200 μm.</w:t>
      </w:r>
    </w:p>
    <w:p w:rsidR="000E5123" w:rsidRDefault="0040443B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>(3) Ainena või seguna, mis sisaldab 70 % või rohkem (massist) alumiiniumi ja/või magneesiumi.</w:t>
      </w:r>
    </w:p>
    <w:p w:rsidR="000E5123" w:rsidRDefault="000E5123">
      <w:pPr>
        <w:rPr>
          <w:noProof/>
        </w:rPr>
        <w:sectPr w:rsidR="000E5123" w:rsidSect="0040443B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E5123" w:rsidRDefault="0040443B">
      <w:pPr>
        <w:pStyle w:val="Annexetitre"/>
        <w:rPr>
          <w:noProof/>
        </w:rPr>
      </w:pPr>
      <w:r>
        <w:rPr>
          <w:noProof/>
        </w:rPr>
        <w:lastRenderedPageBreak/>
        <w:t>III LISA. LOA VORM</w:t>
      </w:r>
    </w:p>
    <w:p w:rsidR="000E5123" w:rsidRDefault="0040443B">
      <w:pPr>
        <w:pStyle w:val="Default"/>
        <w:rPr>
          <w:noProof/>
        </w:rPr>
      </w:pPr>
      <w:r>
        <w:rPr>
          <w:noProof/>
        </w:rPr>
        <w:t xml:space="preserve">Dokumendi vorm, mis tõendab, et üldsuse hulka </w:t>
      </w:r>
      <w:r>
        <w:rPr>
          <w:noProof/>
        </w:rPr>
        <w:t>kuuluval isikul on luba soetada, sisse tuua, omada ja kasutada artikli 6 lõikes 7 osutatud piirangutega lõhkeainete lähteaineid.</w:t>
      </w:r>
    </w:p>
    <w:p w:rsidR="000E5123" w:rsidRDefault="000E5123">
      <w:pPr>
        <w:pStyle w:val="Default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0E5123">
        <w:tc>
          <w:tcPr>
            <w:tcW w:w="9289" w:type="dxa"/>
          </w:tcPr>
          <w:p w:rsidR="000E5123" w:rsidRDefault="0040443B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>1. Üldsuse hulka kuuluv isik (nimi ja aadress)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Nimi: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Isikut tõendava dokumendi number: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Aadress: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Riik: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Tel:</w:t>
            </w:r>
          </w:p>
          <w:p w:rsidR="000E5123" w:rsidRDefault="0040443B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 xml:space="preserve">E-posti aadress: </w:t>
            </w:r>
          </w:p>
        </w:tc>
      </w:tr>
      <w:tr w:rsidR="000E5123">
        <w:tc>
          <w:tcPr>
            <w:tcW w:w="9289" w:type="dxa"/>
          </w:tcPr>
          <w:p w:rsidR="000E5123" w:rsidRDefault="0040443B">
            <w:pPr>
              <w:pStyle w:val="Defaul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 xml:space="preserve">2. Loa number: </w:t>
            </w:r>
          </w:p>
        </w:tc>
      </w:tr>
      <w:tr w:rsidR="000E5123">
        <w:tc>
          <w:tcPr>
            <w:tcW w:w="9289" w:type="dxa"/>
          </w:tcPr>
          <w:p w:rsidR="000E5123" w:rsidRDefault="0040443B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>3. Ühekordse või mitmekordse kasutamise luba</w:t>
            </w:r>
            <w:r>
              <w:rPr>
                <w:noProof/>
              </w:rPr>
              <w:t xml:space="preserve"> (</w:t>
            </w:r>
            <w:r>
              <w:rPr>
                <w:i/>
                <w:noProof/>
              </w:rPr>
              <w:t>märgistage sobiv</w:t>
            </w:r>
            <w:r>
              <w:rPr>
                <w:noProof/>
              </w:rPr>
              <w:t>)</w:t>
            </w:r>
          </w:p>
          <w:p w:rsidR="000E5123" w:rsidRDefault="000E5123">
            <w:pPr>
              <w:pStyle w:val="Default"/>
              <w:rPr>
                <w:noProof/>
              </w:rPr>
            </w:pP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( ) piirangutega lähteaine ühekordne ost, sissetoomine, omamine ja kasutamine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lähteaine(te) nimetus(ed):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maksimumkogus: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maksimumkontsentratsioon: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lubatud kasutusala: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( ) piir</w:t>
            </w:r>
            <w:r>
              <w:rPr>
                <w:noProof/>
              </w:rPr>
              <w:t>angutega lähteaine mitmekordne ost, sissetoomine, omamine ja kasutamine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lähteaine(te) nimetus(ed):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igakordne maksimaalne omatav kogus: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maksimumkontsentratsioon:</w:t>
            </w:r>
          </w:p>
          <w:p w:rsidR="000E5123" w:rsidRDefault="0040443B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 xml:space="preserve">lubatud kasutusala: </w:t>
            </w:r>
          </w:p>
        </w:tc>
      </w:tr>
      <w:tr w:rsidR="000E5123">
        <w:tc>
          <w:tcPr>
            <w:tcW w:w="9289" w:type="dxa"/>
          </w:tcPr>
          <w:p w:rsidR="000E5123" w:rsidRDefault="0040443B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>4. Kui erineb 1. lahtris märgitud aadressist ja kui see on riigisisese õi</w:t>
            </w:r>
            <w:r>
              <w:rPr>
                <w:b/>
                <w:noProof/>
              </w:rPr>
              <w:t>guse kohaselt nõutav, siis aadress, kus lähteainet (lähteaineid)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>ladustatakse</w:t>
            </w:r>
          </w:p>
          <w:p w:rsidR="000E5123" w:rsidRDefault="0040443B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 xml:space="preserve">Aadress: </w:t>
            </w:r>
          </w:p>
        </w:tc>
      </w:tr>
      <w:tr w:rsidR="000E5123">
        <w:tc>
          <w:tcPr>
            <w:tcW w:w="9289" w:type="dxa"/>
          </w:tcPr>
          <w:p w:rsidR="000E5123" w:rsidRDefault="0040443B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>5. Kui erineb 1. lahtris märgitud aadressist ja kui see on riigisisese õiguse kohaselt nõutav, siis aadress, kus lähteainet (lähteaineid)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>kasutatakse</w:t>
            </w:r>
          </w:p>
          <w:p w:rsidR="000E5123" w:rsidRDefault="0040443B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 xml:space="preserve">Aadress: </w:t>
            </w:r>
          </w:p>
        </w:tc>
      </w:tr>
      <w:tr w:rsidR="000E5123">
        <w:tc>
          <w:tcPr>
            <w:tcW w:w="9289" w:type="dxa"/>
          </w:tcPr>
          <w:p w:rsidR="000E5123" w:rsidRDefault="0040443B">
            <w:pPr>
              <w:pStyle w:val="Defaul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 xml:space="preserve">6. </w:t>
            </w:r>
            <w:r>
              <w:rPr>
                <w:b/>
                <w:noProof/>
              </w:rPr>
              <w:t>Kirjalik nõusolek 3. lahtris nimetatud piirangutega lähteaine(te) soetamiseks, sissetoomiseks, omamiseks ja kasutamiseks, mille on andnud [nimetage riik]:</w:t>
            </w:r>
          </w:p>
          <w:p w:rsidR="000E5123" w:rsidRDefault="000E5123">
            <w:pPr>
              <w:pStyle w:val="Default"/>
              <w:rPr>
                <w:noProof/>
              </w:rPr>
            </w:pP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Pädeva asutuse nimi: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Kehtib alates: ________ kuni: _______________ </w:t>
            </w:r>
          </w:p>
          <w:p w:rsidR="000E5123" w:rsidRDefault="000E5123">
            <w:pPr>
              <w:pStyle w:val="Default"/>
              <w:rPr>
                <w:noProof/>
              </w:rPr>
            </w:pP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Käesoleva loa suhtes kohaldatav</w:t>
            </w:r>
            <w:r>
              <w:rPr>
                <w:noProof/>
              </w:rPr>
              <w:t>ad erinõuded: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( ) jah, see luba kehtib ainult koos sellele loale lisatud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erinõuetega</w:t>
            </w:r>
          </w:p>
          <w:p w:rsidR="000E5123" w:rsidRDefault="0040443B">
            <w:pPr>
              <w:pStyle w:val="Default"/>
              <w:rPr>
                <w:noProof/>
              </w:rPr>
            </w:pPr>
            <w:r>
              <w:rPr>
                <w:noProof/>
              </w:rPr>
              <w:t>( ) ei</w:t>
            </w:r>
          </w:p>
          <w:p w:rsidR="000E5123" w:rsidRDefault="000E5123">
            <w:pPr>
              <w:pStyle w:val="Default"/>
              <w:rPr>
                <w:noProof/>
              </w:rPr>
            </w:pPr>
          </w:p>
          <w:p w:rsidR="000E5123" w:rsidRDefault="0040443B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>Pitser ja/või allkiri:</w:t>
            </w:r>
          </w:p>
        </w:tc>
      </w:tr>
    </w:tbl>
    <w:p w:rsidR="000E5123" w:rsidRPr="0040443B" w:rsidRDefault="000E5123">
      <w:pPr>
        <w:rPr>
          <w:noProof/>
        </w:rPr>
      </w:pPr>
    </w:p>
    <w:sectPr w:rsidR="000E5123" w:rsidRPr="0040443B" w:rsidSect="0040443B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23" w:rsidRDefault="0040443B">
      <w:pPr>
        <w:spacing w:before="0" w:after="0"/>
      </w:pPr>
      <w:r>
        <w:separator/>
      </w:r>
    </w:p>
  </w:endnote>
  <w:endnote w:type="continuationSeparator" w:id="0">
    <w:p w:rsidR="000E5123" w:rsidRDefault="004044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3B" w:rsidRPr="0040443B" w:rsidRDefault="0040443B" w:rsidP="00404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3B" w:rsidRPr="0040443B" w:rsidRDefault="0040443B" w:rsidP="0040443B">
    <w:pPr>
      <w:pStyle w:val="Footer"/>
      <w:rPr>
        <w:rFonts w:ascii="Arial" w:hAnsi="Arial" w:cs="Arial"/>
        <w:b/>
        <w:sz w:val="48"/>
      </w:rPr>
    </w:pPr>
    <w:r w:rsidRPr="0040443B">
      <w:rPr>
        <w:rFonts w:ascii="Arial" w:hAnsi="Arial" w:cs="Arial"/>
        <w:b/>
        <w:sz w:val="48"/>
      </w:rPr>
      <w:t>ET</w:t>
    </w:r>
    <w:r w:rsidRPr="0040443B">
      <w:rPr>
        <w:rFonts w:ascii="Arial" w:hAnsi="Arial" w:cs="Arial"/>
        <w:b/>
        <w:sz w:val="48"/>
      </w:rPr>
      <w:tab/>
    </w:r>
    <w:r w:rsidRPr="0040443B">
      <w:rPr>
        <w:rFonts w:ascii="Arial" w:hAnsi="Arial" w:cs="Arial"/>
        <w:b/>
        <w:sz w:val="48"/>
      </w:rPr>
      <w:tab/>
    </w:r>
    <w:r w:rsidRPr="0040443B">
      <w:tab/>
    </w:r>
    <w:proofErr w:type="spellStart"/>
    <w:r w:rsidRPr="0040443B">
      <w:rPr>
        <w:rFonts w:ascii="Arial" w:hAnsi="Arial" w:cs="Arial"/>
        <w:b/>
        <w:sz w:val="48"/>
      </w:rPr>
      <w:t>ET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3B" w:rsidRPr="0040443B" w:rsidRDefault="0040443B" w:rsidP="0040443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3B" w:rsidRPr="0040443B" w:rsidRDefault="0040443B" w:rsidP="0040443B">
    <w:pPr>
      <w:pStyle w:val="Footer"/>
      <w:rPr>
        <w:rFonts w:ascii="Arial" w:hAnsi="Arial" w:cs="Arial"/>
        <w:b/>
        <w:sz w:val="48"/>
      </w:rPr>
    </w:pPr>
    <w:r w:rsidRPr="0040443B">
      <w:rPr>
        <w:rFonts w:ascii="Arial" w:hAnsi="Arial" w:cs="Arial"/>
        <w:b/>
        <w:sz w:val="48"/>
      </w:rPr>
      <w:t>ET</w:t>
    </w:r>
    <w:r w:rsidRPr="0040443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 w:rsidRPr="0040443B">
      <w:tab/>
    </w:r>
    <w:r w:rsidRPr="0040443B"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3B" w:rsidRPr="0040443B" w:rsidRDefault="0040443B" w:rsidP="00404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23" w:rsidRDefault="0040443B">
      <w:pPr>
        <w:spacing w:before="0" w:after="0"/>
      </w:pPr>
      <w:r>
        <w:separator/>
      </w:r>
    </w:p>
  </w:footnote>
  <w:footnote w:type="continuationSeparator" w:id="0">
    <w:p w:rsidR="000E5123" w:rsidRDefault="004044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3B" w:rsidRPr="0040443B" w:rsidRDefault="0040443B" w:rsidP="00404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3B" w:rsidRPr="0040443B" w:rsidRDefault="0040443B" w:rsidP="00404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3B" w:rsidRPr="0040443B" w:rsidRDefault="0040443B" w:rsidP="00404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362A2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0E815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5B841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1C15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1124D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202B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3A6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34C6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6 14:04:4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2"/>
    <w:docVar w:name="DQCStatus" w:val="Yellow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C481CDD1-E95F-4F3E-9747-B5B082BE2C12"/>
    <w:docVar w:name="LW_COVERPAGE_TYPE" w:val="1"/>
    <w:docVar w:name="LW_CROSSREFERENCE" w:val="{SWD(2018) 104 final}_x000d__x000a_{SWD(2018) 105 final}"/>
    <w:docVar w:name="LW_DocType" w:val="ANNEX"/>
    <w:docVar w:name="LW_EMISSION" w:val="17.4.2018"/>
    <w:docVar w:name="LW_EMISSION_ISODATE" w:val="2018-04-17"/>
    <w:docVar w:name="LW_EMISSION_LOCATION" w:val="BRX"/>
    <w:docVar w:name="LW_EMISSION_PREFIX" w:val="Strasbourg,"/>
    <w:docVar w:name="LW_EMISSION_SUFFIX" w:val="&lt;EMPTY&gt;"/>
    <w:docVar w:name="LW_ID_DOCSTRUCTURE" w:val="COM/ANNEX"/>
    <w:docVar w:name="LW_ID_DOCTYPE" w:val="SG-01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" w:val="lõhkeainete lähteainete turustamise ja kasutamise kohta, millega muudetakse määruse (EÜ) nr 1907/2006 XVII lisa ning tunnistatakse kehtetuks Euroopa Parlamendi ja nõukogu määrus (EL) nr&lt;LWCR:NBS&gt;98/2013 lõhkeainete lähteainete turustamise ja kasutamise kohta_x000b_"/>
    <w:docVar w:name="LW_OBJETACTEPRINCIPAL.CP" w:val="lõhkeainete lähteainete turustamise ja kasutamise kohta, millega muudetakse määruse (EÜ) nr 1907/2006 XVII lisa ning tunnistatakse kehtetuks Euroopa Parlamendi ja nõukogu määrus (EL) nr 98/2013 lõhkeainete lähteainete turustamise ja kasutamise kohta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SAD"/>
    <w:docVar w:name="LW_TYPE.DOC.CP" w:val="LISAD"/>
    <w:docVar w:name="LW_TYPEACTEPRINCIPAL" w:val="Ettepanek: Euroopa Parlamendi ja nõukogu määrus"/>
    <w:docVar w:name="LW_TYPEACTEPRINCIPAL.CP" w:val="Ettepanek: Euroopa Parlamendi ja nõukogu määrus"/>
  </w:docVars>
  <w:rsids>
    <w:rsidRoot w:val="000E5123"/>
    <w:rsid w:val="000E5123"/>
    <w:rsid w:val="004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43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443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0443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0443B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0443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40443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04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404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43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443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0443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0443B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0443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40443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04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404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5</TotalTime>
  <Pages>4</Pages>
  <Words>787</Words>
  <Characters>4789</Characters>
  <Application>Microsoft Office Word</Application>
  <DocSecurity>0</DocSecurity>
  <Lines>266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2018-04-13T10:33:00Z</cp:lastPrinted>
  <dcterms:created xsi:type="dcterms:W3CDTF">2018-05-14T10:26:00Z</dcterms:created>
  <dcterms:modified xsi:type="dcterms:W3CDTF">2018-05-16T12:21:00Z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