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alt="81908DCB-5C50-47F2-87A3-0501775CC080" style="width:450.75pt;height:320.25pt">
            <v:imagedata r:id="rId9" o:title=""/>
          </v:shape>
        </w:pict>
      </w:r>
    </w:p>
    <w:bookmarkEnd w:id="0"/>
    <w:p>
      <w:pPr>
        <w:rPr>
          <w:noProof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>
      <w:pPr>
        <w:pStyle w:val="ListNumber"/>
        <w:spacing w:before="120" w:after="120" w:line="240" w:lineRule="auto"/>
        <w:contextualSpacing w:val="0"/>
        <w:rPr>
          <w:noProof/>
        </w:rPr>
      </w:pPr>
      <w:bookmarkStart w:id="1" w:name="_GoBack"/>
      <w:bookmarkEnd w:id="1"/>
      <w:r>
        <w:rPr>
          <w:noProof/>
        </w:rPr>
        <w:lastRenderedPageBreak/>
        <w:t>Wprowadzenie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W Europie trwa dyskusja na temat jej przyszłości. Za rok przywódcy spotkają się w rumuńskim mieście Sybin w celu wyciągnięcia wniosków z tej dyskusji, którą Komisja zainicjowała w marcu 2017 r. swoją Białą księgą w sprawie przyszłości Europy</w:t>
      </w:r>
      <w:r>
        <w:rPr>
          <w:rStyle w:val="FootnoteReference"/>
          <w:rFonts w:ascii="Times New Roman" w:hAnsi="Times New Roman"/>
          <w:noProof/>
          <w:sz w:val="24"/>
        </w:rPr>
        <w:footnoteReference w:id="2"/>
      </w:r>
      <w:r>
        <w:rPr>
          <w:rFonts w:ascii="Times New Roman" w:hAnsi="Times New Roman"/>
          <w:noProof/>
          <w:sz w:val="24"/>
        </w:rPr>
        <w:t xml:space="preserve">. 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Jedną z kluczowych kwestii jest spełnienie </w:t>
      </w:r>
      <w:r>
        <w:rPr>
          <w:rFonts w:ascii="Times New Roman" w:hAnsi="Times New Roman"/>
          <w:b/>
          <w:noProof/>
          <w:sz w:val="24"/>
        </w:rPr>
        <w:t>oczekiwań obywateli</w:t>
      </w:r>
      <w:r>
        <w:rPr>
          <w:rFonts w:ascii="Times New Roman" w:hAnsi="Times New Roman"/>
          <w:noProof/>
          <w:sz w:val="24"/>
        </w:rPr>
        <w:t xml:space="preserve"> i reagowanie na ich obawy dotyczące przyszłości w szybko zmieniającym się świecie; świecie, który oferuje nowe możliwości, ale także wywołuje poczucie niepewności. Wiele osób wyraża zaniepokojenie tym, jak będzie się zmieniał rynek pracy; jak będzie wyglądać przyszłość państwa opiekuńczego; jakie zmiany zajdą w naszych demokratycznych, różnorodnych społeczeństwach; i jaka będzie rola Europy na arenie międzynarodowej. Europa musi wspomóc swoich obywateli, zwłaszcza osoby młode, w jak najlepszym wykorzystaniu możliwości stwarzanych przez nowe technologie i globalne tendencje. Dobrym rozwiązaniem jest kształcenie i szkolenie jako inwestycja w jednostkę i całe społeczeństwo.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Unia jest przede wszystkim Unią wartości, jak określono w art. 2 Traktatu o Unii Europejskiej, a kształcenie, szkolenie i kultura mają istotne znaczenie dla przekazywania i wspierania wspólnych wartości i budowania wzajemnego zrozumienia.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Jeżeli chodzi o </w:t>
      </w:r>
      <w:r>
        <w:rPr>
          <w:rFonts w:ascii="Times New Roman" w:hAnsi="Times New Roman"/>
          <w:i/>
          <w:noProof/>
          <w:sz w:val="24"/>
        </w:rPr>
        <w:t>gospodarkę</w:t>
      </w:r>
      <w:r>
        <w:rPr>
          <w:rFonts w:ascii="Times New Roman" w:hAnsi="Times New Roman"/>
          <w:noProof/>
          <w:sz w:val="24"/>
        </w:rPr>
        <w:t xml:space="preserve">, chociaż kryzys wywarł wpływ na rynki pracy i społeczeństwa, </w:t>
      </w:r>
      <w:r>
        <w:rPr>
          <w:rFonts w:ascii="Times New Roman" w:hAnsi="Times New Roman"/>
          <w:b/>
          <w:noProof/>
          <w:sz w:val="24"/>
        </w:rPr>
        <w:t>Europejska społeczna gospodarka rynkowa zdała egzamin</w:t>
      </w:r>
      <w:r>
        <w:rPr>
          <w:rFonts w:ascii="Times New Roman" w:hAnsi="Times New Roman"/>
          <w:noProof/>
          <w:sz w:val="24"/>
        </w:rPr>
        <w:t xml:space="preserve"> i przetrwała największy kryzys gospodarczy naszych czasów. Trwające prace nad dokończeniem budowy unii gospodarczej i walutowej w jeszcze większym stopniu wzmocnią podstawy ekonomiczne Europy.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Jeżeli chodzi o </w:t>
      </w:r>
      <w:r>
        <w:rPr>
          <w:rFonts w:ascii="Times New Roman" w:hAnsi="Times New Roman"/>
          <w:i/>
          <w:noProof/>
          <w:sz w:val="24"/>
        </w:rPr>
        <w:t>priorytety społeczne,</w:t>
      </w:r>
      <w:r>
        <w:rPr>
          <w:rFonts w:ascii="Times New Roman" w:hAnsi="Times New Roman"/>
          <w:noProof/>
          <w:sz w:val="24"/>
        </w:rPr>
        <w:t xml:space="preserve"> Unia wskazała wyraźnie, że projekt europejski dotyczy znacznie większej liczby kwestii niż tylko spraw gospodarczych. Parlament Europejski, Rada i Komisja ogłosiły wspólnie w listopadzie 2017 r. </w:t>
      </w:r>
      <w:r>
        <w:rPr>
          <w:rFonts w:ascii="Times New Roman" w:hAnsi="Times New Roman"/>
          <w:b/>
          <w:noProof/>
          <w:sz w:val="24"/>
        </w:rPr>
        <w:t>Europejski filar praw socjalnych</w:t>
      </w:r>
      <w:r>
        <w:rPr>
          <w:rStyle w:val="FootnoteReference"/>
          <w:rFonts w:ascii="Times New Roman" w:hAnsi="Times New Roman"/>
          <w:noProof/>
          <w:sz w:val="24"/>
        </w:rPr>
        <w:footnoteReference w:id="3"/>
      </w:r>
      <w:r>
        <w:rPr>
          <w:rFonts w:ascii="Times New Roman" w:hAnsi="Times New Roman"/>
          <w:noProof/>
          <w:sz w:val="24"/>
        </w:rPr>
        <w:t>. W ramach filaru wzmocniono zasady i prawa w obszarze zatrudnienia i polityki społecznej, na których opiera się Unia, oraz uznano za nadrzędną zasadę prawo do edukacji o wysokiej jakości, szkolenia i uczenia się przez całe życie</w:t>
      </w:r>
      <w:r>
        <w:rPr>
          <w:rFonts w:ascii="Times New Roman" w:hAnsi="Times New Roman"/>
          <w:noProof/>
          <w:sz w:val="24"/>
          <w:vertAlign w:val="superscript"/>
        </w:rPr>
        <w:footnoteReference w:id="4"/>
      </w:r>
      <w:r>
        <w:rPr>
          <w:rFonts w:ascii="Times New Roman" w:hAnsi="Times New Roman"/>
          <w:noProof/>
          <w:sz w:val="24"/>
        </w:rPr>
        <w:t>.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</w:rPr>
        <w:t xml:space="preserve">Większa rola polityki dotyczącej młodzieży, edukacji i kultury 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W deklaracji rzymskiej z marca 2017 r.</w:t>
      </w:r>
      <w:r>
        <w:rPr>
          <w:rFonts w:ascii="Times New Roman" w:hAnsi="Times New Roman"/>
          <w:noProof/>
          <w:sz w:val="24"/>
          <w:vertAlign w:val="superscript"/>
        </w:rPr>
        <w:footnoteReference w:id="5"/>
      </w:r>
      <w:r>
        <w:rPr>
          <w:rFonts w:ascii="Times New Roman" w:hAnsi="Times New Roman"/>
          <w:noProof/>
          <w:sz w:val="24"/>
        </w:rPr>
        <w:t xml:space="preserve"> przywódcy państw UE zobowiązali się do działań na rzecz „Unii, w której młodzi ludzie mają dostęp do kształcenia i szkolenia najwyższej jakości i mogą uczyć się i znajdować zatrudnienie na całym kontynencie;</w:t>
      </w:r>
      <w:r>
        <w:rPr>
          <w:noProof/>
        </w:rPr>
        <w:t xml:space="preserve"> </w:t>
      </w:r>
      <w:r>
        <w:rPr>
          <w:rFonts w:ascii="Times New Roman" w:hAnsi="Times New Roman"/>
          <w:noProof/>
          <w:sz w:val="24"/>
        </w:rPr>
        <w:t xml:space="preserve">Unii, która chroni nasze dziedzictwo kulturowe i promuje różnorodność kulturową”. Jeśli chcemy zbudować silniejszą Europę, polityka dotycząca </w:t>
      </w:r>
      <w:r>
        <w:rPr>
          <w:rFonts w:ascii="Times New Roman" w:hAnsi="Times New Roman"/>
          <w:b/>
          <w:noProof/>
          <w:sz w:val="24"/>
        </w:rPr>
        <w:t>młodzieży, kultury, kształcenia i szkolenia</w:t>
      </w:r>
      <w:r>
        <w:rPr>
          <w:rFonts w:ascii="Times New Roman" w:hAnsi="Times New Roman"/>
          <w:noProof/>
          <w:sz w:val="24"/>
        </w:rPr>
        <w:t xml:space="preserve"> musi odgrywać istotną rolę w projekcie europejskim. 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Obecna Komisja podjęła na wczesnym etapie działania służące poprawie sytuacji </w:t>
      </w:r>
      <w:r>
        <w:rPr>
          <w:rFonts w:ascii="Times New Roman" w:hAnsi="Times New Roman"/>
          <w:b/>
          <w:noProof/>
          <w:sz w:val="24"/>
        </w:rPr>
        <w:t>osób młodych,</w:t>
      </w:r>
      <w:r>
        <w:rPr>
          <w:rFonts w:ascii="Times New Roman" w:hAnsi="Times New Roman"/>
          <w:noProof/>
          <w:sz w:val="24"/>
        </w:rPr>
        <w:t xml:space="preserve"> które najbardziej ucierpiały podczas kryzysu, oraz stworzeniu im lepszych możliwości aktywnego uczestnictwa w projekcie europejskim</w:t>
      </w:r>
      <w:r>
        <w:rPr>
          <w:rStyle w:val="FootnoteReference"/>
          <w:rFonts w:ascii="Times New Roman" w:hAnsi="Times New Roman"/>
          <w:noProof/>
          <w:sz w:val="24"/>
        </w:rPr>
        <w:footnoteReference w:id="6"/>
      </w:r>
      <w:r>
        <w:rPr>
          <w:rFonts w:ascii="Times New Roman" w:hAnsi="Times New Roman"/>
          <w:noProof/>
          <w:sz w:val="24"/>
        </w:rPr>
        <w:t>. Wiele już osiągnięto. Zbudowanie przyszłości Europy wymaga wsparcia i zaangażowania osób młodych. W związku tym Komisja wraz z Radą</w:t>
      </w:r>
      <w:r>
        <w:rPr>
          <w:rStyle w:val="FootnoteReference"/>
          <w:rFonts w:ascii="Times New Roman" w:hAnsi="Times New Roman"/>
          <w:noProof/>
          <w:sz w:val="24"/>
        </w:rPr>
        <w:footnoteReference w:id="7"/>
      </w:r>
      <w:r>
        <w:rPr>
          <w:rFonts w:ascii="Times New Roman" w:hAnsi="Times New Roman"/>
          <w:noProof/>
          <w:sz w:val="24"/>
        </w:rPr>
        <w:t xml:space="preserve"> w dalszym ciągu kładą duży nacisk na sytuację młodych osób. 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</w:rPr>
        <w:t>Należy poświęcić większą uwagę kształceniu, szkoleniu i kulturze</w:t>
      </w:r>
      <w:r>
        <w:rPr>
          <w:rFonts w:ascii="Times New Roman" w:hAnsi="Times New Roman"/>
          <w:noProof/>
          <w:sz w:val="24"/>
        </w:rPr>
        <w:t xml:space="preserve">, aby w pełni wykorzystać ich potencjał we wspieraniu projektu europejskiego. Inwestowanie w umiejętności, kompetencje oraz wiedzę jest bardzo istotne dla zwiększania </w:t>
      </w:r>
      <w:r>
        <w:rPr>
          <w:rFonts w:ascii="Times New Roman" w:hAnsi="Times New Roman"/>
          <w:b/>
          <w:noProof/>
          <w:sz w:val="24"/>
        </w:rPr>
        <w:t>odporności</w:t>
      </w:r>
      <w:r>
        <w:rPr>
          <w:rStyle w:val="FootnoteReference"/>
          <w:rFonts w:ascii="Times New Roman" w:hAnsi="Times New Roman"/>
          <w:noProof/>
          <w:sz w:val="24"/>
        </w:rPr>
        <w:footnoteReference w:id="8"/>
      </w:r>
      <w:r>
        <w:rPr>
          <w:rFonts w:ascii="Times New Roman" w:hAnsi="Times New Roman"/>
          <w:noProof/>
          <w:sz w:val="24"/>
        </w:rPr>
        <w:t xml:space="preserve"> Europy. Takie inwestowanie w ludzi zwiększa innowacyjność, produktywność i konkurencyjność, pomagając w zachowaniu zdolności do zatrudnienia i przezwyciężeniu niedopasowania umiejętności do szybko zmieniającego się rynku pracy, na który wpływ wywiera globalizacja i zmiany technologiczne. 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Innym aspektem jest </w:t>
      </w:r>
      <w:r>
        <w:rPr>
          <w:rFonts w:ascii="Times New Roman" w:hAnsi="Times New Roman"/>
          <w:b/>
          <w:noProof/>
          <w:sz w:val="24"/>
        </w:rPr>
        <w:t>różnorodność</w:t>
      </w:r>
      <w:r>
        <w:rPr>
          <w:rFonts w:ascii="Times New Roman" w:hAnsi="Times New Roman"/>
          <w:noProof/>
          <w:sz w:val="24"/>
        </w:rPr>
        <w:t xml:space="preserve">, która stanowi jedną z najważniejszych cech Europy i źródło innowacyjności i kreatywności. Edukacja i kultura pomagają nam w uświadomieniu sobie, zrozumieniu i docenieniu wspólnego bogatego dziedzictwa kulturowego Europy, jej historii, doświadczeń, przekonań i wartości. Łączą ludzi ponad granicami, przyczyniają się do propagowania równouprawnienia płci oraz dają nam poczucie </w:t>
      </w:r>
      <w:r>
        <w:rPr>
          <w:rFonts w:ascii="Times New Roman" w:hAnsi="Times New Roman"/>
          <w:b/>
          <w:noProof/>
          <w:sz w:val="24"/>
        </w:rPr>
        <w:t>przynależności do wspólnoty</w:t>
      </w:r>
      <w:r>
        <w:rPr>
          <w:rFonts w:ascii="Times New Roman" w:hAnsi="Times New Roman"/>
          <w:noProof/>
          <w:sz w:val="24"/>
        </w:rPr>
        <w:t xml:space="preserve">. Kształcenie, szkolenie i kultura mogą nam pomóc w odkryciu i doświadczeniu tego, </w:t>
      </w:r>
      <w:r>
        <w:rPr>
          <w:rFonts w:ascii="Times New Roman" w:hAnsi="Times New Roman"/>
          <w:i/>
          <w:noProof/>
          <w:sz w:val="24"/>
        </w:rPr>
        <w:t>co to znaczy być Europejczykami</w:t>
      </w:r>
      <w:r>
        <w:rPr>
          <w:rFonts w:ascii="Times New Roman" w:hAnsi="Times New Roman"/>
          <w:noProof/>
          <w:sz w:val="24"/>
        </w:rPr>
        <w:t>.</w:t>
      </w:r>
      <w:r>
        <w:rPr>
          <w:rFonts w:ascii="Times New Roman" w:hAnsi="Times New Roman"/>
          <w:i/>
          <w:noProof/>
          <w:sz w:val="24"/>
        </w:rPr>
        <w:t xml:space="preserve"> 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Na szczycie w Göteborgu w listopadzie 2017 r. przywódcy państw UE wybrali edukację i kulturę jako temat debaty w ramach agendy przywódców. Podstawę dyskusji między przywódcami stanowił wkład Komisji – komunikat pt. </w:t>
      </w:r>
      <w:r>
        <w:rPr>
          <w:rFonts w:ascii="Times New Roman" w:hAnsi="Times New Roman"/>
          <w:b/>
          <w:noProof/>
          <w:sz w:val="24"/>
        </w:rPr>
        <w:t>„Wzmocnienie tożsamości europejskiej dzięki edukacji i kulturze”</w:t>
      </w:r>
      <w:r>
        <w:rPr>
          <w:rStyle w:val="FootnoteReference"/>
          <w:rFonts w:ascii="Times New Roman" w:hAnsi="Times New Roman"/>
          <w:noProof/>
          <w:sz w:val="24"/>
        </w:rPr>
        <w:footnoteReference w:id="9"/>
      </w:r>
      <w:r>
        <w:rPr>
          <w:rFonts w:ascii="Times New Roman" w:hAnsi="Times New Roman"/>
          <w:noProof/>
          <w:sz w:val="24"/>
        </w:rPr>
        <w:t xml:space="preserve">, w którym Komisja zawarła swoją wizję działań na rzecz </w:t>
      </w:r>
      <w:r>
        <w:rPr>
          <w:rFonts w:ascii="Times New Roman" w:hAnsi="Times New Roman"/>
          <w:b/>
          <w:noProof/>
          <w:sz w:val="24"/>
        </w:rPr>
        <w:t>europejskiego obszaru edukacji</w:t>
      </w:r>
      <w:r>
        <w:rPr>
          <w:rFonts w:ascii="Times New Roman" w:hAnsi="Times New Roman"/>
          <w:noProof/>
          <w:sz w:val="24"/>
        </w:rPr>
        <w:t>. W debacie wskazano edukację i kulturę jako priorytety programu działań politycznych. Przed Europą stoi szereg różnych wyzwań, w tym populizm, ksenofobia, nietolerancja, dyskryminacja i dezinformacja. Ponadto tylko niektóre państwa UE osiągają dobre wyniki we wszystkich obszarach kształcenia i szkolenia. W związku z tym istnieje konieczność nadania nowego wymiaru edukacji i kulturze w całej Unii.</w:t>
      </w:r>
    </w:p>
    <w:p>
      <w:pPr>
        <w:spacing w:before="120" w:after="12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706863" cy="4041314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_TRAI-01-chapeau-infographics_educ_challenges-A4_05-0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863" cy="404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W grudniu 2017 r. </w:t>
      </w:r>
      <w:r>
        <w:rPr>
          <w:rFonts w:ascii="Times New Roman" w:hAnsi="Times New Roman"/>
          <w:b/>
          <w:noProof/>
          <w:sz w:val="24"/>
        </w:rPr>
        <w:t>Rada Europejska</w:t>
      </w:r>
      <w:r>
        <w:rPr>
          <w:rFonts w:ascii="Times New Roman" w:hAnsi="Times New Roman"/>
          <w:noProof/>
          <w:sz w:val="24"/>
        </w:rPr>
        <w:t xml:space="preserve"> wezwała państwa członkowskie, Radę i Komisję:</w:t>
      </w:r>
    </w:p>
    <w:p>
      <w:pPr>
        <w:pStyle w:val="ListContinue"/>
        <w:spacing w:before="120" w:line="240" w:lineRule="auto"/>
        <w:contextualSpacing w:val="0"/>
        <w:rPr>
          <w:noProof/>
        </w:rPr>
      </w:pPr>
      <w:r>
        <w:rPr>
          <w:noProof/>
        </w:rPr>
        <w:t xml:space="preserve">do </w:t>
      </w:r>
      <w:r>
        <w:rPr>
          <w:b/>
          <w:noProof/>
        </w:rPr>
        <w:t>poczynienia postępów w pracach</w:t>
      </w:r>
      <w:r>
        <w:rPr>
          <w:noProof/>
        </w:rPr>
        <w:t xml:space="preserve"> nad szeregiem kluczowych inicjatyw, w tym dotyczących programu Erasmus+, europejskich szkół wyższych, nauki języków, europejskiej legitymacji studenckiej, wzajemnego uznawania dyplomów i Europejskiego Roku Dziedzictwa Kulturowego; </w:t>
      </w:r>
    </w:p>
    <w:p>
      <w:pPr>
        <w:pStyle w:val="ListContinue"/>
        <w:spacing w:before="120" w:line="240" w:lineRule="auto"/>
        <w:contextualSpacing w:val="0"/>
        <w:rPr>
          <w:noProof/>
        </w:rPr>
      </w:pPr>
      <w:r>
        <w:rPr>
          <w:noProof/>
        </w:rPr>
        <w:t xml:space="preserve">do </w:t>
      </w:r>
      <w:r>
        <w:rPr>
          <w:b/>
          <w:noProof/>
        </w:rPr>
        <w:t>przeanalizowania ewentualnych działań</w:t>
      </w:r>
      <w:r>
        <w:rPr>
          <w:noProof/>
        </w:rPr>
        <w:t xml:space="preserve"> dotyczących wyzwań w zakresie umiejętności związanych z digitalizacją, cyberbezpieczeństwem, umiejętnością korzystania z mediów i sztuczną inteligencją; potrzeby włączającego, opartego na uczeniu się przez całe życie i stymulowanego innowacjami podejścia do kształcenia i szkolenia; prawnych i finansowych warunków ramowych ułatwiających rozwój sektora kultury i sektora kreatywnego oraz mobilność osób zawodowo zajmujących się sektorem kultury. 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W odpowiedzi Komisja przedstawiła w dniu 17 stycznia 2018 r. </w:t>
      </w:r>
      <w:r>
        <w:rPr>
          <w:rFonts w:ascii="Times New Roman" w:hAnsi="Times New Roman"/>
          <w:b/>
          <w:noProof/>
          <w:sz w:val="24"/>
        </w:rPr>
        <w:t>pierwszy pakiet środków</w:t>
      </w:r>
      <w:r>
        <w:rPr>
          <w:rStyle w:val="FootnoteReference"/>
          <w:rFonts w:ascii="Times New Roman" w:hAnsi="Times New Roman"/>
          <w:noProof/>
          <w:sz w:val="24"/>
        </w:rPr>
        <w:footnoteReference w:id="10"/>
      </w:r>
      <w:r>
        <w:rPr>
          <w:rFonts w:ascii="Times New Roman" w:hAnsi="Times New Roman"/>
          <w:noProof/>
          <w:sz w:val="24"/>
        </w:rPr>
        <w:t xml:space="preserve"> w sprawie kompetencji kluczowych, umiejętności cyfrowych, a także wspólnych wartości i edukacji włączającej. 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Niniejszy komunikat stanowi część </w:t>
      </w:r>
      <w:r>
        <w:rPr>
          <w:rFonts w:ascii="Times New Roman" w:hAnsi="Times New Roman"/>
          <w:b/>
          <w:noProof/>
          <w:sz w:val="24"/>
        </w:rPr>
        <w:t>drugiego pakietu inicjatyw</w:t>
      </w:r>
      <w:r>
        <w:rPr>
          <w:rFonts w:ascii="Times New Roman" w:hAnsi="Times New Roman"/>
          <w:noProof/>
          <w:sz w:val="24"/>
        </w:rPr>
        <w:t xml:space="preserve"> przygotowanego w odpowiedzi na wezwanie Rady Europejskiej. Pakiet ten łączy szereg inicjatyw w dziedzinie polityki dotyczącej młodzieży, kultury, kształcenia oraz szkolenia, które mają pomóc w stworzeniu Europy bardziej konkurencyjnej, włączającej i spójnej: </w:t>
      </w:r>
    </w:p>
    <w:p>
      <w:pPr>
        <w:pStyle w:val="ListBullet2"/>
        <w:spacing w:before="120" w:after="120" w:line="240" w:lineRule="auto"/>
        <w:ind w:left="641" w:hanging="357"/>
        <w:contextualSpacing w:val="0"/>
        <w:rPr>
          <w:noProof/>
        </w:rPr>
      </w:pPr>
      <w:r>
        <w:rPr>
          <w:noProof/>
        </w:rPr>
        <w:t>Komisja przedstawia „</w:t>
      </w:r>
      <w:r>
        <w:rPr>
          <w:b/>
          <w:noProof/>
        </w:rPr>
        <w:t>Strategię na rzecz młodzieży</w:t>
      </w:r>
      <w:r>
        <w:rPr>
          <w:noProof/>
        </w:rPr>
        <w:t>” na lata 2019–2027 opartą na wcześniejszych działaniach na rzecz inwestowania w młodych ludzi. Nacisk położono na wzmocnienie pozycji młodych osób i zapewnienie, aby jej zdanie miało większą wagę w kształtowaniu polityki UE.</w:t>
      </w:r>
    </w:p>
    <w:p>
      <w:pPr>
        <w:pStyle w:val="ListBullet2"/>
        <w:spacing w:before="120" w:after="120" w:line="240" w:lineRule="auto"/>
        <w:ind w:left="641" w:hanging="357"/>
        <w:contextualSpacing w:val="0"/>
        <w:rPr>
          <w:noProof/>
        </w:rPr>
      </w:pPr>
      <w:r>
        <w:rPr>
          <w:noProof/>
        </w:rPr>
        <w:t>Zgodnie z zapowiedzią zawartą w komunikacie „Wzmocnienie tożsamości europejskiej dzięki edukacji i kulturze” Komisja przedstawia „</w:t>
      </w:r>
      <w:r>
        <w:rPr>
          <w:b/>
          <w:noProof/>
        </w:rPr>
        <w:t>Nowy europejski program na rzecz kultury</w:t>
      </w:r>
      <w:r>
        <w:rPr>
          <w:noProof/>
        </w:rPr>
        <w:t xml:space="preserve">”. Inicjatywa ta będzie miała istotne znaczenie w zwiększaniu świadomości na temat wspólnej tożsamości Europejskiej i wspólnego dziedzictwa Europy i we wspieraniu stosunków Unii z państwami trzecimi. </w:t>
      </w:r>
    </w:p>
    <w:p>
      <w:pPr>
        <w:pStyle w:val="ListBullet2"/>
        <w:spacing w:before="120" w:after="120" w:line="240" w:lineRule="auto"/>
        <w:ind w:left="641" w:hanging="357"/>
        <w:contextualSpacing w:val="0"/>
        <w:rPr>
          <w:noProof/>
        </w:rPr>
      </w:pPr>
      <w:r>
        <w:rPr>
          <w:noProof/>
        </w:rPr>
        <w:t>Zgodnie z celem dążenia do stworzenia europejskiego obszaru edukacji Komisja przedstawia dwa wnioski dotyczące zaleceń Rady w sprawie „</w:t>
      </w:r>
      <w:r>
        <w:rPr>
          <w:b/>
          <w:noProof/>
        </w:rPr>
        <w:t>wzajemnego uznawania dyplomów</w:t>
      </w:r>
      <w:r>
        <w:rPr>
          <w:noProof/>
        </w:rPr>
        <w:t>” i poprawy „</w:t>
      </w:r>
      <w:r>
        <w:rPr>
          <w:b/>
          <w:noProof/>
        </w:rPr>
        <w:t>nauczania i uczenia się języków</w:t>
      </w:r>
      <w:r>
        <w:rPr>
          <w:noProof/>
        </w:rPr>
        <w:t xml:space="preserve">”. Obie inicjatywy są kluczowe dla zwiększenia mobilności edukacyjnej w Europie. </w:t>
      </w:r>
    </w:p>
    <w:p>
      <w:pPr>
        <w:pStyle w:val="ListBullet2"/>
        <w:spacing w:before="120" w:after="120" w:line="240" w:lineRule="auto"/>
        <w:ind w:left="641" w:hanging="357"/>
        <w:contextualSpacing w:val="0"/>
        <w:rPr>
          <w:noProof/>
        </w:rPr>
      </w:pPr>
      <w:r>
        <w:rPr>
          <w:noProof/>
        </w:rPr>
        <w:t>Także zgodnie z Europejskim filarem praw socjalnych Komisja proponuje przyjęcie zalecenia Rady w sprawie „</w:t>
      </w:r>
      <w:r>
        <w:rPr>
          <w:b/>
          <w:noProof/>
        </w:rPr>
        <w:t>wysokiej jakości systemów wczesnej edukacji i opieki nad dzieckiem</w:t>
      </w:r>
      <w:r>
        <w:rPr>
          <w:noProof/>
        </w:rPr>
        <w:t xml:space="preserve">”. Celem tej inicjatywy jest zapewnienie, aby wszystkie dzieci w Europie mogły mieć dobry start życiowy. 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Prace zostały rozpoczęte, jak określono w grafice poniżej, i będą kontynuowane w najbliższych latach. Na tej współpracy oparte zostaną </w:t>
      </w:r>
      <w:r>
        <w:rPr>
          <w:rFonts w:ascii="Times New Roman" w:hAnsi="Times New Roman"/>
          <w:b/>
          <w:noProof/>
          <w:sz w:val="24"/>
        </w:rPr>
        <w:t>wspólne prace w kierunku utworzenia europejskiego obszaru edukacji.</w:t>
      </w:r>
      <w:r>
        <w:rPr>
          <w:rFonts w:ascii="Times New Roman" w:hAnsi="Times New Roman"/>
          <w:noProof/>
          <w:sz w:val="24"/>
        </w:rPr>
        <w:t xml:space="preserve"> 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  <w:drawing>
          <wp:inline distT="0" distB="0" distL="0" distR="0">
            <wp:extent cx="5760720" cy="803009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_TRAI-01-chapeau-table-council-Comm_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40" w:lineRule="auto"/>
        <w:jc w:val="both"/>
        <w:rPr>
          <w:noProof/>
        </w:rPr>
      </w:pP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Inicjatywy te stanowią</w:t>
      </w:r>
      <w:r>
        <w:rPr>
          <w:rFonts w:ascii="Times New Roman" w:hAnsi="Times New Roman"/>
          <w:b/>
          <w:noProof/>
          <w:sz w:val="24"/>
        </w:rPr>
        <w:t xml:space="preserve"> etapy pośrednie w procesie na rzecz silniejszej Unii w ramach przygotowań do szczytu w Sybinie</w:t>
      </w:r>
      <w:r>
        <w:rPr>
          <w:rStyle w:val="FootnoteReference"/>
          <w:rFonts w:ascii="Times New Roman" w:hAnsi="Times New Roman"/>
          <w:noProof/>
          <w:sz w:val="24"/>
        </w:rPr>
        <w:footnoteReference w:id="11"/>
      </w:r>
      <w:r>
        <w:rPr>
          <w:rFonts w:ascii="Times New Roman" w:hAnsi="Times New Roman"/>
          <w:b/>
          <w:noProof/>
          <w:sz w:val="24"/>
        </w:rPr>
        <w:t>.</w:t>
      </w:r>
      <w:r>
        <w:rPr>
          <w:rFonts w:ascii="Times New Roman" w:hAnsi="Times New Roman"/>
          <w:noProof/>
          <w:sz w:val="24"/>
        </w:rPr>
        <w:t xml:space="preserve"> Inicjatywy te</w:t>
      </w:r>
    </w:p>
    <w:p>
      <w:pPr>
        <w:pStyle w:val="ListContinue"/>
        <w:spacing w:before="120" w:line="240" w:lineRule="auto"/>
        <w:contextualSpacing w:val="0"/>
        <w:rPr>
          <w:noProof/>
        </w:rPr>
      </w:pPr>
      <w:r>
        <w:rPr>
          <w:noProof/>
        </w:rPr>
        <w:t>pokazują, że obecna Komisja przypisuje duże znaczenie inwestowaniu w </w:t>
      </w:r>
      <w:r>
        <w:rPr>
          <w:b/>
          <w:i/>
          <w:noProof/>
        </w:rPr>
        <w:t>osoby młode</w:t>
      </w:r>
      <w:r>
        <w:rPr>
          <w:noProof/>
        </w:rPr>
        <w:t xml:space="preserve"> i ich przyszłość. W oparciu o wcześniejsze działania, w szczególności gwarancję dla młodzieży</w:t>
      </w:r>
      <w:r>
        <w:rPr>
          <w:rStyle w:val="FootnoteReference"/>
          <w:noProof/>
        </w:rPr>
        <w:footnoteReference w:id="12"/>
      </w:r>
      <w:r>
        <w:rPr>
          <w:noProof/>
        </w:rPr>
        <w:t>, inicjatywę na rzecz zatrudnienia ludzi młodych</w:t>
      </w:r>
      <w:r>
        <w:rPr>
          <w:rStyle w:val="FootnoteReference"/>
          <w:noProof/>
        </w:rPr>
        <w:footnoteReference w:id="13"/>
      </w:r>
      <w:r>
        <w:rPr>
          <w:noProof/>
        </w:rPr>
        <w:t>, inicjatywę dotyczącą inwestowania w młodzież z grudnia 2016 r.</w:t>
      </w:r>
      <w:r>
        <w:rPr>
          <w:rStyle w:val="FootnoteReference"/>
          <w:noProof/>
        </w:rPr>
        <w:footnoteReference w:id="14"/>
      </w:r>
      <w:r>
        <w:rPr>
          <w:noProof/>
        </w:rPr>
        <w:t>, Nowy europejski program na rzecz umiejętności</w:t>
      </w:r>
      <w:r>
        <w:rPr>
          <w:rStyle w:val="FootnoteReference"/>
          <w:noProof/>
        </w:rPr>
        <w:footnoteReference w:id="15"/>
      </w:r>
      <w:r>
        <w:rPr>
          <w:noProof/>
        </w:rPr>
        <w:t>, inicjatywę „Ścieżki poprawy umiejętności”</w:t>
      </w:r>
      <w:r>
        <w:rPr>
          <w:rStyle w:val="FootnoteReference"/>
          <w:noProof/>
        </w:rPr>
        <w:footnoteReference w:id="16"/>
      </w:r>
      <w:r>
        <w:rPr>
          <w:noProof/>
        </w:rPr>
        <w:t xml:space="preserve"> oraz europejskie ramy jakości programów przygotowania zawodowego</w:t>
      </w:r>
      <w:r>
        <w:rPr>
          <w:rStyle w:val="FootnoteReference"/>
          <w:noProof/>
        </w:rPr>
        <w:footnoteReference w:id="17"/>
      </w:r>
      <w:r>
        <w:rPr>
          <w:noProof/>
        </w:rPr>
        <w:t xml:space="preserve"> – pomogą one w zapewnieniu osobom młodym pochodzącym ze wszystkich środowisk bardziej obiecujących perspektyw i umożliwią im odgrywanie bardziej aktywnej roli w projekcie europejskim;</w:t>
      </w:r>
    </w:p>
    <w:p>
      <w:pPr>
        <w:pStyle w:val="ListContinue"/>
        <w:spacing w:before="120" w:line="240" w:lineRule="auto"/>
        <w:contextualSpacing w:val="0"/>
        <w:rPr>
          <w:noProof/>
        </w:rPr>
      </w:pPr>
      <w:r>
        <w:rPr>
          <w:noProof/>
        </w:rPr>
        <w:t xml:space="preserve">pomogą obywatelom w dzieleniu się europejską </w:t>
      </w:r>
      <w:r>
        <w:rPr>
          <w:b/>
          <w:i/>
          <w:noProof/>
        </w:rPr>
        <w:t>różnorodnością kulturową</w:t>
      </w:r>
      <w:r>
        <w:rPr>
          <w:noProof/>
        </w:rPr>
        <w:t xml:space="preserve"> </w:t>
      </w:r>
      <w:r>
        <w:rPr>
          <w:b/>
          <w:i/>
          <w:noProof/>
        </w:rPr>
        <w:t>i</w:t>
      </w:r>
      <w:r>
        <w:rPr>
          <w:noProof/>
        </w:rPr>
        <w:t> </w:t>
      </w:r>
      <w:r>
        <w:rPr>
          <w:b/>
          <w:i/>
          <w:noProof/>
        </w:rPr>
        <w:t>wspólnym dziedzictwem</w:t>
      </w:r>
      <w:r>
        <w:rPr>
          <w:noProof/>
        </w:rPr>
        <w:t>, co pomoże im w doświadczeniu idei europejskiego projektu; oraz</w:t>
      </w:r>
    </w:p>
    <w:p>
      <w:pPr>
        <w:pStyle w:val="ListContinue"/>
        <w:rPr>
          <w:noProof/>
        </w:rPr>
      </w:pPr>
      <w:r>
        <w:rPr>
          <w:noProof/>
        </w:rPr>
        <w:t xml:space="preserve">stanowią część szerszej wizji dążenia do stworzenia </w:t>
      </w:r>
      <w:r>
        <w:rPr>
          <w:b/>
          <w:i/>
          <w:noProof/>
        </w:rPr>
        <w:t>europejskiego obszaru edukacji</w:t>
      </w:r>
      <w:r>
        <w:rPr>
          <w:noProof/>
        </w:rPr>
        <w:t>, który pomoże w propagowaniu mobilności i przezwyciężeniu przeszkód ograniczających mobilność i współpracę transgraniczną, a także, w oparciu o wcześniejsze inicjatywy</w:t>
      </w:r>
      <w:r>
        <w:rPr>
          <w:rStyle w:val="FootnoteReference"/>
          <w:noProof/>
        </w:rPr>
        <w:footnoteReference w:id="18"/>
      </w:r>
      <w:r>
        <w:rPr>
          <w:noProof/>
        </w:rPr>
        <w:t>, wesprze państwa członkowskie w unowocześnianiu i ulepszaniu systemów kształcenia i szkolenia.</w:t>
      </w:r>
    </w:p>
    <w:p>
      <w:pPr>
        <w:pStyle w:val="ListNumber"/>
        <w:spacing w:before="120" w:after="120" w:line="240" w:lineRule="auto"/>
        <w:contextualSpacing w:val="0"/>
        <w:rPr>
          <w:noProof/>
        </w:rPr>
      </w:pPr>
      <w:r>
        <w:rPr>
          <w:noProof/>
        </w:rPr>
        <w:t>Dążenie do stworzenia europejskiego obszaru edukacji</w:t>
      </w:r>
    </w:p>
    <w:p>
      <w:pPr>
        <w:pStyle w:val="ListNumber"/>
        <w:numPr>
          <w:ilvl w:val="0"/>
          <w:numId w:val="0"/>
        </w:numPr>
        <w:spacing w:before="120" w:after="120" w:line="240" w:lineRule="auto"/>
        <w:ind w:left="360"/>
        <w:contextualSpacing w:val="0"/>
        <w:rPr>
          <w:noProof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49530</wp:posOffset>
                </wp:positionV>
                <wp:extent cx="6248400" cy="23050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2305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19.85pt;margin-top:3.9pt;width:492pt;height:181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" filled="f" strokecolor="black [3213]" strokeweight="2pt"/>
            </w:pict>
          </mc:Fallback>
        </mc:AlternateContent>
      </w:r>
    </w:p>
    <w:p>
      <w:pPr>
        <w:pStyle w:val="ListNumber"/>
        <w:numPr>
          <w:ilvl w:val="0"/>
          <w:numId w:val="0"/>
        </w:numPr>
        <w:spacing w:before="120" w:after="120" w:line="240" w:lineRule="auto"/>
        <w:ind w:left="360"/>
        <w:contextualSpacing w:val="0"/>
        <w:rPr>
          <w:noProof/>
        </w:rPr>
      </w:pPr>
      <w:r>
        <w:rPr>
          <w:rFonts w:cs="Times New Roman"/>
          <w:noProof/>
          <w:szCs w:val="24"/>
          <w:lang w:val="en-US" w:eastAsia="en-US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200660</wp:posOffset>
            </wp:positionV>
            <wp:extent cx="1761490" cy="1807210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_TRAI-01-chapeau-infographics_educ_study-work-A4_02-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ListNumber"/>
        <w:numPr>
          <w:ilvl w:val="0"/>
          <w:numId w:val="0"/>
        </w:numPr>
        <w:spacing w:after="0" w:line="240" w:lineRule="auto"/>
        <w:ind w:left="3119"/>
        <w:contextualSpacing w:val="0"/>
        <w:jc w:val="both"/>
        <w:rPr>
          <w:rFonts w:cs="Times New Roman"/>
          <w:noProof/>
          <w:sz w:val="22"/>
          <w:szCs w:val="24"/>
        </w:rPr>
      </w:pPr>
      <w:r>
        <w:rPr>
          <w:b w:val="0"/>
          <w:noProof/>
          <w:sz w:val="22"/>
        </w:rPr>
        <w:t xml:space="preserve">W ramach uwag zgłoszonych na spotkaniu przywódców w Göteborgu Komisja przedstawiła wizję </w:t>
      </w:r>
      <w:r>
        <w:rPr>
          <w:noProof/>
          <w:sz w:val="22"/>
        </w:rPr>
        <w:t>europejskiego obszaru edukacji do 2025 r.</w:t>
      </w:r>
      <w:r>
        <w:rPr>
          <w:b w:val="0"/>
          <w:noProof/>
          <w:sz w:val="22"/>
        </w:rPr>
        <w:t>: „Europa [...] powinna być miejscem, w którym granice nie są przeszkodą w uczeniu się, studiowaniu i prowadzeniu badań.</w:t>
      </w:r>
      <w:r>
        <w:rPr>
          <w:b w:val="0"/>
          <w:i/>
          <w:noProof/>
          <w:sz w:val="22"/>
        </w:rPr>
        <w:t xml:space="preserve"> </w:t>
      </w:r>
      <w:r>
        <w:rPr>
          <w:b w:val="0"/>
          <w:noProof/>
          <w:sz w:val="22"/>
        </w:rPr>
        <w:t>Powinna być kontynentem, na którym normą jest spędzanie czasu w innym państwie członkowskim w celu nauki, studiowania lub pracy, a także znajomość dwóch języków oprócz języka ojczystego;</w:t>
      </w:r>
      <w:r>
        <w:rPr>
          <w:b w:val="0"/>
          <w:i/>
          <w:noProof/>
          <w:sz w:val="22"/>
        </w:rPr>
        <w:t xml:space="preserve"> </w:t>
      </w:r>
      <w:r>
        <w:rPr>
          <w:b w:val="0"/>
          <w:noProof/>
          <w:sz w:val="22"/>
        </w:rPr>
        <w:t>kontynentem, na którym ludzie mają silne poczucie tożsamości europejskiej, europejskiego dziedzictwa kulturowego i jego różnorodności”.</w:t>
      </w:r>
    </w:p>
    <w:p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sz w:val="20"/>
        </w:rPr>
        <w:br w:type="column"/>
      </w:r>
      <w:r>
        <w:rPr>
          <w:rFonts w:ascii="Times New Roman" w:hAnsi="Times New Roman"/>
          <w:noProof/>
          <w:sz w:val="24"/>
        </w:rPr>
        <w:t xml:space="preserve">Europejski obszar edukacji ma pomóc w osiągnięciu </w:t>
      </w:r>
      <w:r>
        <w:rPr>
          <w:rFonts w:ascii="Times New Roman" w:hAnsi="Times New Roman"/>
          <w:b/>
          <w:noProof/>
          <w:sz w:val="24"/>
        </w:rPr>
        <w:t>trzech celów</w:t>
      </w:r>
      <w:r>
        <w:rPr>
          <w:rFonts w:ascii="Times New Roman" w:hAnsi="Times New Roman"/>
          <w:noProof/>
          <w:sz w:val="24"/>
        </w:rPr>
        <w:t>:</w:t>
      </w:r>
    </w:p>
    <w:p>
      <w:pPr>
        <w:pStyle w:val="ListContinue"/>
        <w:spacing w:before="120" w:line="240" w:lineRule="auto"/>
        <w:contextualSpacing w:val="0"/>
        <w:rPr>
          <w:noProof/>
        </w:rPr>
      </w:pPr>
      <w:r>
        <w:rPr>
          <w:noProof/>
        </w:rPr>
        <w:t xml:space="preserve">wspierania </w:t>
      </w:r>
      <w:r>
        <w:rPr>
          <w:b/>
          <w:noProof/>
        </w:rPr>
        <w:t>transgranicznej mobilności i współpracy</w:t>
      </w:r>
      <w:r>
        <w:rPr>
          <w:noProof/>
        </w:rPr>
        <w:t xml:space="preserve"> w dziedzinie kształcenia i szkolenia;</w:t>
      </w:r>
    </w:p>
    <w:p>
      <w:pPr>
        <w:pStyle w:val="ListContinue"/>
        <w:spacing w:before="120" w:line="240" w:lineRule="auto"/>
        <w:contextualSpacing w:val="0"/>
        <w:rPr>
          <w:noProof/>
        </w:rPr>
      </w:pPr>
      <w:r>
        <w:rPr>
          <w:noProof/>
        </w:rPr>
        <w:t xml:space="preserve">pokonania nieuzasadnionych </w:t>
      </w:r>
      <w:r>
        <w:rPr>
          <w:b/>
          <w:noProof/>
        </w:rPr>
        <w:t>przeszkód</w:t>
      </w:r>
      <w:r>
        <w:rPr>
          <w:noProof/>
        </w:rPr>
        <w:t xml:space="preserve">, które utrudniają uczenie się, szkolenie lub pracę w innym państwie, w celu urzeczywistnienia „swobodnego przepływu osób uczących się” i stworzenia prawdziwej europejskiej przestrzeni edukacyjnej; </w:t>
      </w:r>
    </w:p>
    <w:p>
      <w:pPr>
        <w:pStyle w:val="ListContinue"/>
        <w:spacing w:before="120" w:line="240" w:lineRule="auto"/>
        <w:contextualSpacing w:val="0"/>
        <w:rPr>
          <w:noProof/>
        </w:rPr>
      </w:pPr>
      <w:r>
        <w:rPr>
          <w:noProof/>
        </w:rPr>
        <w:t xml:space="preserve">wspierania państw członkowskich w pracy nad tym, aby ich systemy kształcenia i szkolenia stawały się coraz bardziej </w:t>
      </w:r>
      <w:r>
        <w:rPr>
          <w:b/>
          <w:noProof/>
        </w:rPr>
        <w:t>włączające, oparte na uczeniu się przez całe życie i stymulowane innowacjami.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Utworzenie europejskiego obszaru edukacji pozwoli państwom członkowskim UE realizować szybciej większą liczbę działań, podnieść poziom jakości, konkurencyjności i włączenia społecznego systemów kształcenia i szkolenia, jednocześnie dając przykład, na którym mogą się wzorować państwa trzecie. Zostanie to zrealizowane w oparciu o:</w:t>
      </w:r>
    </w:p>
    <w:p>
      <w:pPr>
        <w:pStyle w:val="ListContinue"/>
        <w:spacing w:before="120" w:line="240" w:lineRule="auto"/>
        <w:contextualSpacing w:val="0"/>
        <w:rPr>
          <w:noProof/>
        </w:rPr>
      </w:pPr>
      <w:r>
        <w:rPr>
          <w:noProof/>
        </w:rPr>
        <w:t xml:space="preserve">przewodni </w:t>
      </w:r>
      <w:r>
        <w:rPr>
          <w:b/>
          <w:noProof/>
        </w:rPr>
        <w:t>program Erasmus+</w:t>
      </w:r>
      <w:r>
        <w:rPr>
          <w:noProof/>
        </w:rPr>
        <w:t xml:space="preserve"> i program będący jego kontynuacją, w sprawie którego Komisja złoży wniosek pod koniec maja 2018 r. Erasmus+ jest znany głównie ze skutecznego promowania mobilności edukacyjnej. Panuje powszechna zgoda, że należy jeszcze bardziej zwiększyć mobilność, czemu mają towarzyszyć wzmocnione partnerstwa strategiczne i wsparcie polityczne, aby stymulować bardziej innowacyjną i włączającą politykę w zakresie kształcenia, szkolenia i młodzieży; </w:t>
      </w:r>
    </w:p>
    <w:p>
      <w:pPr>
        <w:pStyle w:val="ListContinue"/>
        <w:spacing w:before="120" w:line="240" w:lineRule="auto"/>
        <w:contextualSpacing w:val="0"/>
        <w:rPr>
          <w:noProof/>
        </w:rPr>
      </w:pPr>
      <w:r>
        <w:rPr>
          <w:noProof/>
        </w:rPr>
        <w:t xml:space="preserve">obecną </w:t>
      </w:r>
      <w:r>
        <w:rPr>
          <w:b/>
          <w:noProof/>
        </w:rPr>
        <w:t xml:space="preserve">europejską współpracę w dziedzinie kształcenia i szkolenia, </w:t>
      </w:r>
      <w:r>
        <w:rPr>
          <w:noProof/>
        </w:rPr>
        <w:t>w</w:t>
      </w:r>
      <w:r>
        <w:rPr>
          <w:b/>
          <w:noProof/>
        </w:rPr>
        <w:t> </w:t>
      </w:r>
      <w:r>
        <w:rPr>
          <w:noProof/>
        </w:rPr>
        <w:t>ramach której kładzie się nacisk na solidne dowody empiryczne, analizę porównawczą, wymianę doświadczeń i wzajemne uczenie się. Ponieważ okres obowiązywania obecnych ram dobiegnie końca w 2020 r., Komisja przedstawi w odpowiednim terminie wnioski mające na celu ambitne rozszerzenie tej współpracy. Nowe ramy pomogą w ustalaniu priorytetów, prowadzeniu polityki i w </w:t>
      </w:r>
      <w:r>
        <w:rPr>
          <w:b/>
          <w:noProof/>
        </w:rPr>
        <w:t>lepszym ukierunkowywaniu funduszy UE.</w:t>
      </w:r>
      <w:r>
        <w:rPr>
          <w:noProof/>
        </w:rPr>
        <w:t xml:space="preserve"> Komisja zaproponuje również zbiór wskaźników i wartości odniesienia w celu zgromadzenia dowodów na temat tego, jak kształcenie i szkolenie wspierają rozwój umiejętności i kompetencji na wszystkich etapach życia.</w:t>
      </w:r>
    </w:p>
    <w:p>
      <w:pPr>
        <w:spacing w:before="120" w:after="120" w:line="240" w:lineRule="auto"/>
        <w:jc w:val="both"/>
        <w:rPr>
          <w:rFonts w:ascii="Times New Roman" w:eastAsia="DengXi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Chociaż program Erasmus+ i przyszłe ramy współpracy europejskiej w dziedzinie kształcenia i szkolenia będą wspólnie przyczyniać się do utworzenia europejskiego obszaru edukacji, zostaną wsparte za pomocą odpowiednich innych polityk. Unia będzie nadal wspierać wysiłki państw członkowskich na rzecz reform za pomocą </w:t>
      </w:r>
      <w:r>
        <w:rPr>
          <w:rFonts w:ascii="Times New Roman" w:hAnsi="Times New Roman"/>
          <w:b/>
          <w:noProof/>
          <w:sz w:val="24"/>
        </w:rPr>
        <w:t>europejskiego semestru</w:t>
      </w:r>
      <w:r>
        <w:rPr>
          <w:rFonts w:ascii="Times New Roman" w:hAnsi="Times New Roman"/>
          <w:noProof/>
          <w:sz w:val="24"/>
        </w:rPr>
        <w:t xml:space="preserve"> i różnych programów wydatków, w tym Europejskiego Funduszu Społecznego, które stanowią </w:t>
      </w:r>
      <w:r>
        <w:rPr>
          <w:rFonts w:ascii="Times New Roman" w:hAnsi="Times New Roman"/>
          <w:b/>
          <w:noProof/>
          <w:sz w:val="24"/>
        </w:rPr>
        <w:t>widoczny dowód na to, w jaki sposób Europa inwestuje w ludzi i poprawia jakość ich życia</w:t>
      </w:r>
      <w:r>
        <w:rPr>
          <w:rFonts w:ascii="Times New Roman" w:hAnsi="Times New Roman"/>
          <w:noProof/>
          <w:sz w:val="24"/>
        </w:rPr>
        <w:t xml:space="preserve">. 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</w:rPr>
        <w:t>Kompetencje</w:t>
      </w:r>
      <w:r>
        <w:rPr>
          <w:rFonts w:ascii="Times New Roman" w:hAnsi="Times New Roman"/>
          <w:noProof/>
          <w:sz w:val="24"/>
        </w:rPr>
        <w:t xml:space="preserve"> w zakresie kształcenia i szkolenia leżą głównie w gestii </w:t>
      </w:r>
      <w:r>
        <w:rPr>
          <w:rFonts w:ascii="Times New Roman" w:hAnsi="Times New Roman"/>
          <w:b/>
          <w:noProof/>
          <w:sz w:val="24"/>
        </w:rPr>
        <w:t>państw członkowskich</w:t>
      </w:r>
      <w:r>
        <w:rPr>
          <w:rFonts w:ascii="Times New Roman" w:hAnsi="Times New Roman"/>
          <w:noProof/>
          <w:sz w:val="24"/>
        </w:rPr>
        <w:t xml:space="preserve">, a do kompetencji Unii należy prowadzenie działań, które służą wsparciu, koordynacji lub uzupełnieniu ich działań. Dążenie do utworzenia europejskiego obszaru edukacji tego nie zmienia. Dzięki temu zapewniony zostanie nowy, ściślejszy i bardziej intensywny poziom partnerstwa i współpracy. Europejski obszar edukacji obejmie </w:t>
      </w:r>
      <w:r>
        <w:rPr>
          <w:rFonts w:ascii="Times New Roman" w:hAnsi="Times New Roman"/>
          <w:b/>
          <w:noProof/>
          <w:sz w:val="24"/>
        </w:rPr>
        <w:t>osoby uczące się ze wszystkich grup wiekowych</w:t>
      </w:r>
      <w:r>
        <w:rPr>
          <w:rFonts w:ascii="Times New Roman" w:hAnsi="Times New Roman"/>
          <w:noProof/>
          <w:sz w:val="24"/>
        </w:rPr>
        <w:t xml:space="preserve">, bez względu na to, z jakiego pochodzą środowiska, oraz </w:t>
      </w:r>
      <w:r>
        <w:rPr>
          <w:rFonts w:ascii="Times New Roman" w:hAnsi="Times New Roman"/>
          <w:b/>
          <w:noProof/>
          <w:sz w:val="24"/>
        </w:rPr>
        <w:t>wszystkie sektory</w:t>
      </w:r>
      <w:r>
        <w:rPr>
          <w:rFonts w:ascii="Times New Roman" w:hAnsi="Times New Roman"/>
          <w:noProof/>
          <w:sz w:val="24"/>
        </w:rPr>
        <w:t xml:space="preserve">, w tym wczesną edukację i opiekę nad dzieckiem, szkoły, kształcenie i szkolenie zawodowe, szkolnictwo wyższe i kształcenie ustawiczne. </w:t>
      </w:r>
    </w:p>
    <w:p>
      <w:pPr>
        <w:spacing w:before="120" w:after="120" w:line="240" w:lineRule="auto"/>
        <w:jc w:val="both"/>
        <w:rPr>
          <w:rFonts w:ascii="Times New Roman" w:eastAsia="DengXi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W celu </w:t>
      </w:r>
      <w:r>
        <w:rPr>
          <w:rFonts w:ascii="Times New Roman" w:hAnsi="Times New Roman"/>
          <w:b/>
          <w:noProof/>
          <w:sz w:val="24"/>
        </w:rPr>
        <w:t>urzeczywistnienia europejskiego obszaru edukacji</w:t>
      </w:r>
      <w:r>
        <w:rPr>
          <w:rFonts w:ascii="Times New Roman" w:hAnsi="Times New Roman"/>
          <w:noProof/>
          <w:sz w:val="24"/>
        </w:rPr>
        <w:t xml:space="preserve"> i w następstwie pierwszego pakietu ze stycznia 2018 r. Komisja przedstawia dzisiaj nowy zestaw konkretnych inicjatyw politycznych dotyczących wzajemnego uznawania, nauki języków obcych i wczesnej edukacji i opieki nad dzieckiem. Będzie również w dalszym ciągu prowadzić ukierunkowane prace na podstawie obecnych ram współpracy i programów finansowania w celu opracowania nowych działań, szczególnie uwzględniając europejską legitymację studencką i europejskie szkoły wyższe, jak określono poniżej.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noProof/>
        </w:rPr>
        <w:tab/>
      </w:r>
      <w:r>
        <w:rPr>
          <w:rFonts w:ascii="Times New Roman" w:hAnsi="Times New Roman"/>
          <w:b/>
          <w:i/>
          <w:noProof/>
          <w:sz w:val="24"/>
        </w:rPr>
        <w:t>– Automatyczne wzajemne uznawanie dyplomów i okresów nauki za granicą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Pomimo 30 lat mobilności w ramach programu Erasmus+ i znacznych postępów w kwestii międzyrządowego procesu bolońskiego dotyczącego szkolnictwa wyższego wiele osób wciąż napotyka trudności przy składaniu w innym państwie członkowskim wniosku o formalne uznanie wykształcenia wyższego lub wykształcenia średniego II stopnia. To samo dotyczy okresów nauki za granicą w ramach zarówno szkolnictwa wyższego, jak i średniego. Zjawisko to powoduje niepewność i tworzy niepotrzebne bariery utrudniające mobilność.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Aby przezwyciężyć ten problem, Komisja proponuje przyjęcie zalecenia Rady w sprawie ustanowenia </w:t>
      </w:r>
      <w:r>
        <w:rPr>
          <w:rFonts w:ascii="Times New Roman" w:hAnsi="Times New Roman"/>
          <w:b/>
          <w:noProof/>
          <w:sz w:val="24"/>
        </w:rPr>
        <w:t>do 2025 r. automatycznego uznawania kwalifikacji jako domyślnej praktyki</w:t>
      </w:r>
      <w:r>
        <w:rPr>
          <w:rFonts w:ascii="Times New Roman" w:hAnsi="Times New Roman"/>
          <w:noProof/>
          <w:sz w:val="24"/>
        </w:rPr>
        <w:t>: każde świadectwo lub dyplom – a także wyniki okresów nauki za granicą o długości do jednego roku – wystawione przez akredytowaną instytucję w Unii powinny być automatycznie uznawane we wszystkich państwach członkowskich do celów dalszej nauki. Nie jest jednak możliwie wdrożenie takiego ambitnego planu od razu. Wymaga on podejścia stopniowego, w oparciu o silne i wiarygodne mechanizmy zapewniania jakości, które zwiększają przejrzystość i zaufanie niezbędne w procesie automatycznego uznawania. Wiele państw europejskich</w:t>
      </w:r>
      <w:r>
        <w:rPr>
          <w:rStyle w:val="FootnoteReference"/>
          <w:rFonts w:ascii="Times New Roman" w:hAnsi="Times New Roman"/>
          <w:noProof/>
          <w:sz w:val="24"/>
        </w:rPr>
        <w:footnoteReference w:id="19"/>
      </w:r>
      <w:r>
        <w:rPr>
          <w:rFonts w:ascii="Times New Roman" w:hAnsi="Times New Roman"/>
          <w:noProof/>
          <w:sz w:val="24"/>
        </w:rPr>
        <w:t xml:space="preserve"> realizuje już pionierskie programy automatycznego uznawania. Na podstawie tych doświadczeń w ścisłej współpracy z państwami członkowskimi opracowane zostaną rozwiązania dla całej UE.</w:t>
      </w:r>
    </w:p>
    <w:p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</w:rPr>
        <w:t>– Lepsza nauka języków obcych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Nauka języków obcych nie tylko ma zasadnicze znaczenie dla spełnienia wymogów dotyczących umiejętności potrzebnych w gospodarce światowej, ale również tworzy nowe perspektywy, wzmacnia europejskie obywatelstwo i pomaga ludziom odkrywać inne kultury. Obecnie znaczna część uczniów poświęca wiele czasu na naukę języków, ale zbyt wielu ostatecznie nie ma możliwości wykorzystania tych języków w rzeczywistych sytuacjach. Chociaż większość młodych Europejczyków uczy się jednego języka obcego, zaskakująco niewiele osób chce się uczyć drugiego języka obcego. </w:t>
      </w:r>
    </w:p>
    <w:p>
      <w:pPr>
        <w:spacing w:before="120" w:after="120" w:line="240" w:lineRule="auto"/>
        <w:jc w:val="both"/>
        <w:rPr>
          <w:rFonts w:ascii="Times New Roman" w:eastAsia="DengXi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W tym kontekście Komisja proponuje </w:t>
      </w:r>
      <w:r>
        <w:rPr>
          <w:rFonts w:ascii="Times New Roman" w:hAnsi="Times New Roman"/>
          <w:b/>
          <w:noProof/>
          <w:sz w:val="24"/>
        </w:rPr>
        <w:t>nowe, kompleksowe podejście do nauki języków</w:t>
      </w:r>
      <w:r>
        <w:rPr>
          <w:rFonts w:ascii="Times New Roman" w:hAnsi="Times New Roman"/>
          <w:noProof/>
          <w:sz w:val="24"/>
        </w:rPr>
        <w:t xml:space="preserve"> w ramach kształcenia obowiązkowego, które pomoże w lepszym wykorzystaniu europejskiej różnorodności językowej. Jego celem jest zapewnienie, aby więcej osób młodych władało biegle językiem i mogło bardzo dobrze opanować dwa języki poza językiem nauczania. </w:t>
      </w:r>
    </w:p>
    <w:p>
      <w:pPr>
        <w:spacing w:before="120" w:after="120" w:line="240" w:lineRule="auto"/>
        <w:ind w:firstLine="720"/>
        <w:jc w:val="both"/>
        <w:rPr>
          <w:rFonts w:ascii="Times New Roman" w:eastAsia="DengXi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</w:rPr>
        <w:t>– Europejska legitymacja studencka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W kontekście wzrostu mobilności europejska legitymacja studencka może pomóc w </w:t>
      </w:r>
      <w:r>
        <w:rPr>
          <w:rFonts w:ascii="Times New Roman" w:hAnsi="Times New Roman"/>
          <w:b/>
          <w:noProof/>
          <w:sz w:val="24"/>
        </w:rPr>
        <w:t>ograniczeniu obciążenia administracyjnego i kosztów</w:t>
      </w:r>
      <w:r>
        <w:rPr>
          <w:rFonts w:ascii="Times New Roman" w:hAnsi="Times New Roman"/>
          <w:noProof/>
          <w:sz w:val="24"/>
        </w:rPr>
        <w:t>, które ponoszą studenci i instytucje edukacyjne, poprzez usprawnienie procesów administracyjnych przed, w trakcie i po zakończeniu okresu mobilności, a równocześnie będzie ona widocznym symbolem tożsamości studentów europejskich.</w:t>
      </w:r>
    </w:p>
    <w:p>
      <w:pPr>
        <w:spacing w:before="120" w:after="120" w:line="240" w:lineRule="auto"/>
        <w:jc w:val="both"/>
        <w:rPr>
          <w:rFonts w:ascii="Times New Roman" w:eastAsia="DengXi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Jedną z potencjalnych korzyści jest to, że studenci będą mogli potwierdzić swoją tożsamość w zaufany sposób w dowolnej instytucji szkolnictwa wyższego w Unii, co umożliwi bezpieczną wymianę danych edukacyjnych (może to obejmować punkty i osiągnięcia akademickie), przy pełnym poszanowaniu ochrony danych osobowych i bez konieczności tworzenia dodatkowej infrastruktury technologii informacyjnej.</w:t>
      </w:r>
      <w:r>
        <w:rPr>
          <w:noProof/>
        </w:rPr>
        <w:t xml:space="preserve"> </w:t>
      </w:r>
      <w:r>
        <w:rPr>
          <w:rFonts w:ascii="Times New Roman" w:hAnsi="Times New Roman"/>
          <w:noProof/>
          <w:sz w:val="24"/>
        </w:rPr>
        <w:t>Legitymacja studencka pomoże studentom w uzyskaniu dostępu do różnych usług (bibliotek, transportu, zakwaterowania) przed przybyciem do zagranicznej instytucji. Może to być ważnym krokiem na drodze do urzeczywistnienia wizji mobilności dla wszystkich dzięki umożliwieniu instytucjom wysyłania i przyjmowania większej liczby studentów w ramach programów wymiany, do sprawniejszej organizacji tych wymian oraz do podniesienia jakości w mobilności studentów.</w:t>
      </w:r>
    </w:p>
    <w:p>
      <w:pPr>
        <w:spacing w:before="120" w:after="120" w:line="240" w:lineRule="auto"/>
        <w:jc w:val="both"/>
        <w:rPr>
          <w:rFonts w:ascii="Times New Roman" w:eastAsia="DengXi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>W oparciu o istniejące projekty pilotażowe finansowane z budżetu UE</w:t>
      </w:r>
      <w:r>
        <w:rPr>
          <w:rStyle w:val="FootnoteReference"/>
          <w:rFonts w:ascii="Times New Roman" w:hAnsi="Times New Roman"/>
          <w:noProof/>
          <w:sz w:val="24"/>
        </w:rPr>
        <w:footnoteReference w:id="20"/>
      </w:r>
      <w:r>
        <w:rPr>
          <w:rFonts w:ascii="Times New Roman" w:hAnsi="Times New Roman"/>
          <w:noProof/>
          <w:sz w:val="24"/>
        </w:rPr>
        <w:t xml:space="preserve">, które zostaną rozszerzone w 2019 r., oraz w oparciu o dalsze analizy i konsultacje z zainteresowanymi stronami, Komisja zamierza rozpocząć </w:t>
      </w:r>
      <w:r>
        <w:rPr>
          <w:rFonts w:ascii="Times New Roman" w:hAnsi="Times New Roman"/>
          <w:b/>
          <w:noProof/>
          <w:sz w:val="24"/>
        </w:rPr>
        <w:t>stopniowe tworzenie europejskiej legitymacji studenckiej do 2021 r.</w:t>
      </w:r>
      <w:r>
        <w:rPr>
          <w:rFonts w:ascii="Times New Roman" w:hAnsi="Times New Roman"/>
          <w:noProof/>
          <w:sz w:val="24"/>
        </w:rPr>
        <w:t>, w tym zbadać możliwość rozszerzenia legitymacji na uczestników kształcenia i szkolenia zawodowego.</w:t>
      </w:r>
    </w:p>
    <w:p>
      <w:pPr>
        <w:spacing w:before="120" w:after="120" w:line="240" w:lineRule="auto"/>
        <w:ind w:firstLine="720"/>
        <w:jc w:val="both"/>
        <w:rPr>
          <w:rFonts w:ascii="Times New Roman" w:eastAsia="DengXian" w:hAnsi="Times New Roman" w:cs="Times New Roman"/>
          <w:b/>
          <w:i/>
          <w:noProof/>
          <w:sz w:val="24"/>
          <w:szCs w:val="24"/>
        </w:rPr>
      </w:pPr>
      <w:r>
        <w:rPr>
          <w:noProof/>
        </w:rPr>
        <w:br w:type="column"/>
      </w:r>
      <w:r>
        <w:rPr>
          <w:rFonts w:ascii="Times New Roman" w:hAnsi="Times New Roman"/>
          <w:b/>
          <w:i/>
          <w:noProof/>
          <w:sz w:val="24"/>
        </w:rPr>
        <w:t>– Europejskie szkoły wyższe</w:t>
      </w:r>
    </w:p>
    <w:p>
      <w:pPr>
        <w:shd w:val="clear" w:color="auto" w:fill="FFFFFF" w:themeFill="background1"/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W Europie istnieje długa i dumna tradycja prowadzenia współpracy transgranicznej przez szkoły wyższe. Nowa inicjatywa „Europejskie szkoły wyższe” obejmująca oddolne sieci szkół wyższych powinna doprowadzić do przeniesienia tej współpracy transgranicznej na </w:t>
      </w:r>
      <w:r>
        <w:rPr>
          <w:rFonts w:ascii="Times New Roman" w:hAnsi="Times New Roman"/>
          <w:b/>
          <w:noProof/>
          <w:sz w:val="24"/>
        </w:rPr>
        <w:t>nowy, ambitny poziom</w:t>
      </w:r>
      <w:r>
        <w:rPr>
          <w:rFonts w:ascii="Times New Roman" w:hAnsi="Times New Roman"/>
          <w:noProof/>
          <w:sz w:val="24"/>
        </w:rPr>
        <w:t xml:space="preserve">, w ramach którego instytucje szkolnictwa wyższego podzielające tę samą wizję i wartości będą rozwijać długoterminowe strategie instytucjonalne dotyczące </w:t>
      </w:r>
      <w:r>
        <w:rPr>
          <w:rFonts w:ascii="Times New Roman" w:hAnsi="Times New Roman"/>
          <w:b/>
          <w:noProof/>
          <w:sz w:val="24"/>
        </w:rPr>
        <w:t>edukacji o najwyższej jakości</w:t>
      </w:r>
      <w:r>
        <w:rPr>
          <w:rFonts w:ascii="Times New Roman" w:hAnsi="Times New Roman"/>
          <w:noProof/>
          <w:sz w:val="24"/>
        </w:rPr>
        <w:t xml:space="preserve">, </w:t>
      </w:r>
      <w:r>
        <w:rPr>
          <w:rFonts w:ascii="Times New Roman" w:hAnsi="Times New Roman"/>
          <w:b/>
          <w:noProof/>
          <w:sz w:val="24"/>
        </w:rPr>
        <w:t>badań naukowych i innowacji</w:t>
      </w:r>
      <w:r>
        <w:rPr>
          <w:rFonts w:ascii="Times New Roman" w:hAnsi="Times New Roman"/>
          <w:noProof/>
          <w:sz w:val="24"/>
        </w:rPr>
        <w:t xml:space="preserve">. </w:t>
      </w:r>
    </w:p>
    <w:p>
      <w:pPr>
        <w:shd w:val="clear" w:color="auto" w:fill="FFFFFF" w:themeFill="background1"/>
        <w:spacing w:before="120"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Europejskie szkoły wyższe powinny wpłynąć stymulująco na rozwój ściśle zintegrowanych i otwartych programów studiów łączących moduły w różnych krajach. Mobilność powinna być stałym elementem na poziomie licencjackim, magisterskim i doktorskim. Powinno to przyczynić się do utworzenia </w:t>
      </w:r>
      <w:r>
        <w:rPr>
          <w:rFonts w:ascii="Times New Roman" w:hAnsi="Times New Roman"/>
          <w:b/>
          <w:noProof/>
          <w:sz w:val="24"/>
        </w:rPr>
        <w:t>„stopni europejskich” uznawanych w całej Europie</w:t>
      </w:r>
      <w:r>
        <w:rPr>
          <w:rFonts w:ascii="Times New Roman" w:hAnsi="Times New Roman"/>
          <w:noProof/>
          <w:sz w:val="24"/>
        </w:rPr>
        <w:t xml:space="preserve">. </w:t>
      </w:r>
    </w:p>
    <w:p>
      <w:pPr>
        <w:shd w:val="clear" w:color="auto" w:fill="FFFFFF" w:themeFill="background1"/>
        <w:spacing w:before="120" w:after="120" w:line="240" w:lineRule="auto"/>
        <w:jc w:val="both"/>
        <w:rPr>
          <w:rFonts w:ascii="Times New Roman" w:hAnsi="Times New Roman"/>
          <w:noProof/>
          <w:sz w:val="24"/>
          <w:u w:color="000000"/>
          <w:bdr w:val="nil"/>
        </w:rPr>
      </w:pPr>
      <w:r>
        <w:rPr>
          <w:rFonts w:ascii="Times New Roman" w:hAnsi="Times New Roman"/>
          <w:noProof/>
          <w:sz w:val="24"/>
          <w:u w:color="000000"/>
          <w:bdr w:val="nil"/>
        </w:rPr>
        <w:t xml:space="preserve">Europejskie szkoły wyższe będą oparte na szeregu </w:t>
      </w:r>
      <w:r>
        <w:rPr>
          <w:rFonts w:ascii="Times New Roman" w:hAnsi="Times New Roman"/>
          <w:b/>
          <w:noProof/>
          <w:sz w:val="24"/>
          <w:u w:color="000000"/>
          <w:bdr w:val="nil"/>
        </w:rPr>
        <w:t>istotnych zasad</w:t>
      </w:r>
      <w:r>
        <w:rPr>
          <w:rFonts w:ascii="Times New Roman" w:hAnsi="Times New Roman"/>
          <w:noProof/>
          <w:sz w:val="24"/>
          <w:u w:color="000000"/>
          <w:bdr w:val="nil"/>
        </w:rPr>
        <w:t xml:space="preserve">: dzięki zastosowaniu sprawiedliwych i zrównoważonych kryteriów w programie będą mogły uczestniczyć instytucje szkolnictwa wyższego każdego typu, w każdym państwie członkowskim; sieci powinny być zrównoważone pod względem geograficznym i sprzyjające włączeniu społecznemu. Nie będzie jednego uniwersalnego modelu. Instytucje mogą zaproponować model, który odpowiada ich potrzebom, za pomocą oddolnego, otwartego i przejrzystego podejścia oraz stopniowo zwiększać swoje ambicje. Aby finansowanie miało trwały charakter, europejskie szkoły wyższe muszą mieć możliwość korzystania zarówno z zasobów UE, jak i zasobów krajowych. </w:t>
      </w:r>
    </w:p>
    <w:p>
      <w:pPr>
        <w:shd w:val="clear" w:color="auto" w:fill="FFFFFF" w:themeFill="background1"/>
        <w:spacing w:before="120" w:after="120" w:line="240" w:lineRule="auto"/>
        <w:jc w:val="both"/>
        <w:rPr>
          <w:rFonts w:ascii="Times New Roman" w:hAnsi="Times New Roman"/>
          <w:noProof/>
          <w:sz w:val="24"/>
          <w:u w:color="000000"/>
          <w:bdr w:val="nil"/>
        </w:rPr>
      </w:pPr>
      <w:r>
        <w:rPr>
          <w:rFonts w:ascii="Times New Roman" w:hAnsi="Times New Roman"/>
          <w:noProof/>
          <w:sz w:val="24"/>
        </w:rPr>
        <w:t>Europejskie szkoły wyższe powinny stać się kluczowym elementem europejskiego obszaru edukacji poprzez napędzanie doskonałości i służenie za wzór dobrych praktyk dla innych instytucji szkolnictwa wyższego, stopniowo zwiększając konkurencyjność oraz atrakcyjność europejskiego szkolnictwa wyższego na poziomie międzynarodowym. Powinny funkcjonować w oparciu o podejścia wielodyscyplinarne, umożliwiając studentom, wykładowcom i badaczom współtworzenie wiedzy i innowacji oraz dzielnie się nimi. Może to pomóc w sprostaniu wielkim społecznym wyzwaniom i niedoborom wykwalifikowanej siły roboczej, przed którymi stoi Europa. Może również zwiększyć pozytywny wpływ, jaki szkoły wyższe wywierają na swoje regiony, w szczególności poprzez swoje zaangażowanie w rozwój i wdrażanie strategii inteligentnej specjalizacji</w:t>
      </w:r>
      <w:r>
        <w:rPr>
          <w:rStyle w:val="FootnoteReference"/>
          <w:rFonts w:ascii="Times New Roman" w:hAnsi="Times New Roman"/>
          <w:noProof/>
          <w:sz w:val="24"/>
        </w:rPr>
        <w:footnoteReference w:id="21"/>
      </w:r>
      <w:r>
        <w:rPr>
          <w:rFonts w:ascii="Times New Roman" w:hAnsi="Times New Roman"/>
          <w:noProof/>
          <w:sz w:val="24"/>
        </w:rPr>
        <w:t xml:space="preserve">. </w:t>
      </w:r>
    </w:p>
    <w:p>
      <w:pPr>
        <w:shd w:val="clear" w:color="auto" w:fill="FFFFFF" w:themeFill="background1"/>
        <w:spacing w:before="120"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Komisja zamierza przyczynić się do powstania </w:t>
      </w:r>
      <w:r>
        <w:rPr>
          <w:rFonts w:ascii="Times New Roman" w:hAnsi="Times New Roman"/>
          <w:b/>
          <w:noProof/>
          <w:sz w:val="24"/>
        </w:rPr>
        <w:t>co najmniej dwudziestu europejskich szkół wyższych do 2024 r.</w:t>
      </w:r>
      <w:r>
        <w:rPr>
          <w:rFonts w:ascii="Times New Roman" w:hAnsi="Times New Roman"/>
          <w:noProof/>
          <w:sz w:val="24"/>
        </w:rPr>
        <w:t xml:space="preserve"> Aby urzeczywistnić tę ambitną ideę, potrzeba jednak czasu na rzetelne przygotowanie i zapewnienie wystarczających zasobów. Na etapie wstępnym Komisja ściśle współpracuje z państwami członkowskimi i zainteresowanymi stronami w celu rozwinięcia omawianej koncepcji. Zaproponuje rozpoczęcie programów pilotażowych w 2019 r. i 2020 r. w ramach programu Erasmus+, a pełne wdrożenie powinno nastąpić w 2021 r. W oparciu o te programy pilotażowe i rozeznanie w istniejących sieciach</w:t>
      </w:r>
      <w:r>
        <w:rPr>
          <w:rStyle w:val="FootnoteReference"/>
          <w:rFonts w:ascii="Times New Roman" w:hAnsi="Times New Roman"/>
          <w:noProof/>
          <w:sz w:val="24"/>
        </w:rPr>
        <w:footnoteReference w:id="22"/>
      </w:r>
      <w:r>
        <w:rPr>
          <w:rFonts w:ascii="Times New Roman" w:hAnsi="Times New Roman"/>
          <w:noProof/>
          <w:sz w:val="24"/>
        </w:rPr>
        <w:t xml:space="preserve"> Komisja zbada, konsultując się z zainteresowanymi stronami, możliwości utworzenia do 2025 r. specjalnego statusu prawnego europejskich szkół wyższych. </w:t>
      </w:r>
    </w:p>
    <w:tbl>
      <w:tblPr>
        <w:tblStyle w:val="TableGrid"/>
        <w:tblW w:w="964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</w:tblGrid>
      <w:tr>
        <w:trPr>
          <w:trHeight w:val="3097"/>
        </w:trPr>
        <w:tc>
          <w:tcPr>
            <w:tcW w:w="9640" w:type="dxa"/>
            <w:shd w:val="clear" w:color="auto" w:fill="auto"/>
          </w:tcPr>
          <w:p>
            <w:pPr>
              <w:shd w:val="clear" w:color="auto" w:fill="FFFFFF" w:themeFill="background1"/>
              <w:spacing w:before="120" w:after="120"/>
              <w:jc w:val="both"/>
              <w:rPr>
                <w:rFonts w:ascii="Times New Roman" w:eastAsia="DengXi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</w:rPr>
              <w:t>Europejskie szkoły wyższe:</w:t>
            </w:r>
          </w:p>
          <w:p>
            <w:pPr>
              <w:pStyle w:val="ListParagraph"/>
              <w:numPr>
                <w:ilvl w:val="0"/>
                <w:numId w:val="22"/>
              </w:numPr>
              <w:shd w:val="clear" w:color="auto" w:fill="FFFFFF" w:themeFill="background1"/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</w:rPr>
              <w:t xml:space="preserve">oddolne sieci istniejących szkół wyższych </w:t>
            </w:r>
          </w:p>
          <w:p>
            <w:pPr>
              <w:pStyle w:val="ListParagraph"/>
              <w:numPr>
                <w:ilvl w:val="0"/>
                <w:numId w:val="22"/>
              </w:numPr>
              <w:shd w:val="clear" w:color="auto" w:fill="FFFFFF" w:themeFill="background1"/>
              <w:spacing w:before="120" w:after="120"/>
              <w:ind w:left="4287" w:hanging="3927"/>
              <w:contextualSpacing w:val="0"/>
              <w:jc w:val="both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</w:rPr>
              <w:t>najwyższej jakości edukacja, badania naukowe i innowacje</w:t>
            </w:r>
          </w:p>
          <w:p>
            <w:pPr>
              <w:pStyle w:val="ListParagraph"/>
              <w:numPr>
                <w:ilvl w:val="0"/>
                <w:numId w:val="22"/>
              </w:numPr>
              <w:shd w:val="clear" w:color="auto" w:fill="FFFFFF" w:themeFill="background1"/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</w:rPr>
              <w:t>podejście wielodyscyplinarne</w:t>
            </w:r>
          </w:p>
          <w:p>
            <w:pPr>
              <w:pStyle w:val="ListParagraph"/>
              <w:numPr>
                <w:ilvl w:val="0"/>
                <w:numId w:val="22"/>
              </w:numPr>
              <w:shd w:val="clear" w:color="auto" w:fill="FFFFFF" w:themeFill="background1"/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</w:rPr>
              <w:t>zrównoważone pod względem geograficznym</w:t>
            </w:r>
          </w:p>
          <w:p>
            <w:pPr>
              <w:pStyle w:val="ListParagraph"/>
              <w:numPr>
                <w:ilvl w:val="0"/>
                <w:numId w:val="22"/>
              </w:numPr>
              <w:shd w:val="clear" w:color="auto" w:fill="FFFFFF" w:themeFill="background1"/>
              <w:spacing w:before="120" w:after="120"/>
              <w:contextualSpacing w:val="0"/>
              <w:jc w:val="both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</w:rPr>
              <w:t>przynajmniej 20 europejskich szkół wyższych do 2024 r.</w:t>
            </w:r>
          </w:p>
          <w:p>
            <w:pPr>
              <w:pStyle w:val="ListParagraph"/>
              <w:numPr>
                <w:ilvl w:val="0"/>
                <w:numId w:val="22"/>
              </w:numPr>
              <w:shd w:val="clear" w:color="auto" w:fill="FFFFFF" w:themeFill="background1"/>
              <w:spacing w:before="120" w:after="120"/>
              <w:ind w:left="4287" w:hanging="3927"/>
              <w:contextualSpacing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-2359660</wp:posOffset>
                      </wp:positionH>
                      <wp:positionV relativeFrom="paragraph">
                        <wp:posOffset>-1699895</wp:posOffset>
                      </wp:positionV>
                      <wp:extent cx="6229350" cy="2085975"/>
                      <wp:effectExtent l="0" t="0" r="19050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9350" cy="2085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185.8pt;margin-top:-133.85pt;width:490.5pt;height:16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" filled="f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-1558290</wp:posOffset>
                  </wp:positionV>
                  <wp:extent cx="2038350" cy="1575435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5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</w:rPr>
              <w:t>pierwsze programy pilotażowe w 2019 r. w ramach Erasmus+</w:t>
            </w:r>
          </w:p>
        </w:tc>
      </w:tr>
    </w:tbl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Ponadto swoją działalność zintensyfikuje </w:t>
      </w:r>
      <w:r>
        <w:rPr>
          <w:rFonts w:ascii="Times New Roman" w:hAnsi="Times New Roman"/>
          <w:b/>
          <w:noProof/>
          <w:sz w:val="24"/>
        </w:rPr>
        <w:t>Szkoła Rządzenia Europejskiego i Transnarodowego</w:t>
      </w:r>
      <w:r>
        <w:rPr>
          <w:rFonts w:ascii="Times New Roman" w:hAnsi="Times New Roman"/>
          <w:noProof/>
          <w:sz w:val="24"/>
        </w:rPr>
        <w:t>, którą utworzono w ramach Europejskiego Instytutu Uniwersyteckiego we Florencji w 2017 r. – w tym za pomocą rozwijania partnerstw z powiązanymi instytucjami – celem przeszkolenia osób zarządzających organizacjami publicznymi, prywatnymi i organizacjami społeczeństwa obywatelskiego.</w:t>
      </w:r>
    </w:p>
    <w:p>
      <w:pPr>
        <w:spacing w:before="120" w:after="120" w:line="240" w:lineRule="auto"/>
        <w:jc w:val="both"/>
        <w:rPr>
          <w:rFonts w:ascii="Times New Roman" w:eastAsia="DengXi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Opracowane zostaną również inne działania mające na celu wspieranie opartego na uczeniu się przez całe życie i stymulowanego innowacjami podejścia do kształcenia i szkolenia. Na przykład zapewnienie wysokiej jakości technicznych i specjalistycznych umiejętności zawodowych jest kluczowe dla wspierania innowacyjności i konkurencyjności. W tym celu Komisja zaproponuje wsparcie utworzenia </w:t>
      </w:r>
      <w:r>
        <w:rPr>
          <w:rFonts w:ascii="Times New Roman" w:hAnsi="Times New Roman"/>
          <w:b/>
          <w:noProof/>
          <w:sz w:val="24"/>
        </w:rPr>
        <w:t>centrów doskonałości kształcenia i szkolenia zawodowego</w:t>
      </w:r>
      <w:r>
        <w:rPr>
          <w:rFonts w:ascii="Times New Roman" w:hAnsi="Times New Roman"/>
          <w:noProof/>
          <w:sz w:val="24"/>
        </w:rPr>
        <w:t>. Centra te powinny łączyć organizatorów kształcenia i szkolenia zawodowego w poszczególnych państwach członkowskich, promować współpracę, w tym z zainteresowanymi stronami, i dążyć do opracowania wysokiej jakości programów nauczania i kwalifikacji kładących nacisk na zapotrzebowanie na umiejętności w poszczególnych sektorach. Powinny napędzać doskonałość i innowacyjność oraz wspierać aktywną rolę odgrywaną przez kształcenie i szkolenie zawodowe w lokalnym i regionalnym rozwoju gospodarczym, w tym jako inkubatory przedsiębiorczości i katalizatory inwestycji.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</w:rPr>
        <w:t xml:space="preserve">Wszystkie te konkretne działania są ze sobą ściśle powiązane. 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Każde z działań ma przypisaną rolę w dążeniu do osiągnięcia ambitnego nadrzędnego celu, jakim jest stworzenie europejskiego obszaru edukacji. Razem te różne inicjatywy stworzą synergie, na przykład: </w:t>
      </w:r>
    </w:p>
    <w:p>
      <w:pPr>
        <w:pStyle w:val="ListContinue"/>
        <w:spacing w:before="120" w:line="240" w:lineRule="auto"/>
        <w:contextualSpacing w:val="0"/>
        <w:rPr>
          <w:noProof/>
        </w:rPr>
      </w:pPr>
      <w:r>
        <w:rPr>
          <w:b/>
          <w:noProof/>
        </w:rPr>
        <w:t>mobilność</w:t>
      </w:r>
      <w:r>
        <w:rPr>
          <w:noProof/>
        </w:rPr>
        <w:t xml:space="preserve"> i </w:t>
      </w:r>
      <w:r>
        <w:rPr>
          <w:b/>
          <w:noProof/>
        </w:rPr>
        <w:t>nauka języków</w:t>
      </w:r>
      <w:r>
        <w:rPr>
          <w:noProof/>
        </w:rPr>
        <w:t xml:space="preserve"> wzajemnie się wzmacniają: biegłość w językach obcych zwiększa zainteresowanie studiowaniem za granicą; studiowanie za granicą poprawia umiejętności językowe; </w:t>
      </w:r>
    </w:p>
    <w:p>
      <w:pPr>
        <w:pStyle w:val="ListContinue"/>
        <w:spacing w:before="120" w:line="240" w:lineRule="auto"/>
        <w:contextualSpacing w:val="0"/>
        <w:rPr>
          <w:noProof/>
        </w:rPr>
      </w:pPr>
      <w:r>
        <w:rPr>
          <w:noProof/>
        </w:rPr>
        <w:t xml:space="preserve">nauka języka pozwala lepiej zrozumieć inne </w:t>
      </w:r>
      <w:r>
        <w:rPr>
          <w:b/>
          <w:noProof/>
        </w:rPr>
        <w:t>kultury</w:t>
      </w:r>
      <w:r>
        <w:rPr>
          <w:noProof/>
        </w:rPr>
        <w:t xml:space="preserve"> i własną tożsamość;</w:t>
      </w:r>
    </w:p>
    <w:p>
      <w:pPr>
        <w:pStyle w:val="ListContinue"/>
        <w:spacing w:before="120" w:line="240" w:lineRule="auto"/>
        <w:contextualSpacing w:val="0"/>
        <w:rPr>
          <w:noProof/>
        </w:rPr>
      </w:pPr>
      <w:r>
        <w:rPr>
          <w:b/>
          <w:noProof/>
        </w:rPr>
        <w:t>centra doskonałości kształcenia i szkolenia zawodowego</w:t>
      </w:r>
      <w:r>
        <w:rPr>
          <w:noProof/>
        </w:rPr>
        <w:t xml:space="preserve"> stworzą synergię z uczelniami, tym samym wspólnie przyczyniając się do zapewnienia szeregu umiejętności niezbędnych do wspierania innowacji i konkurencyjności;</w:t>
      </w:r>
    </w:p>
    <w:p>
      <w:pPr>
        <w:pStyle w:val="ListContinue"/>
        <w:spacing w:before="120" w:line="240" w:lineRule="auto"/>
        <w:contextualSpacing w:val="0"/>
        <w:rPr>
          <w:noProof/>
        </w:rPr>
      </w:pPr>
      <w:r>
        <w:rPr>
          <w:noProof/>
        </w:rPr>
        <w:t xml:space="preserve">automatyczne wzajemne </w:t>
      </w:r>
      <w:r>
        <w:rPr>
          <w:b/>
          <w:noProof/>
        </w:rPr>
        <w:t>uznawanie dyplomów</w:t>
      </w:r>
      <w:r>
        <w:rPr>
          <w:noProof/>
        </w:rPr>
        <w:t xml:space="preserve"> i okresów nauki ułatwia dalszą naukę za granicą i zwiększa zapotrzebowanie na mobilność i zainteresowanie nauką języków obcych; </w:t>
      </w:r>
    </w:p>
    <w:p>
      <w:pPr>
        <w:pStyle w:val="ListContinue"/>
        <w:spacing w:before="120" w:line="240" w:lineRule="auto"/>
        <w:contextualSpacing w:val="0"/>
        <w:rPr>
          <w:noProof/>
        </w:rPr>
      </w:pPr>
      <w:r>
        <w:rPr>
          <w:noProof/>
        </w:rPr>
        <w:t xml:space="preserve">większą liczbą mobilnych uczestników programu Erasmus+ można łatwiej zarządzać za pomocą inteligentnego wykorzystania rozwiązań i ułatwień cyfrowych, co stanowi jeden z celów </w:t>
      </w:r>
      <w:r>
        <w:rPr>
          <w:b/>
          <w:noProof/>
        </w:rPr>
        <w:t>europejskiej legitymacji studenckiej</w:t>
      </w:r>
      <w:r>
        <w:rPr>
          <w:noProof/>
        </w:rPr>
        <w:t>;</w:t>
      </w:r>
    </w:p>
    <w:p>
      <w:pPr>
        <w:pStyle w:val="ListContinue"/>
        <w:spacing w:before="120" w:line="240" w:lineRule="auto"/>
        <w:contextualSpacing w:val="0"/>
        <w:rPr>
          <w:noProof/>
        </w:rPr>
      </w:pPr>
      <w:r>
        <w:rPr>
          <w:b/>
          <w:noProof/>
        </w:rPr>
        <w:t>europejskie szkoły wyższe</w:t>
      </w:r>
      <w:r>
        <w:rPr>
          <w:noProof/>
        </w:rPr>
        <w:t xml:space="preserve"> powinny się stać kluczowymi elementami europejskiego obszaru edukacji dzięki przeniesieniu współpracy transgranicznej na nowy, bardziej ambitny poziom, zwiększaniu mobilności studentów i nauczycieli oraz zachęcaniu do nauki języków, jednocześnie przyspieszając upowszechnianie automatycznego uznawania dyplomów.</w:t>
      </w:r>
    </w:p>
    <w:p>
      <w:pPr>
        <w:pStyle w:val="ListNumber"/>
        <w:spacing w:before="120" w:after="120" w:line="240" w:lineRule="auto"/>
        <w:contextualSpacing w:val="0"/>
        <w:jc w:val="both"/>
        <w:rPr>
          <w:noProof/>
        </w:rPr>
      </w:pPr>
      <w:r>
        <w:rPr>
          <w:noProof/>
        </w:rPr>
        <w:t xml:space="preserve">Wnioski i perspektywy na przyszłość 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</w:rPr>
        <w:t>W ramach programu działań politycznych</w:t>
      </w:r>
      <w:r>
        <w:rPr>
          <w:rFonts w:ascii="Times New Roman" w:hAnsi="Times New Roman"/>
          <w:noProof/>
          <w:sz w:val="24"/>
        </w:rPr>
        <w:t xml:space="preserve"> Unia </w:t>
      </w:r>
      <w:r>
        <w:rPr>
          <w:rFonts w:ascii="Times New Roman" w:hAnsi="Times New Roman"/>
          <w:b/>
          <w:noProof/>
          <w:sz w:val="24"/>
        </w:rPr>
        <w:t>traktuje priorytetowo</w:t>
      </w:r>
      <w:r>
        <w:rPr>
          <w:rFonts w:ascii="Times New Roman" w:hAnsi="Times New Roman"/>
          <w:noProof/>
          <w:sz w:val="24"/>
        </w:rPr>
        <w:t xml:space="preserve"> </w:t>
      </w:r>
      <w:r>
        <w:rPr>
          <w:rFonts w:ascii="Times New Roman" w:hAnsi="Times New Roman"/>
          <w:b/>
          <w:noProof/>
          <w:sz w:val="24"/>
        </w:rPr>
        <w:t>młodzież, kształcenie, szkolenie i kulturę</w:t>
      </w:r>
      <w:r>
        <w:rPr>
          <w:rFonts w:ascii="Times New Roman" w:hAnsi="Times New Roman"/>
          <w:noProof/>
          <w:sz w:val="24"/>
        </w:rPr>
        <w:t>, w szczególności od czasu spotkania przywódców w Göteborgu i posiedzenia Rady Europejskiej w grudniu 2017 r. W ramach agendy przywódców przewidziano przeprowadzenie podsumowania na szczycie w Sybinie w 2019 r. Za pomocą pakietów przyjętych w styczniu 2018 r.</w:t>
      </w:r>
      <w:r>
        <w:rPr>
          <w:rStyle w:val="FootnoteReference"/>
          <w:rFonts w:ascii="Times New Roman" w:hAnsi="Times New Roman"/>
          <w:noProof/>
          <w:sz w:val="24"/>
        </w:rPr>
        <w:footnoteReference w:id="23"/>
      </w:r>
      <w:r>
        <w:rPr>
          <w:rFonts w:ascii="Times New Roman" w:hAnsi="Times New Roman"/>
          <w:noProof/>
          <w:sz w:val="24"/>
        </w:rPr>
        <w:t xml:space="preserve"> i w dniu dzisiejszym Komisja realizuje ambitny zestaw działań mających na celu wsparcie wysiłków państw członkowskich oraz zwiększenie odporności obywateli w świecie różnorodności, mobilności, migracji, globalizacji i zmian technologicznych. </w:t>
      </w:r>
      <w:r>
        <w:rPr>
          <w:rFonts w:ascii="Times New Roman" w:hAnsi="Times New Roman"/>
          <w:b/>
          <w:noProof/>
          <w:sz w:val="24"/>
        </w:rPr>
        <w:t>Komisja</w:t>
      </w:r>
      <w:r>
        <w:rPr>
          <w:rFonts w:ascii="Times New Roman" w:hAnsi="Times New Roman"/>
          <w:noProof/>
          <w:sz w:val="24"/>
        </w:rPr>
        <w:t xml:space="preserve"> będzie kontynuować działania we współpracy z Radą i państwami członkowskimi, w szczególności poprzez:</w:t>
      </w:r>
    </w:p>
    <w:p>
      <w:pPr>
        <w:pStyle w:val="ListContinue"/>
        <w:spacing w:before="120" w:line="240" w:lineRule="auto"/>
        <w:contextualSpacing w:val="0"/>
        <w:rPr>
          <w:noProof/>
        </w:rPr>
      </w:pPr>
      <w:r>
        <w:rPr>
          <w:noProof/>
        </w:rPr>
        <w:t xml:space="preserve">dążenie do stworzenia </w:t>
      </w:r>
      <w:r>
        <w:rPr>
          <w:b/>
          <w:noProof/>
        </w:rPr>
        <w:t>europejskiego obszaru edukacji</w:t>
      </w:r>
      <w:r>
        <w:rPr>
          <w:noProof/>
        </w:rPr>
        <w:t>, który ułatwi mobilność i współpracę transgraniczną, wesprze reformy i w pełni wykorzysta dostępne narzędzia i programy. Cel ten zostanie osiągnięty poprzez:</w:t>
      </w:r>
    </w:p>
    <w:p>
      <w:pPr>
        <w:pStyle w:val="ListBullet4"/>
        <w:spacing w:before="120" w:after="120" w:line="240" w:lineRule="auto"/>
        <w:contextualSpacing w:val="0"/>
        <w:rPr>
          <w:noProof/>
        </w:rPr>
      </w:pPr>
      <w:r>
        <w:rPr>
          <w:noProof/>
        </w:rPr>
        <w:t xml:space="preserve">przedstawienie wniosku w sprawie </w:t>
      </w:r>
      <w:r>
        <w:rPr>
          <w:b/>
          <w:noProof/>
        </w:rPr>
        <w:t>programu będącego kontynuacją Erasmus+</w:t>
      </w:r>
      <w:r>
        <w:rPr>
          <w:noProof/>
        </w:rPr>
        <w:t xml:space="preserve">, który ma być solidniejszy i bardziej włączający, oraz wniosku w sprawie kontynuacji </w:t>
      </w:r>
      <w:r>
        <w:rPr>
          <w:b/>
          <w:noProof/>
        </w:rPr>
        <w:t>Europejskiego Korpusu Solidarności</w:t>
      </w:r>
      <w:r>
        <w:rPr>
          <w:noProof/>
        </w:rPr>
        <w:t xml:space="preserve">; </w:t>
      </w:r>
    </w:p>
    <w:p>
      <w:pPr>
        <w:pStyle w:val="ListBullet4"/>
        <w:spacing w:before="120" w:after="120" w:line="240" w:lineRule="auto"/>
        <w:contextualSpacing w:val="0"/>
        <w:rPr>
          <w:noProof/>
        </w:rPr>
      </w:pPr>
      <w:r>
        <w:rPr>
          <w:noProof/>
        </w:rPr>
        <w:t xml:space="preserve">przedstawienie do 2020 r. wniosków w sprawie unowocześnienia i wzmocnienia </w:t>
      </w:r>
      <w:r>
        <w:rPr>
          <w:b/>
          <w:noProof/>
        </w:rPr>
        <w:t>współpracy w dziedzinie kształcenia i szkolenia na szczeblu UE</w:t>
      </w:r>
      <w:r>
        <w:rPr>
          <w:noProof/>
        </w:rPr>
        <w:t xml:space="preserve">, aby wspierać sprawniejsze wzajemne uczenie się i narodowe starania na rzecz reform; </w:t>
      </w:r>
    </w:p>
    <w:p>
      <w:pPr>
        <w:pStyle w:val="ListBullet4"/>
        <w:spacing w:before="120" w:after="120" w:line="240" w:lineRule="auto"/>
        <w:contextualSpacing w:val="0"/>
        <w:rPr>
          <w:noProof/>
        </w:rPr>
      </w:pPr>
      <w:r>
        <w:rPr>
          <w:noProof/>
        </w:rPr>
        <w:t xml:space="preserve">kontynuację ścisłej współpracy z państwami członkowskimi i Radą w dążeniu do opracowania włączających, opartych na uczeniu się przez całe życie i stymulowanych innowacjami podejść do kształcenia i szkolenia; </w:t>
      </w:r>
    </w:p>
    <w:p>
      <w:pPr>
        <w:pStyle w:val="ListContinue"/>
        <w:spacing w:before="120" w:line="240" w:lineRule="auto"/>
        <w:contextualSpacing w:val="0"/>
        <w:rPr>
          <w:noProof/>
        </w:rPr>
      </w:pPr>
      <w:r>
        <w:rPr>
          <w:noProof/>
        </w:rPr>
        <w:t xml:space="preserve">zajęcie się kwestią prawnych i finansowych warunków ramowych ułatwiających rozwój </w:t>
      </w:r>
      <w:r>
        <w:rPr>
          <w:b/>
          <w:noProof/>
        </w:rPr>
        <w:t>sektora kultury i sektora kreatywnego</w:t>
      </w:r>
      <w:r>
        <w:rPr>
          <w:noProof/>
        </w:rPr>
        <w:t xml:space="preserve"> oraz </w:t>
      </w:r>
      <w:r>
        <w:rPr>
          <w:b/>
          <w:noProof/>
        </w:rPr>
        <w:t>mobilność osób zawodowo zajmujących się sektorem kultury i sektorem kreatywnym</w:t>
      </w:r>
      <w:r>
        <w:rPr>
          <w:noProof/>
        </w:rPr>
        <w:t>.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Wzmacnianie wymiarów projektu europejskiego dotyczących młodzieży, kształcenia, szkolenia i kultury pomoże w stworzeniu Unii, która </w:t>
      </w:r>
      <w:r>
        <w:rPr>
          <w:rFonts w:ascii="Times New Roman" w:hAnsi="Times New Roman"/>
          <w:b/>
          <w:noProof/>
          <w:sz w:val="24"/>
        </w:rPr>
        <w:t>wzmacnia pozycję, jest świadoma swoich osiągnięć i w sposób zdecydowany będzie rozwiązywać przyszłe wyzwania</w:t>
      </w:r>
      <w:r>
        <w:rPr>
          <w:rFonts w:ascii="Times New Roman" w:hAnsi="Times New Roman"/>
          <w:noProof/>
          <w:sz w:val="24"/>
        </w:rPr>
        <w:t xml:space="preserve">: </w:t>
      </w:r>
    </w:p>
    <w:p>
      <w:pPr>
        <w:pStyle w:val="ListContinue"/>
        <w:spacing w:before="120" w:line="240" w:lineRule="auto"/>
        <w:contextualSpacing w:val="0"/>
        <w:rPr>
          <w:noProof/>
        </w:rPr>
      </w:pPr>
      <w:r>
        <w:rPr>
          <w:noProof/>
        </w:rPr>
        <w:t xml:space="preserve">Unii, która jest </w:t>
      </w:r>
      <w:r>
        <w:rPr>
          <w:b/>
          <w:noProof/>
        </w:rPr>
        <w:t>bliżej swoich obywateli</w:t>
      </w:r>
      <w:r>
        <w:rPr>
          <w:noProof/>
        </w:rPr>
        <w:t xml:space="preserve">, rozwiewa ich obawy i spełnia ich oczekiwania; </w:t>
      </w:r>
    </w:p>
    <w:p>
      <w:pPr>
        <w:pStyle w:val="ListContinue"/>
        <w:spacing w:before="120" w:line="240" w:lineRule="auto"/>
        <w:contextualSpacing w:val="0"/>
        <w:rPr>
          <w:noProof/>
        </w:rPr>
      </w:pPr>
      <w:r>
        <w:rPr>
          <w:noProof/>
        </w:rPr>
        <w:t xml:space="preserve">Unii, która </w:t>
      </w:r>
      <w:r>
        <w:rPr>
          <w:b/>
          <w:noProof/>
        </w:rPr>
        <w:t>jasno określa, jakie wartości przyświecają projektowi europejskiemu</w:t>
      </w:r>
      <w:r>
        <w:rPr>
          <w:noProof/>
        </w:rPr>
        <w:t xml:space="preserve">: pokój, bezpieczeństwo, wolność, demokracja, równość, praworządność, solidarność i wzajemny szacunek, otwarte rynki, zrównoważony wzrost gospodarczy i włączenie społeczne oraz sprawiedliwość społeczna; </w:t>
      </w:r>
    </w:p>
    <w:p>
      <w:pPr>
        <w:pStyle w:val="ListContinue"/>
        <w:spacing w:before="120" w:line="240" w:lineRule="auto"/>
        <w:contextualSpacing w:val="0"/>
        <w:rPr>
          <w:noProof/>
        </w:rPr>
      </w:pPr>
      <w:r>
        <w:rPr>
          <w:noProof/>
        </w:rPr>
        <w:t xml:space="preserve">Unii, która zwiększa świadomość </w:t>
      </w:r>
      <w:r>
        <w:rPr>
          <w:b/>
          <w:noProof/>
        </w:rPr>
        <w:t>różnorodności</w:t>
      </w:r>
      <w:r>
        <w:rPr>
          <w:noProof/>
        </w:rPr>
        <w:t xml:space="preserve"> kulturowej i </w:t>
      </w:r>
      <w:r>
        <w:rPr>
          <w:b/>
          <w:noProof/>
        </w:rPr>
        <w:t>poczucie przynależności do wspólnoty Europejczyków</w:t>
      </w:r>
      <w:r>
        <w:rPr>
          <w:noProof/>
        </w:rPr>
        <w:t>.</w:t>
      </w:r>
    </w:p>
    <w:p>
      <w:pPr>
        <w:spacing w:before="120"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</w:rPr>
        <w:t xml:space="preserve">Opierając się na rozmowach w Göteborgu i działaniach, do przeprowadzenia których wezwano na szczycie Rady Europejskiej w grudniu 2017 r., przywódcy będą w stanie na spotkaniu w Sybinie wykorzystać edukację i kulturę przy tworzeniu fundamentów </w:t>
      </w:r>
      <w:r>
        <w:rPr>
          <w:rFonts w:ascii="Times New Roman" w:hAnsi="Times New Roman"/>
          <w:b/>
          <w:noProof/>
          <w:sz w:val="24"/>
        </w:rPr>
        <w:t>bardziej zjednoczonej, silniejszej i bardziej demokratycznej Unii</w:t>
      </w:r>
      <w:r>
        <w:rPr>
          <w:rFonts w:ascii="Times New Roman" w:hAnsi="Times New Roman"/>
          <w:noProof/>
          <w:sz w:val="24"/>
        </w:rPr>
        <w:t xml:space="preserve">. </w:t>
      </w:r>
    </w:p>
    <w:sectPr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1417" w:bottom="1134" w:left="1417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  <w:endnote w:type="continuationNotice" w:id="1">
    <w:p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PL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901476105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tabs>
            <w:tab w:val="left" w:pos="4320"/>
          </w:tabs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</w:t>
        </w:r>
        <w:r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  <w:footnote w:type="continuationNotice" w:id="1">
    <w:p>
      <w:pPr>
        <w:spacing w:after="0" w:line="240" w:lineRule="auto"/>
      </w:pPr>
    </w:p>
  </w:footnote>
  <w:footnote w:id="2">
    <w:p>
      <w:pPr>
        <w:pStyle w:val="FootnoteText"/>
        <w:ind w:left="240" w:hanging="240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/>
        </w:rPr>
        <w:footnoteRef/>
      </w:r>
      <w:r>
        <w:tab/>
      </w:r>
      <w:r>
        <w:rPr>
          <w:rFonts w:ascii="Times New Roman" w:hAnsi="Times New Roman"/>
        </w:rPr>
        <w:t xml:space="preserve">Biała księga w sprawie przyszłości Europy.  </w:t>
      </w:r>
      <w:hyperlink r:id="rId1">
        <w:r>
          <w:rPr>
            <w:rFonts w:ascii="Times New Roman" w:hAnsi="Times New Roman"/>
          </w:rPr>
          <w:t>Refleksje i scenariusze dla UE-27 do 2025 r.</w:t>
        </w:r>
      </w:hyperlink>
      <w:r>
        <w:rPr>
          <w:rFonts w:ascii="Times New Roman" w:hAnsi="Times New Roman"/>
        </w:rPr>
        <w:t xml:space="preserve"> (COM(2017) 2025).</w:t>
      </w:r>
    </w:p>
  </w:footnote>
  <w:footnote w:id="3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/>
        </w:rPr>
        <w:footnoteRef/>
      </w:r>
      <w:r>
        <w:tab/>
      </w:r>
      <w:r>
        <w:rPr>
          <w:rFonts w:ascii="Times New Roman" w:hAnsi="Times New Roman"/>
        </w:rPr>
        <w:t xml:space="preserve">Filar praw socjalnych oparto na wcześniejszych inicjatywach, których celem było budowanie bardziej społecznej Europy, w tym na Karcie praw podstawowych Unii Europejskiej. </w:t>
      </w:r>
    </w:p>
  </w:footnote>
  <w:footnote w:id="4">
    <w:p>
      <w:pPr>
        <w:pStyle w:val="FootnoteText"/>
        <w:ind w:left="240" w:hanging="240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/>
        </w:rPr>
        <w:footnoteRef/>
      </w:r>
      <w:r>
        <w:tab/>
      </w:r>
      <w:r>
        <w:rPr>
          <w:rFonts w:ascii="Times New Roman" w:hAnsi="Times New Roman"/>
        </w:rPr>
        <w:t>„Każdy ma prawo do edukacji włączającej, charakteryzującej się dobrą jakością, szkoleń i uczenia się przez całe życie w celu utrzymania i nabywania umiejętności, które pozwolą mu w pełni uczestniczyć w życiu społeczeństwa i skutecznie radzić sobie ze zmianami na rynku pracy”. Źródło: Międzyinstytucjonalna proklamacja Europejskiego filaru praw socjalnych (2017/C 428/09).</w:t>
      </w:r>
    </w:p>
  </w:footnote>
  <w:footnote w:id="5">
    <w:p>
      <w:pPr>
        <w:pStyle w:val="FootnoteText"/>
        <w:ind w:left="240" w:hanging="240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/>
        </w:rPr>
        <w:footnoteRef/>
      </w:r>
      <w:r>
        <w:tab/>
      </w:r>
      <w:hyperlink r:id="rId2">
        <w:r>
          <w:rPr>
            <w:rStyle w:val="Hyperlink1"/>
            <w:rFonts w:ascii="Times New Roman" w:hAnsi="Times New Roman"/>
          </w:rPr>
          <w:t>http://europa.eu/rapid/press-release_STATEMENT-17-767_pl.pdf</w:t>
        </w:r>
      </w:hyperlink>
    </w:p>
  </w:footnote>
  <w:footnote w:id="6">
    <w:p>
      <w:pPr>
        <w:pStyle w:val="FootnoteText"/>
        <w:ind w:left="240" w:hanging="240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/>
        </w:rPr>
        <w:footnoteRef/>
      </w:r>
      <w:r>
        <w:tab/>
      </w:r>
      <w:r>
        <w:rPr>
          <w:rFonts w:ascii="Times New Roman" w:hAnsi="Times New Roman"/>
        </w:rPr>
        <w:t>W komunikacie Komisji w sprawie inwestowania w młodzież Europy przedstawiono przegląd tych działań (COM(2016) 940).</w:t>
      </w:r>
    </w:p>
  </w:footnote>
  <w:footnote w:id="7">
    <w:p>
      <w:pPr>
        <w:pStyle w:val="FootnoteText"/>
        <w:ind w:left="240" w:hanging="240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/>
        </w:rPr>
        <w:footnoteRef/>
      </w:r>
      <w:r>
        <w:tab/>
      </w:r>
      <w:r>
        <w:rPr>
          <w:rFonts w:ascii="Times New Roman" w:hAnsi="Times New Roman"/>
        </w:rPr>
        <w:t>Konkluzje Rady w sprawie strategicznych perspektyw europejskiej współpracy na rzecz młodzieży po roku 2018, maj 2017 r.</w:t>
      </w:r>
    </w:p>
  </w:footnote>
  <w:footnote w:id="8">
    <w:p>
      <w:pPr>
        <w:pStyle w:val="FootnoteText"/>
        <w:ind w:left="284" w:hanging="284"/>
        <w:jc w:val="both"/>
      </w:pPr>
      <w:r>
        <w:rPr>
          <w:rStyle w:val="FootnoteReference"/>
        </w:rPr>
        <w:footnoteRef/>
      </w:r>
      <w:r>
        <w:tab/>
      </w:r>
      <w:r>
        <w:rPr>
          <w:rFonts w:ascii="Times New Roman" w:hAnsi="Times New Roman"/>
        </w:rPr>
        <w:t xml:space="preserve">Zob. również komunikaty Komisji „Rozwój szkół i doskonały poziom nauczania warunkiem dobrego startu życiowego” (COM(2017) 248) oraz „Odnowiony program UE dla szkolnictwa wyższego” (COM(2017) 247). </w:t>
      </w:r>
    </w:p>
  </w:footnote>
  <w:footnote w:id="9">
    <w:p>
      <w:pPr>
        <w:pStyle w:val="FootnoteText"/>
        <w:tabs>
          <w:tab w:val="left" w:pos="2415"/>
        </w:tabs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/>
        </w:rPr>
        <w:footnoteRef/>
      </w:r>
      <w:r>
        <w:tab/>
      </w:r>
      <w:r>
        <w:rPr>
          <w:rFonts w:ascii="Times New Roman" w:hAnsi="Times New Roman"/>
        </w:rPr>
        <w:t>Komunikat Komisji „Wzmocnienie tożsamości europejskiej dzięki edukacji i kulturze” (COM(2017) 673).</w:t>
      </w:r>
    </w:p>
  </w:footnote>
  <w:footnote w:id="10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/>
        </w:rPr>
        <w:footnoteRef/>
      </w:r>
      <w:r>
        <w:tab/>
      </w:r>
      <w:r>
        <w:rPr>
          <w:rFonts w:ascii="Times New Roman" w:hAnsi="Times New Roman"/>
        </w:rPr>
        <w:t>Komisja przedstawiła plan działania w dziedzinie edukacji cyfrowej (COM(2018) 22), wniosek dotyczący zalecenia Rady w sprawie promowania wspólnych wartości, edukacji włączającej i europejskiego wymiaru nauczania (COM(2018) 23) oraz wniosek dotyczący zalecenia Rady w sprawie kompetencji kluczowych w uczeniu się przez całe życie (COM(2018) 24). Ponadto w kwietniu 2018 r. Komisja przedstawiła również komunikaty w sprawie zwalczania dezinformacji (COM(2018)236) oraz w sprawie sztucznej inteligencji (COM(2018)237).</w:t>
      </w:r>
    </w:p>
  </w:footnote>
  <w:footnote w:id="11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/>
        </w:rPr>
        <w:footnoteRef/>
      </w:r>
      <w:r>
        <w:tab/>
      </w:r>
      <w:r>
        <w:rPr>
          <w:rFonts w:ascii="Times New Roman" w:hAnsi="Times New Roman"/>
        </w:rPr>
        <w:t xml:space="preserve">W następstwie wniosku Komisji Europejskiej Rada Europejska podjęła decyzję o zorganizowaniu europejskiego spotkania na szczycie w Sybinie w Rumunii w maju 2019 r. Celem szczytu jest podsumowanie zmian, które zaszły w obszarach określonych w ramach agendy przywódców, i przygotowanie się na przyszłość Unii Europejskiej składającej się z 27 państw członkowskich. </w:t>
      </w:r>
    </w:p>
  </w:footnote>
  <w:footnote w:id="12">
    <w:p>
      <w:pPr>
        <w:pStyle w:val="FootnoteText"/>
        <w:ind w:left="240" w:hanging="240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/>
        </w:rPr>
        <w:footnoteRef/>
      </w:r>
      <w:r>
        <w:tab/>
      </w:r>
      <w:r>
        <w:rPr>
          <w:rFonts w:ascii="Times New Roman" w:hAnsi="Times New Roman"/>
        </w:rPr>
        <w:t>Zalecenie Rady z dnia 22 kwietnia 2013 r. w sprawie ustanowienia gwarancji dla młodzieży.</w:t>
      </w:r>
    </w:p>
  </w:footnote>
  <w:footnote w:id="13">
    <w:p>
      <w:pPr>
        <w:pStyle w:val="Default"/>
        <w:ind w:left="240" w:hanging="240"/>
        <w:jc w:val="both"/>
      </w:pPr>
      <w:r>
        <w:rPr>
          <w:rStyle w:val="FootnoteReference"/>
          <w:sz w:val="20"/>
        </w:rPr>
        <w:footnoteRef/>
      </w:r>
      <w:r>
        <w:tab/>
      </w:r>
      <w:r>
        <w:rPr>
          <w:sz w:val="20"/>
        </w:rPr>
        <w:t>Konkluzje Rady Europejskiej – 7/8 lutego 2013 r.</w:t>
      </w:r>
    </w:p>
  </w:footnote>
  <w:footnote w:id="14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/>
        </w:rPr>
        <w:footnoteRef/>
      </w:r>
      <w:r>
        <w:tab/>
      </w:r>
      <w:r>
        <w:rPr>
          <w:rFonts w:ascii="Times New Roman" w:hAnsi="Times New Roman"/>
          <w:color w:val="000000"/>
        </w:rPr>
        <w:t>Pakiet ten obejmował komunikaty Komisji „Inwestowanie w młodzież Europy” (COM(2016)0940), „Europejski Korpus Solidarności” (COM(2016)0942) oraz „Poprawa i modernizacja edukacji” (COM (2016)0941).</w:t>
      </w:r>
    </w:p>
  </w:footnote>
  <w:footnote w:id="15">
    <w:p>
      <w:pPr>
        <w:pStyle w:val="FootnoteText"/>
        <w:ind w:left="240" w:hanging="240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/>
        </w:rPr>
        <w:footnoteRef/>
      </w:r>
      <w:r>
        <w:tab/>
      </w:r>
      <w:r>
        <w:rPr>
          <w:rFonts w:ascii="Times New Roman" w:hAnsi="Times New Roman"/>
        </w:rPr>
        <w:t>Komunikat Komisji „Nowy europejski program na rzecz umiejętności; Wspólne działania na rzecz wzmocnienia kapitału ludzkiego, zwiększania szans na zatrudnienie i konkurencyjności. (COM(2016) 381).</w:t>
      </w:r>
    </w:p>
  </w:footnote>
  <w:footnote w:id="16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/>
        </w:rPr>
        <w:footnoteRef/>
      </w:r>
      <w:r>
        <w:tab/>
      </w:r>
      <w:r>
        <w:rPr>
          <w:rFonts w:ascii="Times New Roman" w:hAnsi="Times New Roman"/>
          <w:color w:val="000000"/>
        </w:rPr>
        <w:t>Zalecenie Rady w sprawie ścieżek poprawy umiejętności: nowe możliwości dla dorosłych (2016/C484/01).</w:t>
      </w:r>
    </w:p>
  </w:footnote>
  <w:footnote w:id="17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/>
        </w:rPr>
        <w:footnoteRef/>
      </w:r>
      <w:r>
        <w:tab/>
      </w:r>
      <w:r>
        <w:rPr>
          <w:rFonts w:ascii="Times New Roman" w:hAnsi="Times New Roman"/>
          <w:color w:val="000000"/>
        </w:rPr>
        <w:t>Zalecenie Rady</w:t>
      </w:r>
      <w:r>
        <w:rPr>
          <w:rFonts w:ascii="Times New Roman" w:hAnsi="Times New Roman"/>
        </w:rPr>
        <w:t xml:space="preserve"> w sprawie europejskich ram jakości i skuteczności przygotowania zawodowego (2018/C153/01).</w:t>
      </w:r>
    </w:p>
  </w:footnote>
  <w:footnote w:id="18">
    <w:p>
      <w:pPr>
        <w:pStyle w:val="FootnoteText"/>
        <w:ind w:left="284" w:hanging="284"/>
        <w:jc w:val="both"/>
      </w:pPr>
      <w:r>
        <w:rPr>
          <w:rStyle w:val="FootnoteReference"/>
          <w:rFonts w:ascii="Times New Roman" w:hAnsi="Times New Roman"/>
        </w:rPr>
        <w:footnoteRef/>
      </w:r>
      <w:r>
        <w:tab/>
      </w:r>
      <w:r>
        <w:rPr>
          <w:rFonts w:ascii="Times New Roman" w:hAnsi="Times New Roman"/>
        </w:rPr>
        <w:t>W tym określone w komunikatach Komisji „Rozwój szkół i doskonały poziom nauczania warunkiem dobrego startu życiowego” (COM(2017) 248) oraz „Odnowiony program UE dla szkolnictwa wyższego” (COM(2017) 247) z maja 2017 r.</w:t>
      </w:r>
    </w:p>
  </w:footnote>
  <w:footnote w:id="19">
    <w:p>
      <w:pPr>
        <w:pStyle w:val="Heading3"/>
        <w:spacing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/>
          <w:color w:val="auto"/>
          <w:sz w:val="20"/>
        </w:rPr>
        <w:footnoteRef/>
      </w:r>
      <w:r>
        <w:tab/>
      </w:r>
      <w:r>
        <w:rPr>
          <w:rFonts w:ascii="Times New Roman" w:hAnsi="Times New Roman"/>
          <w:color w:val="auto"/>
          <w:sz w:val="20"/>
        </w:rPr>
        <w:t xml:space="preserve">Do przykładów należą porozumienia zawarte w regionach bałtyckim, nordyckim i w Beneluksie. </w:t>
      </w:r>
    </w:p>
  </w:footnote>
  <w:footnote w:id="20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/>
        </w:rPr>
        <w:footnoteRef/>
      </w:r>
      <w:r>
        <w:tab/>
      </w:r>
      <w:r>
        <w:rPr>
          <w:rFonts w:ascii="Times New Roman" w:hAnsi="Times New Roman"/>
        </w:rPr>
        <w:t>Projekty wspierane w ramach Erasmus+ oraz instrumentu „Łącząc Europę”</w:t>
      </w:r>
      <w:r>
        <w:t xml:space="preserve"> </w:t>
      </w:r>
      <w:hyperlink r:id="rId3">
        <w:r>
          <w:rPr>
            <w:rStyle w:val="Hyperlink"/>
            <w:rFonts w:ascii="Times New Roman" w:hAnsi="Times New Roman"/>
          </w:rPr>
          <w:t>https://ec.europa.eu/inea/en/connecting-europe-facility/cef-telecom</w:t>
        </w:r>
      </w:hyperlink>
      <w:r>
        <w:t>.</w:t>
      </w:r>
    </w:p>
  </w:footnote>
  <w:footnote w:id="21">
    <w:p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FootnoteReference"/>
        </w:rPr>
        <w:footnoteRef/>
      </w:r>
      <w:r>
        <w:tab/>
      </w:r>
      <w:r>
        <w:rPr>
          <w:rFonts w:ascii="Times New Roman" w:hAnsi="Times New Roman"/>
          <w:sz w:val="20"/>
        </w:rPr>
        <w:t>Zob. komunikat Komisji „Zwiększanie innowacyjności europejskich regionów: Strategie na rzecz trwałego, zrównoważonego wzrostu sprzyjającego włączeniu społecznemu (COM(2017)0376).</w:t>
      </w:r>
    </w:p>
  </w:footnote>
  <w:footnote w:id="22">
    <w:p>
      <w:pPr>
        <w:pStyle w:val="FootnoteText"/>
        <w:ind w:left="240" w:hanging="240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/>
        </w:rPr>
        <w:footnoteRef/>
      </w:r>
      <w:r>
        <w:tab/>
      </w:r>
      <w:r>
        <w:rPr>
          <w:rFonts w:ascii="Times New Roman" w:hAnsi="Times New Roman"/>
        </w:rPr>
        <w:t xml:space="preserve">Istnieje wiele dobrych przykładów sieci transnarodowych oraz inicjatyw UE, takich jak wspólne programy studiów magisterskich Erasmus Mundus, działania „Maria Skłodowska-Curie” oraz Europejski Instytut Innowacji i Technologii. Komisja niedługo opublikuje odwzorowanie modeli współpracy między europejskimi instytucjami szkolnictwa wyższego, wskazując siły napędzające taką współpracę oraz wynikające z niej korzyści, określając wyzwania i przedstawiając ich możliwe rozwiązania. </w:t>
      </w:r>
    </w:p>
  </w:footnote>
  <w:footnote w:id="23">
    <w:p>
      <w:pPr>
        <w:pStyle w:val="FootnoteText"/>
        <w:ind w:left="284" w:hanging="284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/>
        </w:rPr>
        <w:footnoteRef/>
      </w:r>
      <w:r>
        <w:tab/>
      </w:r>
      <w:r>
        <w:rPr>
          <w:rFonts w:ascii="Times New Roman" w:hAnsi="Times New Roman"/>
        </w:rPr>
        <w:t>Zob. przypis 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E5FC966C"/>
    <w:lvl w:ilvl="0">
      <w:start w:val="1"/>
      <w:numFmt w:val="bullet"/>
      <w:pStyle w:val="ListBullet4"/>
      <w:lvlText w:val="o"/>
      <w:lvlJc w:val="left"/>
      <w:pPr>
        <w:ind w:left="1209" w:hanging="360"/>
      </w:pPr>
      <w:rPr>
        <w:rFonts w:ascii="Courier New" w:hAnsi="Courier New" w:cs="Courier New" w:hint="default"/>
      </w:rPr>
    </w:lvl>
  </w:abstractNum>
  <w:abstractNum w:abstractNumId="1">
    <w:nsid w:val="FFFFFF82"/>
    <w:multiLevelType w:val="singleLevel"/>
    <w:tmpl w:val="A80A10F2"/>
    <w:lvl w:ilvl="0">
      <w:start w:val="1"/>
      <w:numFmt w:val="bullet"/>
      <w:pStyle w:val="ListBullet3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</w:abstractNum>
  <w:abstractNum w:abstractNumId="2">
    <w:nsid w:val="FFFFFF83"/>
    <w:multiLevelType w:val="singleLevel"/>
    <w:tmpl w:val="4E56CFD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8"/>
    <w:multiLevelType w:val="singleLevel"/>
    <w:tmpl w:val="0B506E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FFFFFF89"/>
    <w:multiLevelType w:val="singleLevel"/>
    <w:tmpl w:val="26CCB4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75D750F"/>
    <w:multiLevelType w:val="hybridMultilevel"/>
    <w:tmpl w:val="33583F9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195611"/>
    <w:multiLevelType w:val="hybridMultilevel"/>
    <w:tmpl w:val="45B0FE10"/>
    <w:lvl w:ilvl="0" w:tplc="2EB6633A">
      <w:start w:val="1"/>
      <w:numFmt w:val="bullet"/>
      <w:pStyle w:val="ListContinue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>
    <w:nsid w:val="1B775320"/>
    <w:multiLevelType w:val="hybridMultilevel"/>
    <w:tmpl w:val="955A121A"/>
    <w:lvl w:ilvl="0" w:tplc="45F2D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C6DD3"/>
    <w:multiLevelType w:val="hybridMultilevel"/>
    <w:tmpl w:val="2640B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8B2B40"/>
    <w:multiLevelType w:val="hybridMultilevel"/>
    <w:tmpl w:val="5E741654"/>
    <w:lvl w:ilvl="0" w:tplc="CBE4A488">
      <w:start w:val="1"/>
      <w:numFmt w:val="bullet"/>
      <w:pStyle w:val="Style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A76F88"/>
    <w:multiLevelType w:val="hybridMultilevel"/>
    <w:tmpl w:val="2342F2DC"/>
    <w:lvl w:ilvl="0" w:tplc="45F2D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2E2CBF"/>
    <w:multiLevelType w:val="hybridMultilevel"/>
    <w:tmpl w:val="D2E4352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745F37"/>
    <w:multiLevelType w:val="hybridMultilevel"/>
    <w:tmpl w:val="002AB762"/>
    <w:lvl w:ilvl="0" w:tplc="05DE787A">
      <w:start w:val="1"/>
      <w:numFmt w:val="bullet"/>
      <w:pStyle w:val="Style3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40181261"/>
    <w:multiLevelType w:val="hybridMultilevel"/>
    <w:tmpl w:val="887684B0"/>
    <w:lvl w:ilvl="0" w:tplc="45F2D3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1EE08C8"/>
    <w:multiLevelType w:val="hybridMultilevel"/>
    <w:tmpl w:val="39E8D8E0"/>
    <w:lvl w:ilvl="0" w:tplc="45F2D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350E35"/>
    <w:multiLevelType w:val="hybridMultilevel"/>
    <w:tmpl w:val="60C4AEAC"/>
    <w:lvl w:ilvl="0" w:tplc="45F2D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5B3A49"/>
    <w:multiLevelType w:val="hybridMultilevel"/>
    <w:tmpl w:val="A0B6D818"/>
    <w:lvl w:ilvl="0" w:tplc="45F2D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717C1E"/>
    <w:multiLevelType w:val="hybridMultilevel"/>
    <w:tmpl w:val="BBBEE5A2"/>
    <w:lvl w:ilvl="0" w:tplc="45F2D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D880E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310DDF"/>
    <w:multiLevelType w:val="hybridMultilevel"/>
    <w:tmpl w:val="87B22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1D6132"/>
    <w:multiLevelType w:val="hybridMultilevel"/>
    <w:tmpl w:val="0B02A3BA"/>
    <w:lvl w:ilvl="0" w:tplc="45F2D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0F2234"/>
    <w:multiLevelType w:val="hybridMultilevel"/>
    <w:tmpl w:val="62364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A87416">
      <w:numFmt w:val="bullet"/>
      <w:lvlText w:val="•"/>
      <w:lvlJc w:val="left"/>
      <w:pPr>
        <w:ind w:left="1800" w:hanging="720"/>
      </w:pPr>
      <w:rPr>
        <w:rFonts w:ascii="Times New Roman" w:eastAsiaTheme="minorHAnsi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9727C8"/>
    <w:multiLevelType w:val="hybridMultilevel"/>
    <w:tmpl w:val="6FDCD4C0"/>
    <w:lvl w:ilvl="0" w:tplc="12F0CEEA">
      <w:start w:val="1"/>
      <w:numFmt w:val="bullet"/>
      <w:pStyle w:val="Style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3C16E8"/>
    <w:multiLevelType w:val="hybridMultilevel"/>
    <w:tmpl w:val="FA541CBE"/>
    <w:lvl w:ilvl="0" w:tplc="45F2D3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BF3189"/>
    <w:multiLevelType w:val="hybridMultilevel"/>
    <w:tmpl w:val="1BE68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9"/>
  </w:num>
  <w:num w:numId="4">
    <w:abstractNumId w:val="21"/>
  </w:num>
  <w:num w:numId="5">
    <w:abstractNumId w:val="22"/>
  </w:num>
  <w:num w:numId="6">
    <w:abstractNumId w:val="13"/>
  </w:num>
  <w:num w:numId="7">
    <w:abstractNumId w:val="19"/>
  </w:num>
  <w:num w:numId="8">
    <w:abstractNumId w:val="7"/>
  </w:num>
  <w:num w:numId="9">
    <w:abstractNumId w:val="15"/>
  </w:num>
  <w:num w:numId="10">
    <w:abstractNumId w:val="11"/>
  </w:num>
  <w:num w:numId="11">
    <w:abstractNumId w:val="5"/>
  </w:num>
  <w:num w:numId="12">
    <w:abstractNumId w:val="16"/>
  </w:num>
  <w:num w:numId="13">
    <w:abstractNumId w:val="18"/>
  </w:num>
  <w:num w:numId="14">
    <w:abstractNumId w:val="14"/>
  </w:num>
  <w:num w:numId="15">
    <w:abstractNumId w:val="17"/>
  </w:num>
  <w:num w:numId="16">
    <w:abstractNumId w:val="2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8"/>
  </w:num>
  <w:num w:numId="23">
    <w:abstractNumId w:val="6"/>
  </w:num>
  <w:num w:numId="24">
    <w:abstractNumId w:val="4"/>
  </w:num>
  <w:num w:numId="25">
    <w:abstractNumId w:val="2"/>
  </w:num>
  <w:num w:numId="26">
    <w:abstractNumId w:val="1"/>
  </w:num>
  <w:num w:numId="27">
    <w:abstractNumId w:val="12"/>
  </w:num>
  <w:num w:numId="2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YNCH Sarah (EAC)">
    <w15:presenceInfo w15:providerId="None" w15:userId="LYNCH Sarah (EAC)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revisionView w:markup="0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FigNum" w:val="2"/>
    <w:docVar w:name="LW_CORRIGENDUM" w:val="&lt;UNUSED&gt;"/>
    <w:docVar w:name="LW_COVERPAGE_EXISTS" w:val="True"/>
    <w:docVar w:name="LW_COVERPAGE_GUID" w:val="81908DCB-5C50-47F2-87A3-0501775CC080"/>
    <w:docVar w:name="LW_COVERPAGE_TYPE" w:val="1"/>
    <w:docVar w:name="LW_CROSSREFERENCE" w:val="&lt;UNUSED&gt;"/>
    <w:docVar w:name="LW_DocType" w:val="NORMAL"/>
    <w:docVar w:name="LW_EMISSION" w:val="22.5.2018"/>
    <w:docVar w:name="LW_EMISSION_ISODATE" w:val="2018-05-22"/>
    <w:docVar w:name="LW_EMISSION_LOCATION" w:val="BRX"/>
    <w:docVar w:name="LW_EMISSION_PREFIX" w:val="Bruksela, dnia "/>
    <w:docVar w:name="LW_EMISSION_SUFFIX" w:val="r."/>
    <w:docVar w:name="LW_ID_DOCTYPE_NONLW" w:val="CP-014"/>
    <w:docVar w:name="LW_LANGUE" w:val="PL"/>
    <w:docVar w:name="LW_LEVEL_OF_SENSITIVITY" w:val="Standard treatment"/>
    <w:docVar w:name="LW_NOM.INST" w:val="KOMISJA EUROPEJSKA"/>
    <w:docVar w:name="LW_NOM.INST_JOINTDOC" w:val="&lt;EMPTY&gt;"/>
    <w:docVar w:name="LW_PART_NBR" w:val="1"/>
    <w:docVar w:name="LW_PART_NBR_TOTAL" w:val="1"/>
    <w:docVar w:name="LW_REF.INST.NEW" w:val="COM"/>
    <w:docVar w:name="LW_REF.INST.NEW_ADOPTED" w:val="final"/>
    <w:docVar w:name="LW_REF.INST.NEW_TEXT" w:val="(2018) 268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 xsi:nil=&quot;true&quot; /&gt;_x000d__x000a_  &lt;limited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footnote xsi:nil=&quot;true&quot; /&gt;_x000d__x000a_  &lt;isRestricted&gt;false&lt;/isRestricted&gt;_x000d__x000a_&lt;/SensitivityLevel&gt;"/>
    <w:docVar w:name="LW_SUPERTITRE" w:val="&lt;UNUSED&gt;"/>
    <w:docVar w:name="LW_TITRE.OBJ.CP" w:val="Budowa silniejszej Europy: rola polityki dotycz\u261?cej m\u322?odzie\u380?y, edukacji i kultury"/>
    <w:docVar w:name="LW_TYPE.DOC.CP" w:val="KOMUNIKAT KOMISJI DO PARLAMENTU EUROPEJSKIEGO, RADY, EUROPEJSKIEGO KOMITETU EKONOMICZNO-SPO\u321?ECZNEGO I KOMITETU REGIONÓW"/>
    <w:docVar w:name="LW_TYPE.DOC.CP.USERTEXT" w:val="&lt;EMPTY&gt;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pl-P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Pr>
      <w:sz w:val="20"/>
      <w:szCs w:val="20"/>
    </w:rPr>
  </w:style>
  <w:style w:type="character" w:styleId="FootnoteReference">
    <w:name w:val="footnote reference"/>
    <w:aliases w:val="Footnote Reference Superscript,BVI fnr, BVI fnr,Footnote symbol,Footnote reference number,Times 10 Point,Exposant 3 Point,EN Footnote Reference,note TESI,SUPERS,Nota,Footnote number, Char1,Char1,Ref,de nota al pie,E..,Footnote,fr"/>
    <w:basedOn w:val="DefaultParagraphFont"/>
    <w:link w:val="FootnotesymbolCarZchn"/>
    <w:uiPriority w:val="99"/>
    <w:unhideWhenUsed/>
    <w:qFormat/>
    <w:rPr>
      <w:vertAlign w:val="superscript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al"/>
    <w:link w:val="FootnoteReference"/>
    <w:uiPriority w:val="99"/>
    <w:pPr>
      <w:spacing w:before="60" w:after="160" w:line="240" w:lineRule="exact"/>
      <w:ind w:left="357" w:hanging="357"/>
      <w:jc w:val="both"/>
    </w:pPr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customStyle="1" w:styleId="Hyperlink1">
    <w:name w:val="Hyperlink1"/>
    <w:basedOn w:val="DefaultParagraphFont"/>
    <w:uiPriority w:val="99"/>
    <w:unhideWhenUsed/>
    <w:rPr>
      <w:color w:val="0563C1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rFonts w:ascii="Times New Roman" w:eastAsiaTheme="minorEastAsia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Theme="minorEastAsia" w:hAnsi="Times New Roman" w:cs="Times New Roman"/>
      <w:sz w:val="20"/>
      <w:szCs w:val="20"/>
      <w:lang w:eastAsia="pl-PL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eastAsiaTheme="minorEastAsia" w:hAnsi="Times New Roman" w:cs="Times New Roman"/>
      <w:b/>
      <w:bCs/>
      <w:sz w:val="20"/>
      <w:szCs w:val="20"/>
      <w:lang w:eastAsia="pl-PL"/>
    </w:rPr>
  </w:style>
  <w:style w:type="paragraph" w:styleId="ListNumber">
    <w:name w:val="List Number"/>
    <w:basedOn w:val="Normal"/>
    <w:uiPriority w:val="99"/>
    <w:unhideWhenUsed/>
    <w:pPr>
      <w:numPr>
        <w:numId w:val="17"/>
      </w:numPr>
      <w:contextualSpacing/>
    </w:pPr>
    <w:rPr>
      <w:rFonts w:ascii="Times New Roman" w:hAnsi="Times New Roman"/>
      <w:b/>
      <w:sz w:val="24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paragraph" w:customStyle="1" w:styleId="Style1">
    <w:name w:val="Style1"/>
    <w:basedOn w:val="ListContinue2"/>
    <w:qFormat/>
    <w:pPr>
      <w:numPr>
        <w:numId w:val="4"/>
      </w:numPr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ListBullet"/>
    <w:qFormat/>
    <w:pPr>
      <w:numPr>
        <w:numId w:val="3"/>
      </w:numPr>
    </w:pPr>
    <w:rPr>
      <w:rFonts w:cs="Times New Roman"/>
      <w:szCs w:val="24"/>
    </w:r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566"/>
      <w:contextualSpacing/>
    </w:pPr>
  </w:style>
  <w:style w:type="paragraph" w:styleId="ListContinue">
    <w:name w:val="List Continue"/>
    <w:basedOn w:val="Normal"/>
    <w:autoRedefine/>
    <w:uiPriority w:val="99"/>
    <w:unhideWhenUsed/>
    <w:pPr>
      <w:numPr>
        <w:numId w:val="23"/>
      </w:numPr>
      <w:spacing w:after="120"/>
      <w:contextualSpacing/>
      <w:jc w:val="both"/>
    </w:pPr>
    <w:rPr>
      <w:rFonts w:ascii="Times New Roman" w:hAnsi="Times New Roman"/>
      <w:sz w:val="24"/>
    </w:rPr>
  </w:style>
  <w:style w:type="paragraph" w:customStyle="1" w:styleId="Style3">
    <w:name w:val="Style3"/>
    <w:basedOn w:val="ListBullet3"/>
    <w:qFormat/>
    <w:pPr>
      <w:numPr>
        <w:numId w:val="27"/>
      </w:numPr>
    </w:pPr>
    <w:rPr>
      <w:rFonts w:cs="Times New Roman"/>
      <w:szCs w:val="24"/>
    </w:rPr>
  </w:style>
  <w:style w:type="paragraph" w:styleId="ListBullet">
    <w:name w:val="List Bullet"/>
    <w:basedOn w:val="Normal"/>
    <w:uiPriority w:val="99"/>
    <w:unhideWhenUsed/>
    <w:pPr>
      <w:numPr>
        <w:numId w:val="24"/>
      </w:numPr>
      <w:contextualSpacing/>
      <w:jc w:val="both"/>
    </w:pPr>
    <w:rPr>
      <w:rFonts w:ascii="Times New Roman" w:hAnsi="Times New Roman"/>
      <w:sz w:val="24"/>
    </w:rPr>
  </w:style>
  <w:style w:type="paragraph" w:styleId="ListBullet2">
    <w:name w:val="List Bullet 2"/>
    <w:basedOn w:val="Normal"/>
    <w:uiPriority w:val="99"/>
    <w:unhideWhenUsed/>
    <w:pPr>
      <w:numPr>
        <w:numId w:val="25"/>
      </w:numPr>
      <w:contextualSpacing/>
      <w:jc w:val="both"/>
    </w:pPr>
    <w:rPr>
      <w:rFonts w:ascii="Times New Roman" w:hAnsi="Times New Roman"/>
      <w:sz w:val="24"/>
    </w:rPr>
  </w:style>
  <w:style w:type="paragraph" w:styleId="ListBullet3">
    <w:name w:val="List Bullet 3"/>
    <w:basedOn w:val="Normal"/>
    <w:uiPriority w:val="99"/>
    <w:unhideWhenUsed/>
    <w:pPr>
      <w:numPr>
        <w:numId w:val="26"/>
      </w:numPr>
      <w:contextualSpacing/>
      <w:jc w:val="both"/>
    </w:pPr>
    <w:rPr>
      <w:rFonts w:ascii="Times New Roman" w:hAnsi="Times New Roman"/>
      <w:sz w:val="24"/>
    </w:rPr>
  </w:style>
  <w:style w:type="paragraph" w:styleId="ListBullet4">
    <w:name w:val="List Bullet 4"/>
    <w:basedOn w:val="Normal"/>
    <w:uiPriority w:val="99"/>
    <w:unhideWhenUsed/>
    <w:pPr>
      <w:numPr>
        <w:numId w:val="28"/>
      </w:numPr>
      <w:contextualSpacing/>
      <w:jc w:val="both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pl-P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Pr>
      <w:sz w:val="20"/>
      <w:szCs w:val="20"/>
    </w:rPr>
  </w:style>
  <w:style w:type="character" w:styleId="FootnoteReference">
    <w:name w:val="footnote reference"/>
    <w:aliases w:val="Footnote Reference Superscript,BVI fnr, BVI fnr,Footnote symbol,Footnote reference number,Times 10 Point,Exposant 3 Point,EN Footnote Reference,note TESI,SUPERS,Nota,Footnote number, Char1,Char1,Ref,de nota al pie,E..,Footnote,fr"/>
    <w:basedOn w:val="DefaultParagraphFont"/>
    <w:link w:val="FootnotesymbolCarZchn"/>
    <w:uiPriority w:val="99"/>
    <w:unhideWhenUsed/>
    <w:qFormat/>
    <w:rPr>
      <w:vertAlign w:val="superscript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al"/>
    <w:link w:val="FootnoteReference"/>
    <w:uiPriority w:val="99"/>
    <w:pPr>
      <w:spacing w:before="60" w:after="160" w:line="240" w:lineRule="exact"/>
      <w:ind w:left="357" w:hanging="357"/>
      <w:jc w:val="both"/>
    </w:pPr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customStyle="1" w:styleId="Hyperlink1">
    <w:name w:val="Hyperlink1"/>
    <w:basedOn w:val="DefaultParagraphFont"/>
    <w:uiPriority w:val="99"/>
    <w:unhideWhenUsed/>
    <w:rPr>
      <w:color w:val="0563C1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DefaultParagraphFont"/>
    <w:link w:val="FooterSensitivity"/>
    <w:rPr>
      <w:rFonts w:ascii="Times New Roman" w:hAnsi="Times New Roman" w:cs="Times New Roman"/>
      <w:b/>
      <w:sz w:val="32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DefaultParagraphFont"/>
    <w:link w:val="HeaderSensitivity"/>
    <w:rPr>
      <w:rFonts w:ascii="Times New Roman" w:hAnsi="Times New Roman" w:cs="Times New Roman"/>
      <w:b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rFonts w:ascii="Times New Roman" w:eastAsiaTheme="minorEastAsia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Theme="minorEastAsia" w:hAnsi="Times New Roman" w:cs="Times New Roman"/>
      <w:sz w:val="20"/>
      <w:szCs w:val="20"/>
      <w:lang w:eastAsia="pl-PL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eastAsiaTheme="minorEastAsia" w:hAnsi="Times New Roman" w:cs="Times New Roman"/>
      <w:b/>
      <w:bCs/>
      <w:sz w:val="20"/>
      <w:szCs w:val="20"/>
      <w:lang w:eastAsia="pl-PL"/>
    </w:rPr>
  </w:style>
  <w:style w:type="paragraph" w:styleId="ListNumber">
    <w:name w:val="List Number"/>
    <w:basedOn w:val="Normal"/>
    <w:uiPriority w:val="99"/>
    <w:unhideWhenUsed/>
    <w:pPr>
      <w:numPr>
        <w:numId w:val="17"/>
      </w:numPr>
      <w:contextualSpacing/>
    </w:pPr>
    <w:rPr>
      <w:rFonts w:ascii="Times New Roman" w:hAnsi="Times New Roman"/>
      <w:b/>
      <w:sz w:val="24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paragraph" w:customStyle="1" w:styleId="Style1">
    <w:name w:val="Style1"/>
    <w:basedOn w:val="ListContinue2"/>
    <w:qFormat/>
    <w:pPr>
      <w:numPr>
        <w:numId w:val="4"/>
      </w:numPr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ListBullet"/>
    <w:qFormat/>
    <w:pPr>
      <w:numPr>
        <w:numId w:val="3"/>
      </w:numPr>
    </w:pPr>
    <w:rPr>
      <w:rFonts w:cs="Times New Roman"/>
      <w:szCs w:val="24"/>
    </w:r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566"/>
      <w:contextualSpacing/>
    </w:pPr>
  </w:style>
  <w:style w:type="paragraph" w:styleId="ListContinue">
    <w:name w:val="List Continue"/>
    <w:basedOn w:val="Normal"/>
    <w:autoRedefine/>
    <w:uiPriority w:val="99"/>
    <w:unhideWhenUsed/>
    <w:pPr>
      <w:numPr>
        <w:numId w:val="23"/>
      </w:numPr>
      <w:spacing w:after="120"/>
      <w:contextualSpacing/>
      <w:jc w:val="both"/>
    </w:pPr>
    <w:rPr>
      <w:rFonts w:ascii="Times New Roman" w:hAnsi="Times New Roman"/>
      <w:sz w:val="24"/>
    </w:rPr>
  </w:style>
  <w:style w:type="paragraph" w:customStyle="1" w:styleId="Style3">
    <w:name w:val="Style3"/>
    <w:basedOn w:val="ListBullet3"/>
    <w:qFormat/>
    <w:pPr>
      <w:numPr>
        <w:numId w:val="27"/>
      </w:numPr>
    </w:pPr>
    <w:rPr>
      <w:rFonts w:cs="Times New Roman"/>
      <w:szCs w:val="24"/>
    </w:rPr>
  </w:style>
  <w:style w:type="paragraph" w:styleId="ListBullet">
    <w:name w:val="List Bullet"/>
    <w:basedOn w:val="Normal"/>
    <w:uiPriority w:val="99"/>
    <w:unhideWhenUsed/>
    <w:pPr>
      <w:numPr>
        <w:numId w:val="24"/>
      </w:numPr>
      <w:contextualSpacing/>
      <w:jc w:val="both"/>
    </w:pPr>
    <w:rPr>
      <w:rFonts w:ascii="Times New Roman" w:hAnsi="Times New Roman"/>
      <w:sz w:val="24"/>
    </w:rPr>
  </w:style>
  <w:style w:type="paragraph" w:styleId="ListBullet2">
    <w:name w:val="List Bullet 2"/>
    <w:basedOn w:val="Normal"/>
    <w:uiPriority w:val="99"/>
    <w:unhideWhenUsed/>
    <w:pPr>
      <w:numPr>
        <w:numId w:val="25"/>
      </w:numPr>
      <w:contextualSpacing/>
      <w:jc w:val="both"/>
    </w:pPr>
    <w:rPr>
      <w:rFonts w:ascii="Times New Roman" w:hAnsi="Times New Roman"/>
      <w:sz w:val="24"/>
    </w:rPr>
  </w:style>
  <w:style w:type="paragraph" w:styleId="ListBullet3">
    <w:name w:val="List Bullet 3"/>
    <w:basedOn w:val="Normal"/>
    <w:uiPriority w:val="99"/>
    <w:unhideWhenUsed/>
    <w:pPr>
      <w:numPr>
        <w:numId w:val="26"/>
      </w:numPr>
      <w:contextualSpacing/>
      <w:jc w:val="both"/>
    </w:pPr>
    <w:rPr>
      <w:rFonts w:ascii="Times New Roman" w:hAnsi="Times New Roman"/>
      <w:sz w:val="24"/>
    </w:rPr>
  </w:style>
  <w:style w:type="paragraph" w:styleId="ListBullet4">
    <w:name w:val="List Bullet 4"/>
    <w:basedOn w:val="Normal"/>
    <w:uiPriority w:val="99"/>
    <w:unhideWhenUsed/>
    <w:pPr>
      <w:numPr>
        <w:numId w:val="28"/>
      </w:numPr>
      <w:contextualSpacing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2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g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28" Type="http://schemas.microsoft.com/office/2011/relationships/people" Target="people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c.europa.eu/inea/en/connecting-europe-facility/cef-telecom" TargetMode="External"/><Relationship Id="rId2" Type="http://schemas.openxmlformats.org/officeDocument/2006/relationships/hyperlink" Target="http://europa.eu/rapid/press-release_STATEMENT-17-767_pl.pdf" TargetMode="External"/><Relationship Id="rId1" Type="http://schemas.openxmlformats.org/officeDocument/2006/relationships/hyperlink" Target="https://eur-lex.europa.eu/legal-content/PL/TXT/?uri=CELEX:52017DC202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70EB5-B980-4DE3-BB9D-03001D303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14</Pages>
  <Words>3414</Words>
  <Characters>23051</Characters>
  <Application>Microsoft Office Word</Application>
  <DocSecurity>0</DocSecurity>
  <Lines>371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DIGIT/A3</cp:lastModifiedBy>
  <cp:revision>24</cp:revision>
  <cp:lastPrinted>2018-05-03T16:07:00Z</cp:lastPrinted>
  <dcterms:created xsi:type="dcterms:W3CDTF">2018-05-08T08:32:00Z</dcterms:created>
  <dcterms:modified xsi:type="dcterms:W3CDTF">2018-05-25T09:24:00Z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Part">
    <vt:lpwstr>1</vt:lpwstr>
  </property>
  <property fmtid="{D5CDD505-2E9C-101B-9397-08002B2CF9AE}" pid="4" name="Total parts">
    <vt:lpwstr>1</vt:lpwstr>
  </property>
  <property fmtid="{D5CDD505-2E9C-101B-9397-08002B2CF9AE}" pid="5" name="DocStatus">
    <vt:lpwstr>Green</vt:lpwstr>
  </property>
</Properties>
</file>