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3AB50864-09BE-457D-9F1A-1E2A51204919" style="width:450.75pt;height:308.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Sissejuhatus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Käimas on arutelu Euroopa tuleviku kohta. Aasta pärast kohtuvad ELi juhid Rumeenia linnas Sibius, et teha järeldused selle arutelu põhjal, mille komisjon algatas märtsis 2017 oma valge raamatuga Euroopa tuleviku kohta</w:t>
      </w:r>
      <w:r>
        <w:rPr>
          <w:rStyle w:val="FootnoteReference"/>
          <w:rFonts w:ascii="Times New Roman" w:hAnsi="Times New Roman"/>
          <w:noProof/>
          <w:sz w:val="24"/>
        </w:rPr>
        <w:footnoteReference w:id="2"/>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Ühe keskse teemana tuleks tegeleda </w:t>
      </w:r>
      <w:r>
        <w:rPr>
          <w:rFonts w:ascii="Times New Roman" w:hAnsi="Times New Roman"/>
          <w:b/>
          <w:noProof/>
          <w:sz w:val="24"/>
        </w:rPr>
        <w:t>kodanike ootustega</w:t>
      </w:r>
      <w:r>
        <w:rPr>
          <w:rFonts w:ascii="Times New Roman" w:hAnsi="Times New Roman"/>
          <w:noProof/>
          <w:sz w:val="24"/>
        </w:rPr>
        <w:t xml:space="preserve"> ja nende murega tuleviku pärast kiiresti muutuvas maailmas, mis pakub uusi võimalusi, kuid toob kaasa ka ebakindlust. Paljud on mures selle pärast, millises suunas hakkavad meie töökohad arenema, kas heaoluriigid jäävad püsima, kuidas meie demokraatlik ja mitmekesine ühiskond edasi areneb ja milline saab olema Euroopa koht maailmas. Euroopa peab laskma oma kodanikel, eelkõige noortel, kasutada ära kõik võimalused, mida uued tehnoloogiad ja üleilmsed suundumused pakuvad. Haridus ja koolitus sillutavad teed tulevikku, sest need investeeringud on kasulikud nii üksikisiku kui ka ühiskonna jaoks laiemalt.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Nii nagu on sätestatud Euroopa Liidu lepingu artiklis 2, on EL eelkõige väärtuste liit, ning haridusel, koolitusel ja kultuuril on ühiste väärtuste edastamisel ja edendamisel ning vastastikuse mõistmise kujundamisel oluline roll.</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Ka </w:t>
      </w:r>
      <w:r>
        <w:rPr>
          <w:rFonts w:ascii="Times New Roman" w:hAnsi="Times New Roman"/>
          <w:i/>
          <w:noProof/>
          <w:sz w:val="24"/>
        </w:rPr>
        <w:t>majanduslikust küljest</w:t>
      </w:r>
      <w:r>
        <w:rPr>
          <w:rFonts w:ascii="Times New Roman" w:hAnsi="Times New Roman"/>
          <w:noProof/>
          <w:sz w:val="24"/>
        </w:rPr>
        <w:t xml:space="preserve"> on </w:t>
      </w:r>
      <w:r>
        <w:rPr>
          <w:rFonts w:ascii="Times New Roman" w:hAnsi="Times New Roman"/>
          <w:b/>
          <w:noProof/>
          <w:sz w:val="24"/>
        </w:rPr>
        <w:t>Euroopa sotsiaalne turumajandus pidanud</w:t>
      </w:r>
      <w:r>
        <w:rPr>
          <w:rFonts w:ascii="Times New Roman" w:hAnsi="Times New Roman"/>
          <w:noProof/>
          <w:sz w:val="24"/>
        </w:rPr>
        <w:t xml:space="preserve"> vapralt vastu lähiajaloo kõige hullemale majanduskriisile, mis jättis tööturgudele ja organisatsioonidele oma jälje. Pidev töö majandus- ja rahaliidu täiustamiseks tugevdab edaspidi Euroopa majanduslikku baasi veelgi rohkem.</w:t>
      </w:r>
    </w:p>
    <w:p>
      <w:pPr>
        <w:spacing w:before="120" w:after="120" w:line="240" w:lineRule="auto"/>
        <w:jc w:val="both"/>
        <w:rPr>
          <w:rFonts w:ascii="Times New Roman" w:hAnsi="Times New Roman" w:cs="Times New Roman"/>
          <w:noProof/>
          <w:sz w:val="24"/>
          <w:szCs w:val="24"/>
        </w:rPr>
      </w:pPr>
      <w:r>
        <w:rPr>
          <w:rFonts w:ascii="Times New Roman" w:hAnsi="Times New Roman"/>
          <w:i/>
          <w:noProof/>
          <w:sz w:val="24"/>
        </w:rPr>
        <w:t>Sotsiaalsete prioriteetide</w:t>
      </w:r>
      <w:r>
        <w:rPr>
          <w:rFonts w:ascii="Times New Roman" w:hAnsi="Times New Roman"/>
          <w:noProof/>
          <w:sz w:val="24"/>
        </w:rPr>
        <w:t xml:space="preserve"> osas on liit selgelt väljendanud, et Euroopa projekt hõlmab palju rohkemat kui ainult majandust. Euroopa Parlament, nõukogu ja komisjon kuulutasid 2017. aasta novembris ühiselt välja </w:t>
      </w:r>
      <w:r>
        <w:rPr>
          <w:rFonts w:ascii="Times New Roman" w:hAnsi="Times New Roman"/>
          <w:b/>
          <w:noProof/>
          <w:sz w:val="24"/>
        </w:rPr>
        <w:t>Euroopa sotsiaalõiguste samba</w:t>
      </w:r>
      <w:r>
        <w:rPr>
          <w:rStyle w:val="FootnoteReference"/>
          <w:rFonts w:ascii="Times New Roman" w:hAnsi="Times New Roman"/>
          <w:noProof/>
          <w:sz w:val="24"/>
        </w:rPr>
        <w:footnoteReference w:id="3"/>
      </w:r>
      <w:r>
        <w:rPr>
          <w:rFonts w:ascii="Times New Roman" w:hAnsi="Times New Roman"/>
          <w:noProof/>
          <w:sz w:val="24"/>
        </w:rPr>
        <w:t xml:space="preserve"> vastuvõtmise. Selle abil tugevdatakse liidu aluseks olevaid põhimõtteid ja õigusi tööhõive ja sotsiaalvaldkonnas ning selle esmane põhimõte on õigus kvaliteetsele haridusele, koolitusele ja elukestvale õppele</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Noorte-, haridus- ja kultuuripoliitika suurem roll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2017. aasta märtsi Rooma deklaratsioonis</w:t>
      </w:r>
      <w:r>
        <w:rPr>
          <w:rFonts w:ascii="Times New Roman" w:hAnsi="Times New Roman"/>
          <w:noProof/>
          <w:sz w:val="24"/>
          <w:vertAlign w:val="superscript"/>
        </w:rPr>
        <w:footnoteReference w:id="5"/>
      </w:r>
      <w:r>
        <w:rPr>
          <w:rFonts w:ascii="Times New Roman" w:hAnsi="Times New Roman"/>
          <w:noProof/>
          <w:sz w:val="24"/>
        </w:rPr>
        <w:t xml:space="preserve"> andsid ELi juhid lubaduse luua </w:t>
      </w:r>
      <w:r>
        <w:rPr>
          <w:rFonts w:ascii="Times New Roman" w:hAnsi="Times New Roman"/>
          <w:i/>
          <w:noProof/>
          <w:sz w:val="24"/>
        </w:rPr>
        <w:t>„liit, kus noored saavad parima hariduse ja koolituse ning võivad õppida ja leida tööd kogu kontinendil“</w:t>
      </w:r>
      <w:r>
        <w:rPr>
          <w:rFonts w:ascii="Times New Roman" w:hAnsi="Times New Roman"/>
          <w:noProof/>
          <w:sz w:val="24"/>
        </w:rPr>
        <w:t>.</w:t>
      </w:r>
      <w:r>
        <w:rPr>
          <w:noProof/>
        </w:rPr>
        <w:t xml:space="preserve"> </w:t>
      </w:r>
      <w:r>
        <w:rPr>
          <w:rFonts w:ascii="Times New Roman" w:hAnsi="Times New Roman"/>
          <w:i/>
          <w:noProof/>
          <w:sz w:val="24"/>
        </w:rPr>
        <w:t>liit, mis hoiab alal meie kultuuripärandit ja edendab kultuurilist mitmekesisust</w:t>
      </w:r>
      <w:r>
        <w:rPr>
          <w:rFonts w:ascii="Times New Roman" w:hAnsi="Times New Roman"/>
          <w:noProof/>
          <w:sz w:val="24"/>
        </w:rPr>
        <w:t xml:space="preserve">“. Kui me tahame üles ehitada tugevamat Euroopat, peab </w:t>
      </w:r>
      <w:r>
        <w:rPr>
          <w:rFonts w:ascii="Times New Roman" w:hAnsi="Times New Roman"/>
          <w:b/>
          <w:noProof/>
          <w:sz w:val="24"/>
        </w:rPr>
        <w:t>noorte-, kultuuri-,</w:t>
      </w:r>
      <w:r>
        <w:rPr>
          <w:rFonts w:ascii="Times New Roman" w:hAnsi="Times New Roman"/>
          <w:noProof/>
          <w:sz w:val="24"/>
        </w:rPr>
        <w:t xml:space="preserve"> </w:t>
      </w:r>
      <w:r>
        <w:rPr>
          <w:rFonts w:ascii="Times New Roman" w:hAnsi="Times New Roman"/>
          <w:b/>
          <w:noProof/>
          <w:sz w:val="24"/>
        </w:rPr>
        <w:t>haridus- ja koolituspoliitikal</w:t>
      </w:r>
      <w:r>
        <w:rPr>
          <w:rFonts w:ascii="Times New Roman" w:hAnsi="Times New Roman"/>
          <w:noProof/>
          <w:sz w:val="24"/>
        </w:rPr>
        <w:t xml:space="preserve"> olema Euroopa projektis olulisem roll.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Ametis olev komisjon võttis juba varakult meetmeid, et lahendada nende </w:t>
      </w:r>
      <w:r>
        <w:rPr>
          <w:rFonts w:ascii="Times New Roman" w:hAnsi="Times New Roman"/>
          <w:b/>
          <w:noProof/>
          <w:sz w:val="24"/>
        </w:rPr>
        <w:t>noorte</w:t>
      </w:r>
      <w:r>
        <w:rPr>
          <w:rFonts w:ascii="Times New Roman" w:hAnsi="Times New Roman"/>
          <w:noProof/>
          <w:sz w:val="24"/>
        </w:rPr>
        <w:t xml:space="preserve"> olukord, kes pidid kriisi kõige hullema osaga silmitsi seisma, ning et anda neile paremad võimalused aktiivselt Euroopa projektis</w:t>
      </w:r>
      <w:r>
        <w:rPr>
          <w:rStyle w:val="FootnoteReference"/>
          <w:rFonts w:ascii="Times New Roman" w:hAnsi="Times New Roman"/>
          <w:noProof/>
          <w:sz w:val="24"/>
        </w:rPr>
        <w:footnoteReference w:id="6"/>
      </w:r>
      <w:r>
        <w:rPr>
          <w:rFonts w:ascii="Times New Roman" w:hAnsi="Times New Roman"/>
          <w:noProof/>
          <w:sz w:val="24"/>
        </w:rPr>
        <w:t xml:space="preserve"> osaleda. Palju on juba saavutatud. Tuleviku Euroopa ülesehitamine eeldab noorte toetust ja osalust. Seepärast pöörab komisjon koos nõukoguga</w:t>
      </w:r>
      <w:r>
        <w:rPr>
          <w:rStyle w:val="FootnoteReference"/>
          <w:rFonts w:ascii="Times New Roman" w:hAnsi="Times New Roman"/>
          <w:noProof/>
          <w:sz w:val="24"/>
        </w:rPr>
        <w:footnoteReference w:id="7"/>
      </w:r>
      <w:r>
        <w:rPr>
          <w:rFonts w:ascii="Times New Roman" w:hAnsi="Times New Roman"/>
          <w:noProof/>
          <w:sz w:val="24"/>
        </w:rPr>
        <w:t xml:space="preserve"> noortele endiselt palju tähelepanu.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lastRenderedPageBreak/>
        <w:t>Rohkem tähelepanu tuleb pöörata haridusele, koolitusele ja kultuurile,</w:t>
      </w:r>
      <w:r>
        <w:rPr>
          <w:rFonts w:ascii="Times New Roman" w:hAnsi="Times New Roman"/>
          <w:noProof/>
          <w:sz w:val="24"/>
        </w:rPr>
        <w:t xml:space="preserve"> see võimaldab vastavat potentsiaali Euroopa projekti toetamiseks täielikult ära kasutada. Euroopa </w:t>
      </w:r>
      <w:r>
        <w:rPr>
          <w:rFonts w:ascii="Times New Roman" w:hAnsi="Times New Roman"/>
          <w:b/>
          <w:noProof/>
          <w:sz w:val="24"/>
        </w:rPr>
        <w:t>vastupanuvõime</w:t>
      </w:r>
      <w:r>
        <w:rPr>
          <w:rStyle w:val="FootnoteReference"/>
          <w:rFonts w:ascii="Times New Roman" w:hAnsi="Times New Roman"/>
          <w:noProof/>
          <w:sz w:val="24"/>
        </w:rPr>
        <w:footnoteReference w:id="8"/>
      </w:r>
      <w:r>
        <w:rPr>
          <w:rFonts w:ascii="Times New Roman" w:hAnsi="Times New Roman"/>
          <w:noProof/>
          <w:sz w:val="24"/>
        </w:rPr>
        <w:t xml:space="preserve"> suurendamisel on tähtsal kohal investeerimine oskustesse, pädevustesse ja teadmistesse. Sellised investeeringud inimestesse edendavad innovatsiooni, tootlikkust ja konkurentsivõimet, aitavad säilitada tööhõivet ja ületada probleeme, mis tulenevad sellest, et kiiresti areneval tööturul, mida mõjutavad globaliseerumine ja tehnoloogilised muutused, ei vasta oskused enam nõudlusele. </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Teine aspekt on seotud </w:t>
      </w:r>
      <w:r>
        <w:rPr>
          <w:rFonts w:ascii="Times New Roman" w:hAnsi="Times New Roman"/>
          <w:b/>
          <w:noProof/>
          <w:sz w:val="24"/>
        </w:rPr>
        <w:t>mitmekesisusega</w:t>
      </w:r>
      <w:r>
        <w:rPr>
          <w:rFonts w:ascii="Times New Roman" w:hAnsi="Times New Roman"/>
          <w:noProof/>
          <w:sz w:val="24"/>
        </w:rPr>
        <w:t xml:space="preserve">, mis on Euroopa eripära ning innovatsiooni ja loovuse allikas. Tänu haridusele ja kultuurile oleme me teadlikumad Euroopa rikkalikust kultuuripärandist, ajaloost, kogemustest, veendumustest ja väärtustest, mõistame ning hindame seda. See ühendab inimesi piiriüleselt, aitab edendada meeste ja naiste vahelist võrdsust ning annab meile </w:t>
      </w:r>
      <w:r>
        <w:rPr>
          <w:rFonts w:ascii="Times New Roman" w:hAnsi="Times New Roman"/>
          <w:b/>
          <w:noProof/>
          <w:sz w:val="24"/>
        </w:rPr>
        <w:t>ühtekuuluvustunde</w:t>
      </w:r>
      <w:r>
        <w:rPr>
          <w:rFonts w:ascii="Times New Roman" w:hAnsi="Times New Roman"/>
          <w:noProof/>
          <w:sz w:val="24"/>
        </w:rPr>
        <w:t xml:space="preserve">. Haridus, koolitus ja kultuur aitavad meil avastada ja kogeda, </w:t>
      </w:r>
      <w:r>
        <w:rPr>
          <w:rFonts w:ascii="Times New Roman" w:hAnsi="Times New Roman"/>
          <w:i/>
          <w:noProof/>
          <w:sz w:val="24"/>
        </w:rPr>
        <w:t xml:space="preserve">mida tähendab olla eurooplane.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2017. aasta novembris Göteborgis toimunud tippkohtumisel valisid ELi juhid oma tegevuskava aruteluks hariduse ja kultuuri. ELi juhtide arutelu toetas komisjoni panus </w:t>
      </w:r>
      <w:r>
        <w:rPr>
          <w:rFonts w:ascii="Times New Roman" w:hAnsi="Times New Roman"/>
          <w:b/>
          <w:noProof/>
          <w:sz w:val="24"/>
        </w:rPr>
        <w:t>„Euroopa identiteedi tugevdamine hariduse ja kultuuri kaudu“</w:t>
      </w:r>
      <w:r>
        <w:rPr>
          <w:rStyle w:val="FootnoteReference"/>
          <w:rFonts w:ascii="Times New Roman" w:hAnsi="Times New Roman"/>
          <w:noProof/>
          <w:sz w:val="24"/>
        </w:rPr>
        <w:footnoteReference w:id="9"/>
      </w:r>
      <w:r>
        <w:rPr>
          <w:rFonts w:ascii="Times New Roman" w:hAnsi="Times New Roman"/>
          <w:noProof/>
          <w:sz w:val="24"/>
        </w:rPr>
        <w:t xml:space="preserve">, milles komisjon esitas visiooni luua </w:t>
      </w:r>
      <w:r>
        <w:rPr>
          <w:rFonts w:ascii="Times New Roman" w:hAnsi="Times New Roman"/>
          <w:b/>
          <w:noProof/>
          <w:sz w:val="24"/>
        </w:rPr>
        <w:t>Euroopa haridusruum</w:t>
      </w:r>
      <w:r>
        <w:rPr>
          <w:rFonts w:ascii="Times New Roman" w:hAnsi="Times New Roman"/>
          <w:noProof/>
          <w:sz w:val="24"/>
        </w:rPr>
        <w:t>. Arutelul otsustati, et haridus ja kultuur peaksid olema poliitilises tegevuskavas kõige olulisemal kohal. Euroopa seisab silmitsi mitmete probleemidega, sealhulgas populism, ksenofoobia, sallimatus, diskrimineerimine ja väärinfo levik. Lisaks sellele on ainult mõni ELi liikmesriik suutnud hariduse ja koolituse kõikides üksikasjades edukalt tegutseda. Seetõttu on vaja tugevdada liidus just hariduse ja kultuuri mõõdet.</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4102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TRAI chapeau infographics - teachinglearning-ET.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102608"/>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2017. aasta detsembris kutsus </w:t>
      </w:r>
      <w:r>
        <w:rPr>
          <w:rFonts w:ascii="Times New Roman" w:hAnsi="Times New Roman"/>
          <w:b/>
          <w:noProof/>
          <w:sz w:val="24"/>
        </w:rPr>
        <w:t>Euroopa Ülemkogu</w:t>
      </w:r>
      <w:r>
        <w:rPr>
          <w:rFonts w:ascii="Times New Roman" w:hAnsi="Times New Roman"/>
          <w:noProof/>
          <w:sz w:val="24"/>
        </w:rPr>
        <w:t xml:space="preserve"> liikmesriike, nõukogu ja komisjoni üles:</w:t>
      </w:r>
    </w:p>
    <w:p>
      <w:pPr>
        <w:pStyle w:val="ListContinue"/>
        <w:spacing w:before="120" w:line="240" w:lineRule="auto"/>
        <w:contextualSpacing w:val="0"/>
        <w:rPr>
          <w:noProof/>
        </w:rPr>
      </w:pPr>
      <w:r>
        <w:rPr>
          <w:b/>
          <w:noProof/>
        </w:rPr>
        <w:lastRenderedPageBreak/>
        <w:t>jätkama tööd</w:t>
      </w:r>
      <w:r>
        <w:rPr>
          <w:noProof/>
        </w:rPr>
        <w:t xml:space="preserve"> mitme olulise algatusega, sealhulgas programm „Erasmus+“, projekt „Euroopa ülikoolid“, keeleõpe, Euroopa üliõpilaspilet, diplomite vastastikune tunnustamine ja Euroopa kultuuripärandiaasta; </w:t>
      </w:r>
    </w:p>
    <w:p>
      <w:pPr>
        <w:pStyle w:val="ListContinue"/>
        <w:spacing w:before="120" w:line="240" w:lineRule="auto"/>
        <w:contextualSpacing w:val="0"/>
        <w:rPr>
          <w:noProof/>
        </w:rPr>
      </w:pPr>
      <w:r>
        <w:rPr>
          <w:b/>
          <w:noProof/>
        </w:rPr>
        <w:t>uurima võimalikke meetmeid</w:t>
      </w:r>
      <w:r>
        <w:rPr>
          <w:noProof/>
        </w:rPr>
        <w:t xml:space="preserve">, mis on seotud oskuste probleemiga sellistes valdkondades nagu üleminek digitehnoloogiale, küberjulgeolek, meediakirjaoskus ja tehisintellekt; vajadusega kaasava, elukestva ja innovatsioonil põhineva lähenemisviisi järele hariduse ja koolituse valdkonnas; samuti kultuuri- ja loomemajanduse arendamise ning kultuurisektori spetsialistide liikuvuse õigus- ja finantsraamistiku tingimustega.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Vastuseks esitas komisjon 17. jaanuaril 2018 </w:t>
      </w:r>
      <w:r>
        <w:rPr>
          <w:rFonts w:ascii="Times New Roman" w:hAnsi="Times New Roman"/>
          <w:b/>
          <w:noProof/>
          <w:sz w:val="24"/>
        </w:rPr>
        <w:t>esimese meetmepaketi</w:t>
      </w:r>
      <w:r>
        <w:rPr>
          <w:rStyle w:val="FootnoteReference"/>
          <w:rFonts w:ascii="Times New Roman" w:hAnsi="Times New Roman"/>
          <w:noProof/>
          <w:sz w:val="24"/>
        </w:rPr>
        <w:footnoteReference w:id="10"/>
      </w:r>
      <w:r>
        <w:rPr>
          <w:rFonts w:ascii="Times New Roman" w:hAnsi="Times New Roman"/>
          <w:noProof/>
          <w:sz w:val="24"/>
        </w:rPr>
        <w:t xml:space="preserve">, milles käsitletakse võtmepädevusi, digioskusi ning ühiseid väärtusi ja kaasavat haridust.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Käesolev teatis on osa Euroopa Ülemkogu juhistele vastavast </w:t>
      </w:r>
      <w:r>
        <w:rPr>
          <w:rFonts w:ascii="Times New Roman" w:hAnsi="Times New Roman"/>
          <w:b/>
          <w:noProof/>
          <w:sz w:val="24"/>
        </w:rPr>
        <w:t>teisest algatuste paketist</w:t>
      </w:r>
      <w:r>
        <w:rPr>
          <w:rFonts w:ascii="Times New Roman" w:hAnsi="Times New Roman"/>
          <w:noProof/>
          <w:sz w:val="24"/>
        </w:rPr>
        <w:t xml:space="preserve">. See koondab mitmeid noorte-, kultuuri-, haridus- ja koolituspoliitika teemalisi algatusi, et tagada konkurentsivõimelisem, kaasavam ja ühtsem Euroopa. </w:t>
      </w:r>
    </w:p>
    <w:p>
      <w:pPr>
        <w:pStyle w:val="ListBullet2"/>
        <w:spacing w:before="120" w:after="120" w:line="240" w:lineRule="auto"/>
        <w:ind w:left="641" w:hanging="357"/>
        <w:contextualSpacing w:val="0"/>
        <w:rPr>
          <w:noProof/>
        </w:rPr>
      </w:pPr>
      <w:r>
        <w:rPr>
          <w:noProof/>
        </w:rPr>
        <w:t xml:space="preserve">Võttes aluseks varasemad meetmed noortesse investeerimiseks, esitab komisjon </w:t>
      </w:r>
      <w:r>
        <w:rPr>
          <w:b/>
          <w:noProof/>
        </w:rPr>
        <w:t>noortestrateegia</w:t>
      </w:r>
      <w:r>
        <w:rPr>
          <w:noProof/>
        </w:rPr>
        <w:t xml:space="preserve"> aastateks 2019–2027. Tähelepanu keskmes on soov suurendada Euroopa noorte mõjuvõimu ja anda neile tugevam hääl ELi poliitika kujundamisel.</w:t>
      </w:r>
    </w:p>
    <w:p>
      <w:pPr>
        <w:pStyle w:val="ListBullet2"/>
        <w:spacing w:before="120" w:after="120" w:line="240" w:lineRule="auto"/>
        <w:ind w:left="641" w:hanging="357"/>
        <w:contextualSpacing w:val="0"/>
        <w:rPr>
          <w:noProof/>
        </w:rPr>
      </w:pPr>
      <w:r>
        <w:rPr>
          <w:noProof/>
        </w:rPr>
        <w:t xml:space="preserve">Nii nagu märgiti teatises „Euroopa identiteedi tugevdamine hariduse ja kultuuri kaudu“, tutvustab komisjon </w:t>
      </w:r>
      <w:r>
        <w:rPr>
          <w:b/>
          <w:noProof/>
        </w:rPr>
        <w:t>Euroopa uut kultuuri tegevuskava</w:t>
      </w:r>
      <w:r>
        <w:rPr>
          <w:noProof/>
        </w:rPr>
        <w:t xml:space="preserve">. See algatus aitab parandada teadlikkust Euroopa ühisest identiteedist ja pärandist ning toetab samas liidu suhteid kolmandate riikidega. </w:t>
      </w:r>
    </w:p>
    <w:p>
      <w:pPr>
        <w:pStyle w:val="ListBullet2"/>
        <w:spacing w:before="120" w:after="120" w:line="240" w:lineRule="auto"/>
        <w:ind w:left="641" w:hanging="357"/>
        <w:contextualSpacing w:val="0"/>
        <w:rPr>
          <w:noProof/>
        </w:rPr>
      </w:pPr>
      <w:r>
        <w:rPr>
          <w:noProof/>
        </w:rPr>
        <w:t xml:space="preserve">Vastavalt eesmärgile luua Euroopa haridusruum esitab komisjon kaks ettepanekut nõukogu soovitusteks </w:t>
      </w:r>
      <w:r>
        <w:rPr>
          <w:b/>
          <w:noProof/>
        </w:rPr>
        <w:t>diplomite vastastikuse tunnustamise</w:t>
      </w:r>
      <w:r>
        <w:rPr>
          <w:noProof/>
        </w:rPr>
        <w:t xml:space="preserve"> kohta ning </w:t>
      </w:r>
      <w:r>
        <w:rPr>
          <w:b/>
          <w:noProof/>
        </w:rPr>
        <w:t>keelte õpetamise ja õppimise</w:t>
      </w:r>
      <w:r>
        <w:rPr>
          <w:noProof/>
        </w:rPr>
        <w:t xml:space="preserve"> parandamise kohta. Mõlemad algatused aitavad oluliselt hõlbustada õpiliikuvust Euroopas. </w:t>
      </w:r>
    </w:p>
    <w:p>
      <w:pPr>
        <w:pStyle w:val="ListBullet2"/>
        <w:spacing w:before="120" w:after="120" w:line="240" w:lineRule="auto"/>
        <w:ind w:left="641" w:hanging="357"/>
        <w:contextualSpacing w:val="0"/>
        <w:rPr>
          <w:noProof/>
        </w:rPr>
      </w:pPr>
      <w:r>
        <w:rPr>
          <w:noProof/>
        </w:rPr>
        <w:t xml:space="preserve">Kooskõlas ka Euroopa sotsiaalõiguste sambaga teeb komisjon ettepaneku nõukogu soovituseks </w:t>
      </w:r>
      <w:r>
        <w:rPr>
          <w:b/>
          <w:noProof/>
        </w:rPr>
        <w:t>kvaliteetsete alusharidus- ja lapsehoiusüsteemide kohta</w:t>
      </w:r>
      <w:r>
        <w:rPr>
          <w:noProof/>
        </w:rPr>
        <w:t xml:space="preserve">. Selle algatuse eesmärk on tagada, et kõik Euroopa lapsed saaksid ellu astumiseks hea stardipositsiooni.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Nagu alljärgnevast graafikust näha, on töö alanud ja jätkub järgmistel aastatel. Koostöö aluseks on </w:t>
      </w:r>
      <w:r>
        <w:rPr>
          <w:rFonts w:ascii="Times New Roman" w:hAnsi="Times New Roman"/>
          <w:b/>
          <w:noProof/>
          <w:sz w:val="24"/>
        </w:rPr>
        <w:t>ühistegevus Euroopa haridusruumi loomiseks</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lastRenderedPageBreak/>
        <w:drawing>
          <wp:inline distT="0" distB="0" distL="0" distR="0">
            <wp:extent cx="5760720" cy="80300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030094"/>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Need algatused on </w:t>
      </w:r>
      <w:r>
        <w:rPr>
          <w:rFonts w:ascii="Times New Roman" w:hAnsi="Times New Roman"/>
          <w:b/>
          <w:noProof/>
          <w:sz w:val="24"/>
        </w:rPr>
        <w:t>sammud, mis aitavad Sibius toimuva Ülemkogu eel liikuda liidu tugevdamise suunas</w:t>
      </w:r>
      <w:r>
        <w:rPr>
          <w:rStyle w:val="FootnoteReference"/>
          <w:rFonts w:ascii="Times New Roman" w:hAnsi="Times New Roman"/>
          <w:noProof/>
          <w:sz w:val="24"/>
        </w:rPr>
        <w:footnoteReference w:id="11"/>
      </w:r>
      <w:r>
        <w:rPr>
          <w:rFonts w:ascii="Times New Roman" w:hAnsi="Times New Roman"/>
          <w:noProof/>
          <w:sz w:val="24"/>
        </w:rPr>
        <w:t>. Algatused</w:t>
      </w:r>
    </w:p>
    <w:p>
      <w:pPr>
        <w:pStyle w:val="ListContinue"/>
        <w:spacing w:before="120" w:line="240" w:lineRule="auto"/>
        <w:contextualSpacing w:val="0"/>
        <w:rPr>
          <w:noProof/>
        </w:rPr>
      </w:pPr>
      <w:r>
        <w:rPr>
          <w:noProof/>
        </w:rPr>
        <w:t xml:space="preserve">kajastavad seda, kui tähtsaks peab komisjon </w:t>
      </w:r>
      <w:r>
        <w:rPr>
          <w:b/>
          <w:i/>
          <w:noProof/>
        </w:rPr>
        <w:t>noortesse investeerimist</w:t>
      </w:r>
      <w:r>
        <w:rPr>
          <w:noProof/>
        </w:rPr>
        <w:t xml:space="preserve"> ja noorte tulevikku. Need tuginevad varasematele meetmetele, milleks on eelkõige noortegarantii,</w:t>
      </w:r>
      <w:r>
        <w:rPr>
          <w:rStyle w:val="FootnoteReference"/>
          <w:noProof/>
        </w:rPr>
        <w:footnoteReference w:id="12"/>
      </w:r>
      <w:r>
        <w:rPr>
          <w:noProof/>
        </w:rPr>
        <w:t xml:space="preserve"> noorte tööhõive algatus,</w:t>
      </w:r>
      <w:r>
        <w:rPr>
          <w:rStyle w:val="FootnoteReference"/>
          <w:noProof/>
        </w:rPr>
        <w:footnoteReference w:id="13"/>
      </w:r>
      <w:r>
        <w:rPr>
          <w:noProof/>
        </w:rPr>
        <w:t xml:space="preserve"> 2016. aasta detsembris tehtud algatus „Investeerimine Euroopa noortesse“,</w:t>
      </w:r>
      <w:r>
        <w:rPr>
          <w:rStyle w:val="FootnoteReference"/>
          <w:noProof/>
        </w:rPr>
        <w:footnoteReference w:id="14"/>
      </w:r>
      <w:r>
        <w:rPr>
          <w:noProof/>
        </w:rPr>
        <w:t xml:space="preserve"> Euroopa uus oskuste tegevuskava,</w:t>
      </w:r>
      <w:r>
        <w:rPr>
          <w:rStyle w:val="FootnoteReference"/>
          <w:noProof/>
        </w:rPr>
        <w:footnoteReference w:id="15"/>
      </w:r>
      <w:r>
        <w:rPr>
          <w:noProof/>
        </w:rPr>
        <w:t xml:space="preserve"> oskuste täiendamise meede,</w:t>
      </w:r>
      <w:r>
        <w:rPr>
          <w:rStyle w:val="FootnoteReference"/>
          <w:noProof/>
        </w:rPr>
        <w:footnoteReference w:id="16"/>
      </w:r>
      <w:r>
        <w:rPr>
          <w:noProof/>
        </w:rPr>
        <w:t xml:space="preserve"> ja õpipoisiõppe Euroopa kvaliteediraamistik,</w:t>
      </w:r>
      <w:r>
        <w:rPr>
          <w:rStyle w:val="FootnoteReference"/>
          <w:noProof/>
        </w:rPr>
        <w:footnoteReference w:id="17"/>
      </w:r>
      <w:r>
        <w:rPr>
          <w:noProof/>
        </w:rPr>
        <w:t xml:space="preserve"> ning peaksid aitama pakkuda eri taustaga noortele paljulubavaid väljavaateid ja aitama neil Euroopa projektis aktiivsemalt osaleda;</w:t>
      </w:r>
    </w:p>
    <w:p>
      <w:pPr>
        <w:pStyle w:val="ListContinue"/>
        <w:spacing w:before="120" w:line="240" w:lineRule="auto"/>
        <w:contextualSpacing w:val="0"/>
        <w:rPr>
          <w:noProof/>
        </w:rPr>
      </w:pPr>
      <w:r>
        <w:rPr>
          <w:noProof/>
        </w:rPr>
        <w:t xml:space="preserve">aitavad inimestel jagada Euroopa </w:t>
      </w:r>
      <w:r>
        <w:rPr>
          <w:b/>
          <w:i/>
          <w:noProof/>
        </w:rPr>
        <w:t>kultuurilist mitmekesisust ja ühist pärandit</w:t>
      </w:r>
      <w:r>
        <w:rPr>
          <w:noProof/>
        </w:rPr>
        <w:t>, mis aitab neil mõista, millega on Euroopa projekti puhul tegemist, ning</w:t>
      </w:r>
    </w:p>
    <w:p>
      <w:pPr>
        <w:pStyle w:val="ListContinue"/>
        <w:spacing w:before="120" w:line="240" w:lineRule="auto"/>
        <w:contextualSpacing w:val="0"/>
        <w:rPr>
          <w:noProof/>
        </w:rPr>
      </w:pPr>
      <w:r>
        <w:rPr>
          <w:noProof/>
        </w:rPr>
        <w:t xml:space="preserve">on osa suuremast visioonist, et luua </w:t>
      </w:r>
      <w:r>
        <w:rPr>
          <w:b/>
          <w:i/>
          <w:noProof/>
        </w:rPr>
        <w:t>Euroopa haridusruum</w:t>
      </w:r>
      <w:r>
        <w:rPr>
          <w:noProof/>
        </w:rPr>
        <w:t>, mis aitab edendada liikuvust, kõrvaldada liikuvuse ja piiriülese koostöö ees seisvad takistused ning, tuginedes varasematele algatustele,</w:t>
      </w:r>
      <w:r>
        <w:rPr>
          <w:rStyle w:val="FootnoteReference"/>
          <w:noProof/>
        </w:rPr>
        <w:footnoteReference w:id="18"/>
      </w:r>
      <w:r>
        <w:rPr>
          <w:noProof/>
        </w:rPr>
        <w:t xml:space="preserve"> aitab liikmesriikidel haridus- ja koolitussüsteeme ajakohastada ja paremaks muuta.</w:t>
      </w:r>
    </w:p>
    <w:p>
      <w:pPr>
        <w:pStyle w:val="ListNumber"/>
        <w:spacing w:before="120" w:after="120" w:line="240" w:lineRule="auto"/>
        <w:contextualSpacing w:val="0"/>
        <w:rPr>
          <w:noProof/>
        </w:rPr>
      </w:pPr>
      <w:r>
        <w:rPr>
          <w:noProof/>
        </w:rPr>
        <w:t>Euroopa teadusruumi loomine</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-251209</wp:posOffset>
                </wp:positionH>
                <wp:positionV relativeFrom="paragraph">
                  <wp:posOffset>187103</wp:posOffset>
                </wp:positionV>
                <wp:extent cx="6379535" cy="2573080"/>
                <wp:effectExtent l="0" t="0" r="21590" b="17780"/>
                <wp:wrapNone/>
                <wp:docPr id="19" name="Rectangle 19"/>
                <wp:cNvGraphicFramePr/>
                <a:graphic xmlns:a="http://schemas.openxmlformats.org/drawingml/2006/main">
                  <a:graphicData uri="http://schemas.microsoft.com/office/word/2010/wordprocessingShape">
                    <wps:wsp>
                      <wps:cNvSpPr/>
                      <wps:spPr>
                        <a:xfrm>
                          <a:off x="0" y="0"/>
                          <a:ext cx="6379535" cy="257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xmlns:o="urn:schemas-microsoft-com:office:office" xmlns:v="urn:schemas-microsoft-com:vml" id="Rectangle 19" o:spid="_x0000_s1026" style="position:absolute;margin-left:-19.8pt;margin-top:14.75pt;width:502.35pt;height:202.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emAIAAIc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Oma panusena esitas komisjon Göteborgis toimunud ELi juhtide kohtumisel visiooni </w:t>
      </w:r>
      <w:r>
        <w:rPr>
          <w:noProof/>
        </w:rPr>
        <w:t>Euroopa haridusruumist 2025. aastal. See saab olema</w:t>
      </w:r>
      <w:r>
        <w:rPr>
          <w:b w:val="0"/>
          <w:noProof/>
        </w:rPr>
        <w:t xml:space="preserve"> </w:t>
      </w:r>
      <w:r>
        <w:rPr>
          <w:b w:val="0"/>
          <w:i/>
          <w:noProof/>
        </w:rPr>
        <w:t>„Euroopa, kus piirid ei takista õppida, õpetada ja teadustööd teha. Euroopa kui maailmajagu, kus on tavaline viibida kas õppimise või töö tõttu muus riigis ja kus enamik inimesi räägib lisaks oma emakeelele veel kahte keelt. Maailmajagu, mille elanike identiteedi oluline osa on olla eurooplane, kes tajub Euroopa kultuuripärandit ja selle mitmekesisust.</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Euroopa haridusruum peaks aitama saavutada </w:t>
      </w:r>
      <w:r>
        <w:rPr>
          <w:rFonts w:ascii="Times New Roman" w:hAnsi="Times New Roman"/>
          <w:b/>
          <w:noProof/>
          <w:sz w:val="24"/>
        </w:rPr>
        <w:t>kolme eesmärki</w:t>
      </w:r>
      <w:r>
        <w:rPr>
          <w:rFonts w:ascii="Times New Roman" w:hAnsi="Times New Roman"/>
          <w:noProof/>
          <w:sz w:val="24"/>
        </w:rPr>
        <w:t>:</w:t>
      </w:r>
    </w:p>
    <w:p>
      <w:pPr>
        <w:pStyle w:val="ListContinue"/>
        <w:spacing w:before="120" w:line="240" w:lineRule="auto"/>
        <w:contextualSpacing w:val="0"/>
        <w:rPr>
          <w:noProof/>
        </w:rPr>
      </w:pPr>
      <w:r>
        <w:rPr>
          <w:noProof/>
        </w:rPr>
        <w:t xml:space="preserve">edendada </w:t>
      </w:r>
      <w:r>
        <w:rPr>
          <w:b/>
          <w:noProof/>
        </w:rPr>
        <w:t>piiriülest liikuvust ning koostööd</w:t>
      </w:r>
      <w:r>
        <w:rPr>
          <w:noProof/>
        </w:rPr>
        <w:t xml:space="preserve"> hariduse ja koolituse valdkonnas;</w:t>
      </w:r>
    </w:p>
    <w:p>
      <w:pPr>
        <w:pStyle w:val="ListContinue"/>
        <w:spacing w:before="120" w:line="240" w:lineRule="auto"/>
        <w:contextualSpacing w:val="0"/>
        <w:rPr>
          <w:noProof/>
        </w:rPr>
      </w:pPr>
      <w:r>
        <w:rPr>
          <w:noProof/>
        </w:rPr>
        <w:t xml:space="preserve">aidata ületada põhjendamatuid </w:t>
      </w:r>
      <w:r>
        <w:rPr>
          <w:b/>
          <w:noProof/>
        </w:rPr>
        <w:t>takistusi</w:t>
      </w:r>
      <w:r>
        <w:rPr>
          <w:noProof/>
        </w:rPr>
        <w:t xml:space="preserve">, mis muudavad teises riigis õppimise, koolituse või töötamise raskemaks, ning saavutada õppijate vaba liikumine ja luua tõeline Euroopa õpperuum; </w:t>
      </w:r>
    </w:p>
    <w:p>
      <w:pPr>
        <w:pStyle w:val="ListContinue"/>
        <w:spacing w:before="120" w:line="240" w:lineRule="auto"/>
        <w:contextualSpacing w:val="0"/>
        <w:rPr>
          <w:noProof/>
        </w:rPr>
      </w:pPr>
      <w:r>
        <w:rPr>
          <w:noProof/>
        </w:rPr>
        <w:t xml:space="preserve">aidata liikmesriikidel </w:t>
      </w:r>
      <w:r>
        <w:rPr>
          <w:b/>
          <w:noProof/>
        </w:rPr>
        <w:t xml:space="preserve">edendada </w:t>
      </w:r>
      <w:r>
        <w:rPr>
          <w:noProof/>
        </w:rPr>
        <w:t xml:space="preserve">oma haridus- ja koolitussüsteemides </w:t>
      </w:r>
      <w:r>
        <w:rPr>
          <w:b/>
          <w:noProof/>
        </w:rPr>
        <w:t>kaasavat, elukestvat ja innovatsioonil põhinevat</w:t>
      </w:r>
      <w:r>
        <w:rPr>
          <w:noProof/>
        </w:rPr>
        <w:t xml:space="preserve"> õpet.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Euroopa haridusruumi loomine aitab ELi liikmesriikidel tõsta rohkem ja kiiremini oma haridus- ja koolitussüsteemide kvaliteeti, konkurentsivõimet ja kaasatust, inspireerides samal ajal ELi mittekuuluvaid riike seda eeskuju järgima. Haridusruumi aluseks on järgmised algatused:</w:t>
      </w:r>
    </w:p>
    <w:p>
      <w:pPr>
        <w:pStyle w:val="ListContinue"/>
        <w:spacing w:before="120" w:line="240" w:lineRule="auto"/>
        <w:contextualSpacing w:val="0"/>
        <w:rPr>
          <w:noProof/>
        </w:rPr>
      </w:pPr>
      <w:r>
        <w:rPr>
          <w:b/>
          <w:noProof/>
        </w:rPr>
        <w:t>juhtprogramm „Erasmus+“</w:t>
      </w:r>
      <w:r>
        <w:rPr>
          <w:noProof/>
        </w:rPr>
        <w:t xml:space="preserve"> ja selle jätkuprogramm, mille kohta esitab komisjon ettepaneku 2018. aasta mai lõpus. Erasmus+ on tuntud eelkõige õpiliikuvuse eduka edendamise poolest. Ollakse täielikul üksmeelel, et innovaatilisema ja kaasavama haridus-, koolitus- ja noortepoliitika rakendamiseks tuleks oluliselt tõhustada liikuvust ja sellega kaasnevat tihedamat strateegilist partnerlust ja poliitilist toetust; </w:t>
      </w:r>
    </w:p>
    <w:p>
      <w:pPr>
        <w:pStyle w:val="ListContinue"/>
        <w:spacing w:before="120" w:line="240" w:lineRule="auto"/>
        <w:contextualSpacing w:val="0"/>
        <w:rPr>
          <w:noProof/>
        </w:rPr>
      </w:pPr>
      <w:r>
        <w:rPr>
          <w:noProof/>
        </w:rPr>
        <w:t xml:space="preserve">praegu </w:t>
      </w:r>
      <w:r>
        <w:rPr>
          <w:b/>
          <w:noProof/>
        </w:rPr>
        <w:t>haridus- ja koolitusvaldkonnas tehtav Euroopa koostöö</w:t>
      </w:r>
      <w:r>
        <w:rPr>
          <w:noProof/>
        </w:rPr>
        <w:t xml:space="preserve">, mille keskmes on usaldusväärsed empiirilised tõendid, võrdlusuuringud, kogemuste vahetamine ja üksteiselt õppimine. Kuna kõnealune raamistik saab 2020. aastal läbi, esitab komisjon aegsasti ettepanekud viia see koostöö ambitsioonikamale tasandile. Uus raamistik on vahend, mille abil seada prioriteete, suunata poliitikat ja juhtida </w:t>
      </w:r>
      <w:r>
        <w:rPr>
          <w:b/>
          <w:noProof/>
        </w:rPr>
        <w:t>ELi poolset rahastamist</w:t>
      </w:r>
      <w:r>
        <w:rPr>
          <w:noProof/>
        </w:rPr>
        <w:t>. Komisjon teeb ka ettepaneku kehtestada näitajad ja võrdlusuuringud, mis oleksid tõendusmaterjaliks selle kohta, kuidas haridus ja koolitus toetavad oskuste ja pädevuste arendamist kõikides eluetappides.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Kuigi Euroopa haridusruumi puhul loodetakse eelkõige, et Erasmus+ programm ja tulevane haridus- ja koolitusvaldkonna Euroopa koostööraamistik hakkavad toimima sünergias, toetatakse neid muudest asjaomastest poliitikavaldkondadest. Liit toetab jätkuvalt liikmesriikide reforme </w:t>
      </w:r>
      <w:r>
        <w:rPr>
          <w:rFonts w:ascii="Times New Roman" w:hAnsi="Times New Roman"/>
          <w:b/>
          <w:noProof/>
          <w:sz w:val="24"/>
        </w:rPr>
        <w:t>Euroopa poolaasta</w:t>
      </w:r>
      <w:r>
        <w:rPr>
          <w:rFonts w:ascii="Times New Roman" w:hAnsi="Times New Roman"/>
          <w:noProof/>
          <w:sz w:val="24"/>
        </w:rPr>
        <w:t xml:space="preserve"> ning erinevate rahastamisprogrammide kaudu, nagu Euroopa Sotsiaalfond, mis on </w:t>
      </w:r>
      <w:r>
        <w:rPr>
          <w:rFonts w:ascii="Times New Roman" w:hAnsi="Times New Roman"/>
          <w:b/>
          <w:noProof/>
          <w:sz w:val="24"/>
        </w:rPr>
        <w:t>käegakatsutav tõend sellest, kuidas Euroopa investeerib inimestesse ning parandab nende elukvaliteeti</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Hariduses ja koolituses nõutavad </w:t>
      </w:r>
      <w:r>
        <w:rPr>
          <w:rFonts w:ascii="Times New Roman" w:hAnsi="Times New Roman"/>
          <w:b/>
          <w:noProof/>
          <w:sz w:val="24"/>
        </w:rPr>
        <w:t>pädevused</w:t>
      </w:r>
      <w:r>
        <w:rPr>
          <w:rFonts w:ascii="Times New Roman" w:hAnsi="Times New Roman"/>
          <w:noProof/>
          <w:sz w:val="24"/>
        </w:rPr>
        <w:t xml:space="preserve"> on eelkõige </w:t>
      </w:r>
      <w:r>
        <w:rPr>
          <w:rFonts w:ascii="Times New Roman" w:hAnsi="Times New Roman"/>
          <w:b/>
          <w:noProof/>
          <w:sz w:val="24"/>
        </w:rPr>
        <w:t>liikmesriikide</w:t>
      </w:r>
      <w:r>
        <w:rPr>
          <w:rFonts w:ascii="Times New Roman" w:hAnsi="Times New Roman"/>
          <w:noProof/>
          <w:sz w:val="24"/>
        </w:rPr>
        <w:t xml:space="preserve"> kätes ning liidul on pädevus võtta meetmeid liikmesriikide meetmete toetamiseks, koordineerimiseks või täiendamiseks. Euroopa haridusruumi loomine seda ei muuda. See viib olemasoleva partnerluse ja koostöö uuele, kõrgemale ja intensiivsemale tasemele. Euroopa haridusruumi kuuluvad mis tahes taustaga </w:t>
      </w:r>
      <w:r>
        <w:rPr>
          <w:rFonts w:ascii="Times New Roman" w:hAnsi="Times New Roman"/>
          <w:b/>
          <w:noProof/>
          <w:sz w:val="24"/>
        </w:rPr>
        <w:t>õppijad kõigist vanuserühmadest</w:t>
      </w:r>
      <w:r>
        <w:rPr>
          <w:rFonts w:ascii="Times New Roman" w:hAnsi="Times New Roman"/>
          <w:noProof/>
          <w:sz w:val="24"/>
        </w:rPr>
        <w:t xml:space="preserve"> ja </w:t>
      </w:r>
      <w:r>
        <w:rPr>
          <w:rFonts w:ascii="Times New Roman" w:hAnsi="Times New Roman"/>
          <w:b/>
          <w:noProof/>
          <w:sz w:val="24"/>
        </w:rPr>
        <w:t>kõik sektorid</w:t>
      </w:r>
      <w:r>
        <w:rPr>
          <w:rFonts w:ascii="Times New Roman" w:hAnsi="Times New Roman"/>
          <w:noProof/>
          <w:sz w:val="24"/>
        </w:rPr>
        <w:t xml:space="preserve">, sealhulgas alusharidus ja lastehoid, koolid, kutseharidus ja -õpe, kõrgharidus ja täiskasvanuharidus.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Selleks et </w:t>
      </w:r>
      <w:r>
        <w:rPr>
          <w:rFonts w:ascii="Times New Roman" w:hAnsi="Times New Roman"/>
          <w:b/>
          <w:noProof/>
          <w:sz w:val="24"/>
        </w:rPr>
        <w:t>Euroopa haridusruum saaks tegelikkuseks</w:t>
      </w:r>
      <w:r>
        <w:rPr>
          <w:rFonts w:ascii="Times New Roman" w:hAnsi="Times New Roman"/>
          <w:noProof/>
          <w:sz w:val="24"/>
        </w:rPr>
        <w:t xml:space="preserve"> ja järgides 2018. aasta jaanuari esimest paketti, esitab komisjon täna uue paketi konkreetseid poliitilisi algatusi, nagu diplomite vastastikune tunnustamine, keeleõpe ning alusharidus ja lapsehoid. Samuti jätkab ta pühendunud tegevust käimasoleva koostööraamistiku ja rahastamisprogrammide raames, et töötada välja uued meetmed, sealhulgas eelkõige Euroopa üliõpilaspilet ja „Euroopa ülikoolid“, nagu on kirjeldatud allpool.</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Diplomite ja välismaal õppimise perioodide automaatne vastastikune tunnustamine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Vaatamata sellele, et programmi „Erasmus+“ raames on õpiliikuvus toimunud 30 aastat ja valitsustevahelise Bologna protsessi raames on kõrghariduses tehtud märkimisväärseid edusamme, põrkuvad paljud inimesed takistustele, kui nad taotlevad mõnes teises liikmesriigis oma kolmanda taseme haridust või keskharidust tõendava dokumendi ametlikku tunnustamist. Sama kehtib ka kolmanda taseme hariduse ja keskhariduse ajal välismaal veedetud õppeperioodide kohta. Nii tekivad liikuvuse ees tarbetud ja põhjendamatud tõkked.</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Probleemi lahendamiseks teeb komisjon ettepaneku nõukogu soovituse kohta, millega nähakse ette </w:t>
      </w:r>
      <w:r>
        <w:rPr>
          <w:rFonts w:ascii="Times New Roman" w:hAnsi="Times New Roman"/>
          <w:b/>
          <w:noProof/>
          <w:sz w:val="24"/>
        </w:rPr>
        <w:t>kvalifikatsioonide automaatne vaikimisi tunnustamine aastaks 2025</w:t>
      </w:r>
      <w:r>
        <w:rPr>
          <w:rFonts w:ascii="Times New Roman" w:hAnsi="Times New Roman"/>
          <w:noProof/>
          <w:sz w:val="24"/>
        </w:rPr>
        <w:t xml:space="preserve"> ja mille kohaselt tuleks: mis tahes tunnistust või diplomit ja kuni üheaastase välismaal viibimise õpiväljundeid, mis on saadud liidus akrediteeritud asutuselt, kõikides liikmesriikides edasiõppimise eesmärgil automaatselt tunnustada. Samas ei saa sellist ambitsioonikat kava rakendada ühekorraga. See nõuab järkjärgulist lähenemisviisi, mille aluseks on tugeva ja usaldusväärse kvaliteedikindluse loomine, millega kaasneb automaatseks tunnustamiseks vajalik läbipaistvus ja usaldus. Mitmes Euroopa riigis</w:t>
      </w:r>
      <w:r>
        <w:rPr>
          <w:rStyle w:val="FootnoteReference"/>
          <w:rFonts w:ascii="Times New Roman" w:hAnsi="Times New Roman"/>
          <w:noProof/>
          <w:sz w:val="24"/>
        </w:rPr>
        <w:footnoteReference w:id="19"/>
      </w:r>
      <w:r>
        <w:rPr>
          <w:rFonts w:ascii="Times New Roman" w:hAnsi="Times New Roman"/>
          <w:noProof/>
          <w:sz w:val="24"/>
        </w:rPr>
        <w:t xml:space="preserve"> kohaldatakse juba katseprojekti korras automaatseid tunnustamiskavasid. Selle kogemuse põhjal töötatakse tihedas koostöös liikmesriikidega välja kogu ELi hõlmavad lahendused.</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Tõhusam keeleõpe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Võõrkeelte omandamine ei ole oluline mitte ainult maailmamajanduse jaoks vajalike oskuste seisukohast, vaid avab ka uusi võimalusi, tugevdab Euroopa kodakondsust ja aitab inimestel avastada muid kultuure. Tänapäeval kulutavad paljud üliõpilased rohkesti aega keelte õppimisele, kuid liiga paljud ei suuda neid keeli tegeliku elu olukordades kasutada. Enamik noori eurooplasi õpib ühte võõrkeelt, kuid teise võõrkeele õppimise motivatsioon on väga väike.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Seda arvesse võttes pakub komisjon välja </w:t>
      </w:r>
      <w:r>
        <w:rPr>
          <w:rFonts w:ascii="Times New Roman" w:hAnsi="Times New Roman"/>
          <w:b/>
          <w:noProof/>
          <w:sz w:val="24"/>
        </w:rPr>
        <w:t>uue tervikliku lähenemisviisi keelte õppimiseks</w:t>
      </w:r>
      <w:r>
        <w:rPr>
          <w:rFonts w:ascii="Times New Roman" w:hAnsi="Times New Roman"/>
          <w:noProof/>
          <w:sz w:val="24"/>
        </w:rPr>
        <w:t xml:space="preserve"> kohustuslikus hariduses, edendades nii Euroopa keelelise mitmekesisuse paremat ärakasutamist. Eesmärk on tagada, et üha rohkem noori on vilunud keelekasutajad, kes valdavad veel kahte keelt lisaks sellele, milles nad koolihariduse said.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Euroopa üliõpilaspilet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Et liikuvuse suurenemine ei annaks tagasilööke, võib Euroopa üliõpilaspilet aidata</w:t>
      </w:r>
      <w:r>
        <w:rPr>
          <w:noProof/>
        </w:rPr>
        <w:t xml:space="preserve"> </w:t>
      </w:r>
      <w:r>
        <w:rPr>
          <w:rFonts w:ascii="Times New Roman" w:hAnsi="Times New Roman"/>
          <w:b/>
          <w:noProof/>
          <w:sz w:val="24"/>
        </w:rPr>
        <w:t>vähendada üliõpilaste ja haridusasutuste halduskoormust ja kulusid,</w:t>
      </w:r>
      <w:r>
        <w:rPr>
          <w:noProof/>
        </w:rPr>
        <w:t xml:space="preserve"> </w:t>
      </w:r>
      <w:r>
        <w:rPr>
          <w:rFonts w:ascii="Times New Roman" w:hAnsi="Times New Roman"/>
          <w:noProof/>
          <w:sz w:val="24"/>
        </w:rPr>
        <w:t>võimaldades juhtida haldusprotsesse enne ja pärast liikuvusperioodi ja selle ajal, olles samal ajal Euroopa üliõpilasidentiteedi nähtav sümbol.</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Üks eelis oleks see, et üliõpilased saaksid end liidu piires mis tahes kõrgkoolis turvaliselt tuvastada; see võimaldaks turvaliselt vahetada elektroonilisel teel üliõpilastega seotud andmeid (mis võivad hõlmata ainepunkte ja akadeemilisi andmeid), nii et samas järgitaks täielikult isikuandmete kaitset, ilma et oleks vajadust luua täiendavaid infotehnoloogia infrastruktuure.</w:t>
      </w:r>
      <w:r>
        <w:rPr>
          <w:noProof/>
        </w:rPr>
        <w:t xml:space="preserve"> </w:t>
      </w:r>
      <w:r>
        <w:rPr>
          <w:rFonts w:ascii="Times New Roman" w:hAnsi="Times New Roman"/>
          <w:noProof/>
          <w:sz w:val="24"/>
        </w:rPr>
        <w:t>Üliõpilaspilet aitaks üliõpilastel saada juurdepääs mitmesugustele teenustele (raamatukogu, transport, majutus) juba enne välismaale kohale jõudmist. See võiks olla oluline samm, millega muuta liikuvus kõigi jaoks reaalsuseks, mis võimaldaks institutsioonidel sujuvamalt saata ja vastu võtta rohkem vahetusüliõpilasi, nii et üliõpilaste liikuvuse kvaliteet paraneks.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Võttes aluseks olemasolevad 2019. aastal laiendatavad ELi rahastatavad katseprojektid</w:t>
      </w:r>
      <w:r>
        <w:rPr>
          <w:rStyle w:val="FootnoteReference"/>
          <w:rFonts w:ascii="Times New Roman" w:hAnsi="Times New Roman"/>
          <w:noProof/>
          <w:sz w:val="24"/>
        </w:rPr>
        <w:footnoteReference w:id="20"/>
      </w:r>
      <w:r>
        <w:rPr>
          <w:rFonts w:ascii="Times New Roman" w:hAnsi="Times New Roman"/>
          <w:noProof/>
          <w:sz w:val="24"/>
        </w:rPr>
        <w:t xml:space="preserve"> ning täiendavad analüüsid ja konsultatsioonid sidusrühmadega, kavandab komisjon alustada </w:t>
      </w:r>
      <w:r>
        <w:rPr>
          <w:rFonts w:ascii="Times New Roman" w:hAnsi="Times New Roman"/>
          <w:b/>
          <w:noProof/>
          <w:sz w:val="24"/>
        </w:rPr>
        <w:t>Euroopa üliõpilaspileti järkjärgulist kasutuselevõttu 2021. aastaks</w:t>
      </w:r>
      <w:r>
        <w:rPr>
          <w:rFonts w:ascii="Times New Roman" w:hAnsi="Times New Roman"/>
          <w:noProof/>
          <w:sz w:val="24"/>
        </w:rPr>
        <w:t>, uurides samas võimalust laiendada piletit ka kutsehariduse ja -õppe õppuritele.</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„Euroopa ülikoolid“</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Euroopal on selja taga ülikoolide piiriülese koostöö pikk ja väärikas traditsioon. Ülikoolide alt-ülespoole võrgustikel põhineva uue algatuse „Euroopa ülikoolid“ eesmärk on viia piiriülene koostöö </w:t>
      </w:r>
      <w:r>
        <w:rPr>
          <w:rFonts w:ascii="Times New Roman" w:hAnsi="Times New Roman"/>
          <w:b/>
          <w:noProof/>
          <w:sz w:val="24"/>
        </w:rPr>
        <w:t>järgmisele tasandile</w:t>
      </w:r>
      <w:r>
        <w:rPr>
          <w:rFonts w:ascii="Times New Roman" w:hAnsi="Times New Roman"/>
          <w:noProof/>
          <w:sz w:val="24"/>
        </w:rPr>
        <w:t xml:space="preserve">, kus kõrgharidusasutused, kes jagavad sama visiooni ja väärtusi, töötavad ühiselt välja pikaajalised institutsioonilised strateegiad </w:t>
      </w:r>
      <w:r>
        <w:rPr>
          <w:rFonts w:ascii="Times New Roman" w:hAnsi="Times New Roman"/>
          <w:b/>
          <w:noProof/>
          <w:sz w:val="24"/>
        </w:rPr>
        <w:t>tipptasemel hariduse, teaduse ja innovatsiooni kohta</w:t>
      </w:r>
      <w:r>
        <w:rPr>
          <w:rFonts w:ascii="Times New Roman" w:hAnsi="Times New Roman"/>
          <w:noProof/>
          <w:sz w:val="24"/>
        </w:rPr>
        <w:t>.</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„Euroopa ülikoolides“ tuleks arendada välja hästi integreeritud ja avatud õppekavad (eri riikides moodulite kombineerimiseks). Liikuvus peaks olema bakalaureuse-, magistri- ja doktoriõppesse integreeritud tavapärane õpietapp. See peaks aitama kujundada välja </w:t>
      </w:r>
      <w:r>
        <w:rPr>
          <w:rFonts w:ascii="Times New Roman" w:hAnsi="Times New Roman"/>
          <w:b/>
          <w:noProof/>
          <w:sz w:val="24"/>
        </w:rPr>
        <w:t>kogu Euroopas tunnustatud Euroopa teaduskraadid</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Visiooni „Euroopa ülikoolid“ aluseks on valik </w:t>
      </w:r>
      <w:r>
        <w:rPr>
          <w:rFonts w:ascii="Times New Roman" w:hAnsi="Times New Roman"/>
          <w:b/>
          <w:noProof/>
          <w:sz w:val="24"/>
          <w:u w:color="000000"/>
          <w:bdr w:val="nil"/>
        </w:rPr>
        <w:t>võtmepõhimõtteid</w:t>
      </w:r>
      <w:r>
        <w:rPr>
          <w:rFonts w:ascii="Times New Roman" w:hAnsi="Times New Roman"/>
          <w:noProof/>
          <w:sz w:val="24"/>
          <w:u w:color="000000"/>
          <w:bdr w:val="nil"/>
        </w:rPr>
        <w:t xml:space="preserve">: iga liikmesriigi mis tahes tüüpi kõrgharidusasutus peab suutma osaleda õiglaste ja tasakaalustatud kriteeriumide alusel. Võrgustikud peaksid olema geograafiliselt tasakaalustatud ja sotsiaalselt kaasavad. Välja ei töötata ühest, kõigile sobivat mudelit. Kõrgkoolid saavad pakkuda välja mudeli, mis sobib nende vajadustele alt üles, on avatud ja läbipaistev, ning suurendada järk-järgult oma ambitsioonikust. Selleks et rahastamine oleks jätkusuutlik, peaks „Euroopa ülikoolidel“ olema võimalik kasutada ELi ja liikmesriikide vahendeid.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„Euroopa ülikoolid“ peaksid muutuma Euroopa haridusruumi võtmeelementideks, nad peaksid olema orienteeritud tippsaavutustele ja olema eeskujuks teistele kõrgkoolidele, suurendades järk-järgult Euroopa kõrghariduse rahvusvahelist konkurentsivõimet ja populaarsust. „Euroopa ülikoolid“ peaksid toimima valdkondadevahelise lähenemisviisi alusel, mis võimaldab üliõpilastel, õppejõududel ja teadlastel luua ühiselt teadmisi ja innovatsiooni ning seda jagada. See võiks aidata lahendada Euroopas suuri ühiskondlikke probleeme ja oskustööjõu nappust. Samuti võiks see suurendada ülikoolide mõju nende asukohapiirkonnale, eelkõige kaasates neid aruka spetsialiseerumise strateegiate väljaarendamisse ja rakendamisse</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Komisjoni eesmärk on töötada selles suunas, et </w:t>
      </w:r>
      <w:r>
        <w:rPr>
          <w:rFonts w:ascii="Times New Roman" w:hAnsi="Times New Roman"/>
          <w:b/>
          <w:noProof/>
          <w:sz w:val="24"/>
        </w:rPr>
        <w:t>2024. aastal tegutseks Euroopas vähemalt kakskümmend sellist ülikooli</w:t>
      </w:r>
      <w:r>
        <w:rPr>
          <w:rFonts w:ascii="Times New Roman" w:hAnsi="Times New Roman"/>
          <w:noProof/>
          <w:sz w:val="24"/>
        </w:rPr>
        <w:t>. Sellise ambitsioonika idee elluviimiseks on aga vaja aega selle rahulikuks ettevalmistamiseks ja piisavalt vahendeid. Algetapis teeb komisjon kontseptsiooni arendamiseks tihedat koostööd liikmesriikide ja sidusrühmadega. Komisjon teeb ettepaneku käivitada programmi „Erasmus+“ raames katseprojektid 2019. ja 2020. aastal ning</w:t>
      </w:r>
      <w:r>
        <w:rPr>
          <w:noProof/>
        </w:rPr>
        <w:t xml:space="preserve"> </w:t>
      </w:r>
      <w:r>
        <w:rPr>
          <w:rFonts w:ascii="Times New Roman" w:hAnsi="Times New Roman"/>
          <w:noProof/>
          <w:sz w:val="24"/>
        </w:rPr>
        <w:t>alates 2021. aastast peaks projekt olema täielikult töövõimeline</w:t>
      </w:r>
      <w:r>
        <w:rPr>
          <w:noProof/>
        </w:rPr>
        <w:t>.</w:t>
      </w:r>
      <w:r>
        <w:rPr>
          <w:rFonts w:ascii="Times New Roman" w:hAnsi="Times New Roman"/>
          <w:noProof/>
          <w:sz w:val="24"/>
        </w:rPr>
        <w:t xml:space="preserve"> Nende katseprojektide ja olemasolevate võrgustike kaardistamise</w:t>
      </w:r>
      <w:r>
        <w:rPr>
          <w:rStyle w:val="FootnoteReference"/>
          <w:rFonts w:ascii="Times New Roman" w:hAnsi="Times New Roman"/>
          <w:noProof/>
          <w:sz w:val="24"/>
        </w:rPr>
        <w:footnoteReference w:id="22"/>
      </w:r>
      <w:r>
        <w:rPr>
          <w:rFonts w:ascii="Times New Roman" w:hAnsi="Times New Roman"/>
          <w:noProof/>
          <w:sz w:val="24"/>
        </w:rPr>
        <w:t xml:space="preserve"> põhjal uurib komisjon sidusrühmadega konsulteerides vajadust luua 2025. aastaks „Euroopa ülikoolide“ jaoks spetsiaalne õiguslik põhikiri.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tc>
          <w:tcPr>
            <w:tcW w:w="9255" w:type="dxa"/>
            <w:shd w:val="clear" w:color="auto" w:fill="auto"/>
          </w:tcPr>
          <w:p>
            <w:pPr>
              <w:shd w:val="clear" w:color="auto" w:fill="FFFFFF" w:themeFill="background1"/>
              <w:spacing w:before="120" w:after="120"/>
              <w:jc w:val="both"/>
              <w:rPr>
                <w:rFonts w:ascii="Times New Roman" w:eastAsia="DengXian" w:hAnsi="Times New Roman" w:cs="Times New Roman"/>
                <w:noProof/>
                <w:sz w:val="24"/>
                <w:szCs w:val="24"/>
              </w:rPr>
            </w:pPr>
            <w:r>
              <w:rPr>
                <w:rFonts w:ascii="Times New Roman" w:hAnsi="Times New Roman" w:cs="Times New Roman"/>
                <w:noProof/>
                <w:sz w:val="24"/>
                <w:szCs w:val="24"/>
                <w:lang w:val="en-US" w:eastAsia="en-US" w:bidi="ar-SA"/>
              </w:rPr>
              <w:drawing>
                <wp:anchor distT="0" distB="0" distL="114300" distR="114300" simplePos="0" relativeHeight="251659264" behindDoc="0" locked="0" layoutInCell="1" allowOverlap="1">
                  <wp:simplePos x="0" y="0"/>
                  <wp:positionH relativeFrom="column">
                    <wp:posOffset>88900</wp:posOffset>
                  </wp:positionH>
                  <wp:positionV relativeFrom="paragraph">
                    <wp:posOffset>-1270</wp:posOffset>
                  </wp:positionV>
                  <wp:extent cx="2197735"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rPr>
              <w:t>„Euroopa ülikoolid“</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 xml:space="preserve">olemasolevate ülikoolide alt üles suunatud võrgustikud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tipptasemel haridus, teadusuuringud ja innovatsioon</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valdkonnaülene lähenemisviis</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tasakaalustatud geograafilise asukoha alusel</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-13971</wp:posOffset>
                      </wp:positionH>
                      <wp:positionV relativeFrom="paragraph">
                        <wp:posOffset>-1800225</wp:posOffset>
                      </wp:positionV>
                      <wp:extent cx="5819775" cy="24574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819775" cy="2457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1pt;margin-top:-141.75pt;width:458.25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" filled="f" strokecolor="black [3213]" strokeweight="2pt"/>
                  </w:pict>
                </mc:Fallback>
              </mc:AlternateContent>
            </w:r>
            <w:r>
              <w:rPr>
                <w:rFonts w:ascii="Times New Roman" w:hAnsi="Times New Roman"/>
                <w:noProof/>
                <w:sz w:val="24"/>
              </w:rPr>
              <w:t>2024. aastaks vähemalt 20 Euroopa ülikooli</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esimene katseprojekt 2019. aastal programmi „Erasmus+“ raames</w:t>
            </w:r>
          </w:p>
          <w:p>
            <w:pPr>
              <w:shd w:val="clear" w:color="auto" w:fill="FFFFFF" w:themeFill="background1"/>
              <w:spacing w:before="120" w:after="120"/>
              <w:jc w:val="both"/>
              <w:rPr>
                <w:rFonts w:ascii="Times New Roman" w:hAnsi="Times New Roman" w:cs="Times New Roman"/>
                <w:noProof/>
                <w:sz w:val="24"/>
                <w:szCs w:val="24"/>
              </w:rPr>
            </w:pP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Lisaks tõhustab Firenzes asuva Euroopa Ülikooli-Instituudi juurde 2017. aastal asutatud </w:t>
      </w:r>
      <w:r>
        <w:rPr>
          <w:rFonts w:ascii="Times New Roman" w:hAnsi="Times New Roman"/>
          <w:b/>
          <w:noProof/>
          <w:sz w:val="24"/>
        </w:rPr>
        <w:t>Euroopa ja riikidevahelise valitsemise kool</w:t>
      </w:r>
      <w:r>
        <w:rPr>
          <w:rFonts w:ascii="Times New Roman" w:hAnsi="Times New Roman"/>
          <w:noProof/>
          <w:sz w:val="24"/>
        </w:rPr>
        <w:t xml:space="preserve"> oma tegevust, sealhulgas arendades partnerlust asjaga seotud institutsioonidega, et koolitada välja avaliku ja erasektori ning kodanikuühiskonna organisatsioonide juhte.</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Arendatakse välja ka muid meetmeid, millega toetada elukestval õppel põhinevat ja innovatsioonist kantud lähenemisviisi hariduses ja koolituses. Näiteks innovatsiooni ja konkurentsivõime toetamiseks on oluline ette näha, et inimesel peaks olema kvaliteetsed tehnilised ja spetsiifilised kutseoskused. Sel eesmärgil teeb komisjon ettepaneku toetada </w:t>
      </w:r>
      <w:r>
        <w:rPr>
          <w:rFonts w:ascii="Times New Roman" w:hAnsi="Times New Roman"/>
          <w:b/>
          <w:noProof/>
          <w:sz w:val="24"/>
        </w:rPr>
        <w:t>kutsehariduse ja -õppe tipptasemel keskuste</w:t>
      </w:r>
      <w:r>
        <w:rPr>
          <w:rFonts w:ascii="Times New Roman" w:hAnsi="Times New Roman"/>
          <w:noProof/>
          <w:sz w:val="24"/>
        </w:rPr>
        <w:t xml:space="preserve"> rajamist. Need keskused peaksid ühendama kutsehariduse ja -õppe näidispakkujaid kõigis liikmesriikides, edendama koostööd, sealhulgas sidusrühmadega tehtavat koostööd, ning püüdma arendada kõrge kvaliteediga õppekavasid ja kvalifikatsioone, mis on suunatud nõudlusele sektoripõhiste oskuste järele. Keskused peaksid tegutsema tipptaseme ja innovatsiooni mootorina ning edendama kutsehariduse ja -õppe ennetavat rolli kohaliku ja piirkondliku majanduse arengus, olles samas ettevõtlusinkubaatoriteks ja andes impulsse</w:t>
      </w:r>
      <w:r>
        <w:rPr>
          <w:noProof/>
        </w:rPr>
        <w:t xml:space="preserve"> </w:t>
      </w:r>
      <w:r>
        <w:rPr>
          <w:rFonts w:ascii="Times New Roman" w:hAnsi="Times New Roman" w:cs="Times New Roman"/>
          <w:noProof/>
          <w:sz w:val="24"/>
          <w:szCs w:val="24"/>
        </w:rPr>
        <w:t>investeeringute elavdamiseks.</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Kõik need meetmed on omavahel põimunud.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Euroopa haridusruumi loomise ambitsioonika üldeesmärgi saavutamisel on igal meetmel oma ülesanne. Eri algatused tekitavad koos sünergia, näiteks </w:t>
      </w:r>
    </w:p>
    <w:p>
      <w:pPr>
        <w:pStyle w:val="ListContinue"/>
        <w:spacing w:before="120" w:line="240" w:lineRule="auto"/>
        <w:contextualSpacing w:val="0"/>
        <w:rPr>
          <w:noProof/>
        </w:rPr>
      </w:pPr>
      <w:r>
        <w:rPr>
          <w:b/>
          <w:noProof/>
        </w:rPr>
        <w:t>liikuvus</w:t>
      </w:r>
      <w:r>
        <w:rPr>
          <w:noProof/>
        </w:rPr>
        <w:t xml:space="preserve"> ja </w:t>
      </w:r>
      <w:r>
        <w:rPr>
          <w:b/>
          <w:noProof/>
        </w:rPr>
        <w:t>keeleõpe</w:t>
      </w:r>
      <w:r>
        <w:rPr>
          <w:noProof/>
        </w:rPr>
        <w:t xml:space="preserve"> peaksid üksteist vastastikku toetama: võõrkeelte valdamine suurendab huvi välismaal õppimise vastu ja välismaal õppimine parandab keeleoskust; </w:t>
      </w:r>
    </w:p>
    <w:p>
      <w:pPr>
        <w:pStyle w:val="ListContinue"/>
        <w:spacing w:before="120" w:line="240" w:lineRule="auto"/>
        <w:contextualSpacing w:val="0"/>
        <w:rPr>
          <w:noProof/>
        </w:rPr>
      </w:pPr>
      <w:r>
        <w:rPr>
          <w:noProof/>
        </w:rPr>
        <w:t xml:space="preserve">keelte õppimine parandab arusaamist teistest </w:t>
      </w:r>
      <w:r>
        <w:rPr>
          <w:b/>
          <w:noProof/>
        </w:rPr>
        <w:t>kultuuridest</w:t>
      </w:r>
      <w:r>
        <w:rPr>
          <w:noProof/>
        </w:rPr>
        <w:t xml:space="preserve"> ja omaenda identiteedist;</w:t>
      </w:r>
    </w:p>
    <w:p>
      <w:pPr>
        <w:pStyle w:val="ListContinue"/>
        <w:spacing w:before="120" w:line="240" w:lineRule="auto"/>
        <w:contextualSpacing w:val="0"/>
        <w:rPr>
          <w:noProof/>
        </w:rPr>
      </w:pPr>
      <w:r>
        <w:rPr>
          <w:b/>
          <w:noProof/>
        </w:rPr>
        <w:t>kutsehariduse ja -õppe tipptasemel keskustel</w:t>
      </w:r>
      <w:r>
        <w:rPr>
          <w:noProof/>
        </w:rPr>
        <w:t xml:space="preserve"> tekib sünergiat ülikoolidega, nii aidatakse ühiselt kaasa selliste oskuste omandamisele, mida on vaja innovatsiooni ja konkurentsivõime toetamiseks;</w:t>
      </w:r>
    </w:p>
    <w:p>
      <w:pPr>
        <w:pStyle w:val="ListContinue"/>
        <w:spacing w:before="120" w:line="240" w:lineRule="auto"/>
        <w:contextualSpacing w:val="0"/>
        <w:rPr>
          <w:noProof/>
        </w:rPr>
      </w:pPr>
      <w:r>
        <w:rPr>
          <w:b/>
          <w:noProof/>
        </w:rPr>
        <w:t>diplomite ja õppeperioodide automaatne vastastikune tunnustamine</w:t>
      </w:r>
      <w:r>
        <w:rPr>
          <w:noProof/>
        </w:rPr>
        <w:t xml:space="preserve"> lihtsustavad veelgi välismaal õppimist ja suurendavad nõudlust liikuvuse ja huvi keeleõppe järele; </w:t>
      </w:r>
    </w:p>
    <w:p>
      <w:pPr>
        <w:pStyle w:val="ListContinue"/>
        <w:spacing w:before="120" w:line="240" w:lineRule="auto"/>
        <w:contextualSpacing w:val="0"/>
        <w:rPr>
          <w:noProof/>
        </w:rPr>
      </w:pPr>
      <w:r>
        <w:rPr>
          <w:noProof/>
        </w:rPr>
        <w:t xml:space="preserve">programmis „Erasmus+“ on üha rohkem liikuvaid osalejaid ning nende suurt arvu on lihtsam hallata digitaalsete lahenduste lihtsa ja aruka kasutamise abil, mis on </w:t>
      </w:r>
      <w:r>
        <w:rPr>
          <w:b/>
          <w:noProof/>
        </w:rPr>
        <w:t>Euroopa üliõpilaspileti</w:t>
      </w:r>
      <w:r>
        <w:rPr>
          <w:noProof/>
        </w:rPr>
        <w:t xml:space="preserve"> üks eesmärke;</w:t>
      </w:r>
    </w:p>
    <w:p>
      <w:pPr>
        <w:pStyle w:val="ListContinue"/>
        <w:spacing w:before="120" w:line="240" w:lineRule="auto"/>
        <w:contextualSpacing w:val="0"/>
        <w:rPr>
          <w:noProof/>
        </w:rPr>
      </w:pPr>
      <w:r>
        <w:rPr>
          <w:b/>
          <w:noProof/>
        </w:rPr>
        <w:t>„Euroopa ülikoolid“</w:t>
      </w:r>
      <w:r>
        <w:rPr>
          <w:noProof/>
        </w:rPr>
        <w:t xml:space="preserve"> peaksid olema Euroopa haridusruumi juhtivad mootorid, mis viivad ülikoolidevahelise piiriülese koostöö uuele ja ambitsioonikamale tasemele, suurendavad üliõpilaste ja õppejõudude liikuvust, ergutavad keeleõpet ning aitavad kaasa diplomite automaatse tunnustamise kiirendamisele.</w:t>
      </w:r>
    </w:p>
    <w:p>
      <w:pPr>
        <w:pStyle w:val="ListNumber"/>
        <w:spacing w:before="120" w:after="120" w:line="240" w:lineRule="auto"/>
        <w:contextualSpacing w:val="0"/>
        <w:jc w:val="both"/>
        <w:rPr>
          <w:noProof/>
        </w:rPr>
      </w:pPr>
      <w:r>
        <w:rPr>
          <w:noProof/>
        </w:rPr>
        <w:t xml:space="preserve">Kokkuvõte ja väljavaated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Liit </w:t>
      </w:r>
      <w:r>
        <w:rPr>
          <w:rFonts w:ascii="Times New Roman" w:hAnsi="Times New Roman"/>
          <w:b/>
          <w:noProof/>
          <w:sz w:val="24"/>
        </w:rPr>
        <w:t>asetab noored, hariduse, koolituse ja kultuuri oma poliitilises tegevuskavas olulisele kohale,</w:t>
      </w:r>
      <w:r>
        <w:rPr>
          <w:rFonts w:ascii="Times New Roman" w:hAnsi="Times New Roman"/>
          <w:noProof/>
          <w:sz w:val="24"/>
        </w:rPr>
        <w:t xml:space="preserve"> seda eelkõige pärast ELi juhtide kohtumist Göteborgis ja 2017. aasta detsembris toimunud Euroopa Ülemkogu. ELi juhtide tegevuskava kohaselt tehakse kokkuvõtted Sibius 2019. aastal toimuval tippkohtumisel. 2018. aasta jaanuaris ja täna vastu võetud pakettidega</w:t>
      </w:r>
      <w:r>
        <w:rPr>
          <w:rStyle w:val="FootnoteReference"/>
          <w:rFonts w:ascii="Times New Roman" w:hAnsi="Times New Roman"/>
          <w:noProof/>
          <w:sz w:val="24"/>
        </w:rPr>
        <w:footnoteReference w:id="23"/>
      </w:r>
      <w:r>
        <w:rPr>
          <w:rFonts w:ascii="Times New Roman" w:hAnsi="Times New Roman"/>
          <w:noProof/>
          <w:sz w:val="24"/>
        </w:rPr>
        <w:t xml:space="preserve"> esitab komisjon ambitsioonika kogumi meetmed, et toetada liikmesriike nende jõupingutustes, suurendades inimeste toimetulekuvõimet maailmas, mis on täis mitmekesisust, liikuvust, rännet, üleilmastumist ja tehnoloogilist muutumist. Koostöös nõukogu ja liikmesriikidega jätkab </w:t>
      </w:r>
      <w:r>
        <w:rPr>
          <w:rFonts w:ascii="Times New Roman" w:hAnsi="Times New Roman"/>
          <w:b/>
          <w:noProof/>
          <w:sz w:val="24"/>
        </w:rPr>
        <w:t>komisjon</w:t>
      </w:r>
      <w:r>
        <w:rPr>
          <w:rFonts w:ascii="Times New Roman" w:hAnsi="Times New Roman"/>
          <w:noProof/>
          <w:sz w:val="24"/>
        </w:rPr>
        <w:t xml:space="preserve"> oma tööd, eelkõige:</w:t>
      </w:r>
    </w:p>
    <w:p>
      <w:pPr>
        <w:pStyle w:val="ListContinue"/>
        <w:spacing w:before="120" w:line="240" w:lineRule="auto"/>
        <w:contextualSpacing w:val="0"/>
        <w:rPr>
          <w:noProof/>
        </w:rPr>
      </w:pPr>
      <w:r>
        <w:rPr>
          <w:noProof/>
        </w:rPr>
        <w:t xml:space="preserve">liikudes </w:t>
      </w:r>
      <w:r>
        <w:rPr>
          <w:b/>
          <w:noProof/>
        </w:rPr>
        <w:t>Euroopa haridusruumi</w:t>
      </w:r>
      <w:r>
        <w:rPr>
          <w:noProof/>
        </w:rPr>
        <w:t xml:space="preserve"> loomise suunas, mis hõlbustab liikuvust ja piiriülest koostööd, toetab reforme ning kasutab täielikult ära olemasolevaid vahendeid ja programme. Eesmärgi saavutamiseks tuleb:</w:t>
      </w:r>
    </w:p>
    <w:p>
      <w:pPr>
        <w:pStyle w:val="ListBullet4"/>
        <w:spacing w:before="120" w:after="120" w:line="240" w:lineRule="auto"/>
        <w:contextualSpacing w:val="0"/>
        <w:rPr>
          <w:noProof/>
        </w:rPr>
      </w:pPr>
      <w:r>
        <w:rPr>
          <w:noProof/>
        </w:rPr>
        <w:t xml:space="preserve">esitada ettepanek programmile </w:t>
      </w:r>
      <w:r>
        <w:rPr>
          <w:b/>
          <w:noProof/>
        </w:rPr>
        <w:t>„Erasmus+“</w:t>
      </w:r>
      <w:r>
        <w:rPr>
          <w:noProof/>
        </w:rPr>
        <w:t xml:space="preserve"> järgneva tugevama ja kaasavama </w:t>
      </w:r>
      <w:r>
        <w:rPr>
          <w:b/>
          <w:noProof/>
        </w:rPr>
        <w:t>jätkuprogrammi</w:t>
      </w:r>
      <w:r>
        <w:rPr>
          <w:noProof/>
        </w:rPr>
        <w:t xml:space="preserve"> kohta ning ettepanek </w:t>
      </w:r>
      <w:r>
        <w:rPr>
          <w:b/>
          <w:noProof/>
        </w:rPr>
        <w:t>Euroopa solidaarsuskorpuse</w:t>
      </w:r>
      <w:r>
        <w:rPr>
          <w:noProof/>
        </w:rPr>
        <w:t xml:space="preserve"> jätkamiseks; </w:t>
      </w:r>
    </w:p>
    <w:p>
      <w:pPr>
        <w:pStyle w:val="ListBullet4"/>
        <w:spacing w:before="120" w:after="120" w:line="240" w:lineRule="auto"/>
        <w:contextualSpacing w:val="0"/>
        <w:rPr>
          <w:noProof/>
        </w:rPr>
      </w:pPr>
      <w:r>
        <w:rPr>
          <w:noProof/>
        </w:rPr>
        <w:t xml:space="preserve">esitada 2020. aastaks ettepanekud, kuidas ajakohastada ja tugevdada </w:t>
      </w:r>
      <w:r>
        <w:rPr>
          <w:b/>
          <w:noProof/>
        </w:rPr>
        <w:t>ELi tasandi koostööd hariduse ja koolituse valdkonnas</w:t>
      </w:r>
      <w:r>
        <w:rPr>
          <w:noProof/>
        </w:rPr>
        <w:t xml:space="preserve">, et toetada paremat vastastikust õppimist ja riiklike reformide pingutusi; </w:t>
      </w:r>
    </w:p>
    <w:p>
      <w:pPr>
        <w:pStyle w:val="ListBullet4"/>
        <w:spacing w:before="120" w:after="120" w:line="240" w:lineRule="auto"/>
        <w:contextualSpacing w:val="0"/>
        <w:rPr>
          <w:noProof/>
        </w:rPr>
      </w:pPr>
      <w:r>
        <w:rPr>
          <w:noProof/>
        </w:rPr>
        <w:t xml:space="preserve">jätkata tihedat koostööd liikmesriikide ja nõukoguga, et töötada välja elukestval õppel põhinev ja innovatsioonist kantud lähenemisviis hariduses ja koolituses; </w:t>
      </w:r>
    </w:p>
    <w:p>
      <w:pPr>
        <w:pStyle w:val="ListContinue"/>
        <w:spacing w:before="120" w:line="240" w:lineRule="auto"/>
        <w:contextualSpacing w:val="0"/>
        <w:rPr>
          <w:noProof/>
        </w:rPr>
      </w:pPr>
      <w:r>
        <w:rPr>
          <w:noProof/>
        </w:rPr>
        <w:t xml:space="preserve">arendada välja õigus- ja finantsraamistiku tingimused </w:t>
      </w:r>
      <w:r>
        <w:rPr>
          <w:b/>
          <w:noProof/>
        </w:rPr>
        <w:t>kultuuri- ja loomemajanduse</w:t>
      </w:r>
      <w:r>
        <w:rPr>
          <w:noProof/>
        </w:rPr>
        <w:t xml:space="preserve"> arendamiseks ning kultuuri- ja loomesektori </w:t>
      </w:r>
      <w:r>
        <w:rPr>
          <w:b/>
          <w:noProof/>
        </w:rPr>
        <w:t>spetsialistide liikuvuseks</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Euroopa projekti noortele, haridusele, koolitusele ja kultuurile suunatud mõõtme tugevdamine aitab luua </w:t>
      </w:r>
      <w:r>
        <w:rPr>
          <w:rFonts w:ascii="Times New Roman" w:hAnsi="Times New Roman"/>
          <w:b/>
          <w:noProof/>
          <w:sz w:val="24"/>
        </w:rPr>
        <w:t>liidu, mille mõjuvõim suureneb, mis on teadlik oma saavutustest ja kindel, et suudab lahendada tulevasi probleeme</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liidu, mis on </w:t>
      </w:r>
      <w:r>
        <w:rPr>
          <w:b/>
          <w:noProof/>
        </w:rPr>
        <w:t>kodanikele lähemal</w:t>
      </w:r>
      <w:r>
        <w:rPr>
          <w:noProof/>
        </w:rPr>
        <w:t xml:space="preserve">, lahendab nende mured ja vastab nende ootustele; </w:t>
      </w:r>
    </w:p>
    <w:p>
      <w:pPr>
        <w:pStyle w:val="ListContinue"/>
        <w:spacing w:before="120" w:line="240" w:lineRule="auto"/>
        <w:contextualSpacing w:val="0"/>
        <w:rPr>
          <w:noProof/>
        </w:rPr>
      </w:pPr>
      <w:r>
        <w:rPr>
          <w:noProof/>
        </w:rPr>
        <w:t xml:space="preserve">liidu, mis teeb </w:t>
      </w:r>
      <w:r>
        <w:rPr>
          <w:b/>
          <w:noProof/>
        </w:rPr>
        <w:t>selgeks, et Euroopa projekt hõlmab järgmist</w:t>
      </w:r>
      <w:r>
        <w:rPr>
          <w:noProof/>
        </w:rPr>
        <w:t xml:space="preserve">: rahu, julgeolek, vabadus, demokraatia, võrdsus, õigusriik, solidaarsus ja vastastikune austus, avatud turud, jätkusuutlik majanduskasv ning sotsiaalne kaasatus ja õiglus; </w:t>
      </w:r>
    </w:p>
    <w:p>
      <w:pPr>
        <w:pStyle w:val="ListContinue"/>
        <w:spacing w:before="120" w:line="240" w:lineRule="auto"/>
        <w:contextualSpacing w:val="0"/>
        <w:rPr>
          <w:noProof/>
        </w:rPr>
      </w:pPr>
      <w:r>
        <w:rPr>
          <w:noProof/>
        </w:rPr>
        <w:t xml:space="preserve">liidu, mis edendab teadlikkust kultuurilisest </w:t>
      </w:r>
      <w:r>
        <w:rPr>
          <w:b/>
          <w:noProof/>
        </w:rPr>
        <w:t>mitmekesisusest</w:t>
      </w:r>
      <w:r>
        <w:rPr>
          <w:noProof/>
        </w:rPr>
        <w:t xml:space="preserve"> ja teadmist </w:t>
      </w:r>
      <w:r>
        <w:rPr>
          <w:b/>
          <w:noProof/>
        </w:rPr>
        <w:t>eurooplaste ühtekuuluvusest</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Tuginedes Göteborgis toimunud aruteludele ja 2017. aasta detsembris toimunud Euroopa Ülemkogu kohtumisel taotletud meetmetele, saavad ELi juhid Sibius toimuval kohtumisel rõhutada hariduse ja kultuuri rolli ning panna aluse </w:t>
      </w:r>
      <w:r>
        <w:rPr>
          <w:rFonts w:ascii="Times New Roman" w:hAnsi="Times New Roman"/>
          <w:b/>
          <w:noProof/>
          <w:sz w:val="24"/>
        </w:rPr>
        <w:t>veel rohkem ühinenud, tugevamale ja demokraatlikumale liidule</w:t>
      </w:r>
      <w:r>
        <w:rPr>
          <w:rFonts w:ascii="Times New Roman" w:hAnsi="Times New Roman"/>
          <w:noProof/>
          <w:sz w:val="24"/>
        </w:rPr>
        <w:t xml:space="preserve">.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ET</w:t>
    </w:r>
    <w:r>
      <w:rPr>
        <w:rFonts w:ascii="Arial" w:hAnsi="Arial" w:cs="Arial"/>
        <w:b/>
        <w:sz w:val="48"/>
      </w:rPr>
      <w:tab/>
    </w:r>
    <w:r>
      <w:rPr>
        <w:rFonts w:ascii="Arial" w:hAnsi="Arial" w:cs="Arial"/>
        <w:b/>
        <w:sz w:val="48"/>
      </w:rPr>
      <w:tab/>
    </w:r>
    <w:r>
      <w:tab/>
    </w:r>
    <w:r>
      <w:rPr>
        <w:rFonts w:ascii="Arial" w:hAnsi="Arial" w:cs="Arial"/>
        <w:b/>
        <w:sz w:val="48"/>
      </w:rPr>
      <w:t>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Valge raamat Euroopa tuleviku kohta: </w:t>
      </w:r>
      <w:hyperlink r:id="rId1">
        <w:r>
          <w:rPr>
            <w:rFonts w:ascii="Times New Roman" w:hAnsi="Times New Roman"/>
          </w:rPr>
          <w:t>Mõttearendusi ja tulevikustsenaariume EL 27 jaoks aastaks 2025,</w:t>
        </w:r>
      </w:hyperlink>
      <w:r>
        <w:rPr>
          <w:rFonts w:ascii="Times New Roman" w:hAnsi="Times New Roman"/>
        </w:rPr>
        <w:t xml:space="preserve"> (COM (2017)2025).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Sotsiaalõiguste sammas tugineb varasematele algatustele sotsiaalsema Euroopas loomiseks, sealhulgas ELi põhiõiguste hartale.</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Igaühel on õigus kvaliteetsele ja kaasavale haridusele, koolitusele ning elukestvale õppele, et säilitada ja omandada oskused, mis võimaldavad ühiskonnas täielikult osaleda ja aitavad suunduda edukalt tööturule. Allikas: institutsioonide ühine teadaanne Euroopa sotsiaalõiguste samba kohta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http://www.consilium.europa.eu/et/press/press-releases/2017/03/25/rome-declaration/pdf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Komisjoni teatises „Investeerimine Euroopa noortesse“ antakse ülevaade kõnealustest meetmetest (COM(2016)940).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Nõukogu järeldused Euroopa noortevaldkonnas tehtava koostöö strateegiliste väljavaadete kohta pärast 2018. aastat, mai 2017.</w:t>
      </w:r>
    </w:p>
  </w:footnote>
  <w:footnote w:id="8">
    <w:p>
      <w:pPr>
        <w:pStyle w:val="FootnoteText"/>
        <w:ind w:left="284" w:hanging="284"/>
        <w:jc w:val="both"/>
      </w:pPr>
      <w:r>
        <w:rPr>
          <w:rStyle w:val="FootnoteReference"/>
        </w:rPr>
        <w:footnoteRef/>
      </w:r>
      <w:r>
        <w:tab/>
      </w:r>
      <w:r>
        <w:rPr>
          <w:rFonts w:ascii="Times New Roman" w:hAnsi="Times New Roman"/>
        </w:rPr>
        <w:t xml:space="preserve">Vt ka komisjoni teatised „Koolide arendamine ja õpetamise täiustamine, et anda noortele edasiseks eluks hea stardipositsioon“ (COM(2017)248) ja „ELi uus kõrghariduse tegevuskava“ (COM(2017)247).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Komisjoni teatis „Euroopa identiteedi tugevdamine hariduse ja kultuuri kaudu“ (COM(2017)673).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Komisjon esitas digiõppe tegevuskava (COM(2018)22), ettepaneku nõukogu soovituseks, milles käsitletakse ühiste väärtuste, kaasava hariduse ja õpetamise Euroopa mõõtme edendamist (COM(2018)23) ning ettepaneku nõukogu soovituseks võtmepädevuste kohta elukestvas õppes (COM(2018)24). Lisaks esitas komisjon aprillis 2018 teatised väärinfo (COM(2018)236) ja tehisintellekti teemal (COM(2018)237).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Lähtuvalt Euroopa Komisjoni ettepanekust otsustas Euroopa Nõukogu korraldada Euroopa Ülemkogu 2019. aasta mais Rumeenias, Sibiu linnas. Selle eesmärk on teha kokkuvõte ELi juhtide tegevuskavas üles seatud valdkondades toimunud arengutest ja teha ettevalmistusi 27 liikmesriigiga Euroopa Liidu tulevikuks.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Nõukogu 22. aprilli 2013. aasta soovitus noortegarantii loomise kohta.</w:t>
      </w:r>
    </w:p>
  </w:footnote>
  <w:footnote w:id="13">
    <w:p>
      <w:pPr>
        <w:pStyle w:val="Default"/>
        <w:ind w:left="240" w:hanging="240"/>
        <w:jc w:val="both"/>
      </w:pPr>
      <w:r>
        <w:rPr>
          <w:rStyle w:val="FootnoteReference"/>
          <w:sz w:val="20"/>
        </w:rPr>
        <w:footnoteRef/>
      </w:r>
      <w:r>
        <w:tab/>
      </w:r>
      <w:r>
        <w:rPr>
          <w:sz w:val="20"/>
        </w:rPr>
        <w:t>Euroopa Ülemkogu järeldused, 7. ja 8. veebruar 2013.</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See pakett sisaldas komisjoni teatisi „Investeerimine Euroopa noortesse“ (COM(2016)0940, „Euroopa solidaarsuskorpus“ (COM(2016)0942) ning „Hariduse täiustamine ja moderniseerimine“ (COM(2016)0941).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Komisjoni teatis „Euroopa uus oskuste tegevuskava. Koostöö inimkapitali tugevdamiseks ning töölesobivuse ja konkurentsivõime suurendamiseks (COM(2016)0381).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Nõukogu soovitus „Oskuste täiendamise meetmed: uued võimalused täiskasvanutele“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Nõukogu soovitus kvaliteetse ja tõhusa õpipoisiõppe Euroopa raamistiku kohta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Sealhulgas mais 2017 avaldatud komisjoni teatised „Koolide arendamine ja õpetamise täiustamine, et anda noortele edasiseks eluks hea stardipositsioon“ (COM(2017)0248) ja „ELi uus kõrghariduse tegevuskava“ (COM(2017)0247).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Näitena võib tuua Põhjamaade, Balti ja Beneluxi piirkondades tehtud kokkuleppeid.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Projektid, mida toetatakse programmi „Erasmus+“ ja Euroopa ühendamise rahastu kaudu</w:t>
      </w:r>
      <w:hyperlink r:id="rId3">
        <w:r>
          <w:rPr>
            <w:rStyle w:val="Hyperlink"/>
            <w:rFonts w:ascii="Times New Roman" w:hAnsi="Times New Roman"/>
          </w:rPr>
          <w:t xml:space="preserve"> https://ec.europa.eu/inea/en/connecting-europe-facility/cef-telecom</w:t>
        </w:r>
      </w:hyperlink>
      <w: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Vt komisjoni teatis „Innovatsiooni edendamine Euroopa piirkondades: vastupanuvõimelise, kaasava ja jätkusuutliku majanduskasvu strateegiad“ (COM(2017)0376).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On palju häid näiteid nii riikidevaheliste võrgustike kui ka ELi algatuste koht, näiteks Erasmus Munduse ühised magistriõppekavad, Marie Skłodowska Curie meetmed ning Euroopa Innovatsiooni- ja Tehnoloogiainstituut. Komisjon avaldab peagi kaardistatud Euroopa kõrgkoolide olemasolevad koostöömudelid, näidates ära sellise koostöö käivitajad ja eelised, tehes kindlaks probleemid ja esitades võimalikud lahendused.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Vt joonealune märkus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revisionView w:markup="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3AB50864-09BE-457D-9F1A-1E2A51204919"/>
    <w:docVar w:name="LW_COVERPAGE_TYPE" w:val="1"/>
    <w:docVar w:name="LW_CROSSREFERENCE" w:val="&lt;UNUSED&gt;"/>
    <w:docVar w:name="LW_DocType" w:val="NORMAL"/>
    <w:docVar w:name="LW_EMISSION" w:val="22.5.2018"/>
    <w:docVar w:name="LW_EMISSION_ISODATE" w:val="2018-05-22"/>
    <w:docVar w:name="LW_EMISSION_LOCATION" w:val="BRX"/>
    <w:docVar w:name="LW_EMISSION_PREFIX" w:val="Brüssel,"/>
    <w:docVar w:name="LW_EMISSION_SUFFIX" w:val="&lt;EMPTY&gt;"/>
    <w:docVar w:name="LW_ID_DOCTYPE_NONLW" w:val="CP-014"/>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Calibri&gt;Tugevama Euroopa väljakujundamine: noorte-, haridus- ja kultuuripoliitika roll&lt;/FMT&gt;"/>
    <w:docVar w:name="LW_TYPE.DOC.CP" w:val="KOMISJONI TEATIS EUROOPA PARLAMENDILE, NÕUKOGULE, EUROOPA MAJANDUS- JA SOTSIAALKOMITEELE NING REGIOONIDE KOMITEELE"/>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et-EE"/>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et-EE"/>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et-EE"/>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et-EE"/>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et/press/press-releases/2017/03/25/rome-declaration/pdf." TargetMode="External"/><Relationship Id="rId1" Type="http://schemas.openxmlformats.org/officeDocument/2006/relationships/hyperlink" Target="http://eur-lex.europa.eu/legal-content/ET/TXT/?uri=COM:2017:2025: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B37CC-05EB-4853-8752-7EE4AEAC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Pages>
  <Words>2761</Words>
  <Characters>20545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26</cp:revision>
  <cp:lastPrinted>2018-05-03T16:07:00Z</cp:lastPrinted>
  <dcterms:created xsi:type="dcterms:W3CDTF">2018-05-08T08:32:00Z</dcterms:created>
  <dcterms:modified xsi:type="dcterms:W3CDTF">2018-05-25T09:23:00Z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