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00A7181-F7E2-4A8B-9C37-9A4C9CA7BA8C" style="width:450.75pt;height:452.2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LIITE I</w:t>
      </w:r>
    </w:p>
    <w:p>
      <w:pPr>
        <w:rPr>
          <w:noProof/>
        </w:rPr>
      </w:pPr>
    </w:p>
    <w:tbl>
      <w:tblPr>
        <w:tblW w:w="9289" w:type="dxa"/>
        <w:tblLook w:val="01E0" w:firstRow="1" w:lastRow="1" w:firstColumn="1" w:lastColumn="1" w:noHBand="0" w:noVBand="0"/>
      </w:tblPr>
      <w:tblGrid>
        <w:gridCol w:w="565"/>
        <w:gridCol w:w="501"/>
        <w:gridCol w:w="3072"/>
        <w:gridCol w:w="1800"/>
        <w:gridCol w:w="1850"/>
        <w:gridCol w:w="1501"/>
      </w:tblGrid>
      <w:tr>
        <w:tc>
          <w:tcPr>
            <w:tcW w:w="589" w:type="dxa"/>
            <w:shd w:val="clear" w:color="auto" w:fill="auto"/>
          </w:tcPr>
          <w:p>
            <w:pPr>
              <w:rPr>
                <w:noProof/>
              </w:rPr>
            </w:pPr>
          </w:p>
        </w:tc>
        <w:tc>
          <w:tcPr>
            <w:tcW w:w="8700" w:type="dxa"/>
            <w:gridSpan w:val="5"/>
            <w:shd w:val="clear" w:color="auto" w:fill="auto"/>
          </w:tcPr>
          <w:p>
            <w:pPr>
              <w:jc w:val="center"/>
              <w:rPr>
                <w:b/>
                <w:noProof/>
              </w:rPr>
            </w:pPr>
            <w:r>
              <w:rPr>
                <w:b/>
                <w:noProof/>
              </w:rPr>
              <w:t>Luettelo 4 artiklan 2 kohdassa tarkoitetuista E-säännöistä</w:t>
            </w:r>
          </w:p>
          <w:p>
            <w:pPr>
              <w:jc w:val="center"/>
              <w:rPr>
                <w:b/>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noProof/>
              </w:rPr>
            </w:pPr>
            <w:r>
              <w:rPr>
                <w:b/>
                <w:noProof/>
              </w:rPr>
              <w:t>Säännön numero</w:t>
            </w:r>
          </w:p>
        </w:tc>
        <w:tc>
          <w:tcPr>
            <w:tcW w:w="2588" w:type="dxa"/>
          </w:tcPr>
          <w:p>
            <w:pPr>
              <w:jc w:val="center"/>
              <w:rPr>
                <w:b/>
                <w:noProof/>
              </w:rPr>
            </w:pPr>
            <w:r>
              <w:rPr>
                <w:b/>
                <w:noProof/>
              </w:rPr>
              <w:t>Aihe</w:t>
            </w:r>
          </w:p>
        </w:tc>
        <w:tc>
          <w:tcPr>
            <w:tcW w:w="1595" w:type="dxa"/>
          </w:tcPr>
          <w:p>
            <w:pPr>
              <w:jc w:val="center"/>
              <w:rPr>
                <w:b/>
                <w:noProof/>
              </w:rPr>
            </w:pPr>
            <w:r>
              <w:rPr>
                <w:b/>
                <w:noProof/>
              </w:rPr>
              <w:t>EUVL:ssä julkaistu muutossarja</w:t>
            </w:r>
          </w:p>
        </w:tc>
        <w:tc>
          <w:tcPr>
            <w:tcW w:w="2323" w:type="dxa"/>
          </w:tcPr>
          <w:p>
            <w:pPr>
              <w:jc w:val="center"/>
              <w:rPr>
                <w:b/>
                <w:noProof/>
              </w:rPr>
            </w:pPr>
            <w:r>
              <w:rPr>
                <w:b/>
                <w:noProof/>
              </w:rPr>
              <w:t>EUVL-viite</w:t>
            </w:r>
          </w:p>
        </w:tc>
        <w:tc>
          <w:tcPr>
            <w:tcW w:w="1435" w:type="dxa"/>
          </w:tcPr>
          <w:p>
            <w:pPr>
              <w:jc w:val="center"/>
              <w:rPr>
                <w:b/>
                <w:noProof/>
              </w:rPr>
            </w:pPr>
            <w:r>
              <w:rPr>
                <w:b/>
                <w:noProof/>
              </w:rPr>
              <w:t>E-säännön soveltamisala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w:t>
            </w:r>
          </w:p>
        </w:tc>
        <w:tc>
          <w:tcPr>
            <w:tcW w:w="2588" w:type="dxa"/>
          </w:tcPr>
          <w:p>
            <w:pPr>
              <w:rPr>
                <w:noProof/>
              </w:rPr>
            </w:pPr>
            <w:r>
              <w:rPr>
                <w:noProof/>
              </w:rPr>
              <w:t>Epäsymmetrisen lähivalon ja/tai kaukovalon aikaansaavat, R2- ja/tai HS1-luokan hehkulampuilla varustetut ajovalaisimet</w:t>
            </w:r>
          </w:p>
        </w:tc>
        <w:tc>
          <w:tcPr>
            <w:tcW w:w="1595" w:type="dxa"/>
          </w:tcPr>
          <w:p>
            <w:pPr>
              <w:rPr>
                <w:noProof/>
              </w:rPr>
            </w:pPr>
            <w:r>
              <w:rPr>
                <w:noProof/>
              </w:rPr>
              <w:t>Muutossarja 02</w:t>
            </w:r>
          </w:p>
        </w:tc>
        <w:tc>
          <w:tcPr>
            <w:tcW w:w="2323" w:type="dxa"/>
          </w:tcPr>
          <w:p>
            <w:pPr>
              <w:jc w:val="left"/>
              <w:rPr>
                <w:noProof/>
              </w:rPr>
            </w:pPr>
            <w:r>
              <w:rPr>
                <w:noProof/>
              </w:rPr>
              <w:t>EUVL L 177, 10.7.2010, s. 1</w:t>
            </w:r>
          </w:p>
        </w:tc>
        <w:tc>
          <w:tcPr>
            <w:tcW w:w="1435" w:type="dxa"/>
          </w:tcPr>
          <w:p>
            <w:pPr>
              <w:rPr>
                <w:noProof/>
              </w:rPr>
            </w:pPr>
            <w:r>
              <w:rPr>
                <w:noProof/>
              </w:rPr>
              <w:t>M, N (</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w:t>
            </w:r>
          </w:p>
        </w:tc>
        <w:tc>
          <w:tcPr>
            <w:tcW w:w="2588" w:type="dxa"/>
          </w:tcPr>
          <w:p>
            <w:pPr>
              <w:rPr>
                <w:noProof/>
              </w:rPr>
            </w:pPr>
            <w:r>
              <w:rPr>
                <w:noProof/>
              </w:rPr>
              <w:t xml:space="preserve">Moottoriajoneuvojen heijastinlaitteet </w:t>
            </w:r>
          </w:p>
        </w:tc>
        <w:tc>
          <w:tcPr>
            <w:tcW w:w="1595" w:type="dxa"/>
          </w:tcPr>
          <w:p>
            <w:pPr>
              <w:rPr>
                <w:noProof/>
              </w:rPr>
            </w:pPr>
            <w:r>
              <w:rPr>
                <w:noProof/>
              </w:rPr>
              <w:t>Muutossarjan 02 täydennys 12</w:t>
            </w:r>
          </w:p>
        </w:tc>
        <w:tc>
          <w:tcPr>
            <w:tcW w:w="2323" w:type="dxa"/>
          </w:tcPr>
          <w:p>
            <w:pPr>
              <w:jc w:val="left"/>
              <w:rPr>
                <w:noProof/>
              </w:rPr>
            </w:pPr>
            <w:r>
              <w:rPr>
                <w:noProof/>
              </w:rPr>
              <w:t>EUVL L 323, 6.12.2011, s. 1</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w:t>
            </w:r>
          </w:p>
        </w:tc>
        <w:tc>
          <w:tcPr>
            <w:tcW w:w="2588" w:type="dxa"/>
          </w:tcPr>
          <w:p>
            <w:pPr>
              <w:rPr>
                <w:noProof/>
              </w:rPr>
            </w:pPr>
            <w:r>
              <w:rPr>
                <w:noProof/>
              </w:rPr>
              <w:t xml:space="preserve">Moottoriajoneuvojen ja niiden perävaunujen takarekisterikilpien valaisimet </w:t>
            </w:r>
          </w:p>
        </w:tc>
        <w:tc>
          <w:tcPr>
            <w:tcW w:w="1595" w:type="dxa"/>
          </w:tcPr>
          <w:p>
            <w:pPr>
              <w:rPr>
                <w:noProof/>
              </w:rPr>
            </w:pPr>
            <w:r>
              <w:rPr>
                <w:noProof/>
              </w:rPr>
              <w:t>Säännön alkuperäisversion täydennys 15</w:t>
            </w:r>
          </w:p>
        </w:tc>
        <w:tc>
          <w:tcPr>
            <w:tcW w:w="2323" w:type="dxa"/>
          </w:tcPr>
          <w:p>
            <w:pPr>
              <w:jc w:val="left"/>
              <w:rPr>
                <w:noProof/>
              </w:rPr>
            </w:pPr>
            <w:r>
              <w:rPr>
                <w:noProof/>
              </w:rPr>
              <w:t>EUVL L 4, 7.1.2012, s. 7</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6</w:t>
            </w:r>
          </w:p>
        </w:tc>
        <w:tc>
          <w:tcPr>
            <w:tcW w:w="2588" w:type="dxa"/>
          </w:tcPr>
          <w:p>
            <w:pPr>
              <w:rPr>
                <w:noProof/>
              </w:rPr>
            </w:pPr>
            <w:r>
              <w:rPr>
                <w:noProof/>
              </w:rPr>
              <w:t>Moottoriajoneuvojen ja niiden perävaunujen suuntavalaisimet</w:t>
            </w:r>
          </w:p>
        </w:tc>
        <w:tc>
          <w:tcPr>
            <w:tcW w:w="1595" w:type="dxa"/>
          </w:tcPr>
          <w:p>
            <w:pPr>
              <w:rPr>
                <w:noProof/>
              </w:rPr>
            </w:pPr>
            <w:r>
              <w:rPr>
                <w:noProof/>
              </w:rPr>
              <w:t>Muutossarjan 01 täydennys 25</w:t>
            </w:r>
          </w:p>
        </w:tc>
        <w:tc>
          <w:tcPr>
            <w:tcW w:w="2323" w:type="dxa"/>
          </w:tcPr>
          <w:p>
            <w:pPr>
              <w:jc w:val="left"/>
              <w:rPr>
                <w:noProof/>
              </w:rPr>
            </w:pPr>
            <w:r>
              <w:rPr>
                <w:noProof/>
              </w:rPr>
              <w:t>EUVL L 213, 18.7.2014, s. 1</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7</w:t>
            </w:r>
          </w:p>
        </w:tc>
        <w:tc>
          <w:tcPr>
            <w:tcW w:w="2588" w:type="dxa"/>
          </w:tcPr>
          <w:p>
            <w:pPr>
              <w:rPr>
                <w:noProof/>
              </w:rPr>
            </w:pPr>
            <w:r>
              <w:rPr>
                <w:noProof/>
              </w:rPr>
              <w:t xml:space="preserve">Moottoriajoneuvojen ja niiden perävaunujen etu- ja takavalaisimet, jarruvalaisimet ja äärivalaisimet </w:t>
            </w:r>
          </w:p>
        </w:tc>
        <w:tc>
          <w:tcPr>
            <w:tcW w:w="1595" w:type="dxa"/>
          </w:tcPr>
          <w:p>
            <w:pPr>
              <w:rPr>
                <w:noProof/>
              </w:rPr>
            </w:pPr>
            <w:r>
              <w:rPr>
                <w:noProof/>
              </w:rPr>
              <w:t>Muutossarjan 02 täydennys 23</w:t>
            </w:r>
          </w:p>
        </w:tc>
        <w:tc>
          <w:tcPr>
            <w:tcW w:w="2323" w:type="dxa"/>
          </w:tcPr>
          <w:p>
            <w:pPr>
              <w:jc w:val="left"/>
              <w:rPr>
                <w:noProof/>
              </w:rPr>
            </w:pPr>
            <w:r>
              <w:rPr>
                <w:noProof/>
              </w:rPr>
              <w:t>EUVL L 285, 30.9.2014, s. 1</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8</w:t>
            </w:r>
          </w:p>
        </w:tc>
        <w:tc>
          <w:tcPr>
            <w:tcW w:w="2588" w:type="dxa"/>
          </w:tcPr>
          <w:p>
            <w:pPr>
              <w:rPr>
                <w:noProof/>
              </w:rPr>
            </w:pPr>
            <w:r>
              <w:rPr>
                <w:noProof/>
              </w:rPr>
              <w:t>Moottoriajoneuvojen ajovalaisimet (H1, H2, H3, HB3, HB4, H7, H8, H9, HIR1, HIR2 ja/tai H11)</w:t>
            </w:r>
          </w:p>
        </w:tc>
        <w:tc>
          <w:tcPr>
            <w:tcW w:w="1595" w:type="dxa"/>
          </w:tcPr>
          <w:p>
            <w:pPr>
              <w:rPr>
                <w:noProof/>
              </w:rPr>
            </w:pPr>
            <w:r>
              <w:rPr>
                <w:noProof/>
              </w:rPr>
              <w:t>Muutossarja 05, tarkistuksen 4 oikaisu 1</w:t>
            </w:r>
          </w:p>
        </w:tc>
        <w:tc>
          <w:tcPr>
            <w:tcW w:w="2323" w:type="dxa"/>
          </w:tcPr>
          <w:p>
            <w:pPr>
              <w:jc w:val="left"/>
              <w:rPr>
                <w:noProof/>
              </w:rPr>
            </w:pPr>
            <w:r>
              <w:rPr>
                <w:noProof/>
              </w:rPr>
              <w:br/>
              <w:t>EUVL L 177, 10.7.2010, s. 71</w:t>
            </w:r>
          </w:p>
        </w:tc>
        <w:tc>
          <w:tcPr>
            <w:tcW w:w="1435"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w:t>
            </w:r>
          </w:p>
        </w:tc>
        <w:tc>
          <w:tcPr>
            <w:tcW w:w="2588" w:type="dxa"/>
          </w:tcPr>
          <w:p>
            <w:pPr>
              <w:rPr>
                <w:noProof/>
              </w:rPr>
            </w:pPr>
            <w:r>
              <w:rPr>
                <w:noProof/>
              </w:rPr>
              <w:t xml:space="preserve">Sähkömagneettinen yhteensopivuus </w:t>
            </w:r>
          </w:p>
        </w:tc>
        <w:tc>
          <w:tcPr>
            <w:tcW w:w="1595" w:type="dxa"/>
          </w:tcPr>
          <w:p>
            <w:pPr>
              <w:rPr>
                <w:noProof/>
              </w:rPr>
            </w:pPr>
            <w:r>
              <w:rPr>
                <w:noProof/>
              </w:rPr>
              <w:t>Muutossarjan 05 täydennys 01</w:t>
            </w:r>
          </w:p>
        </w:tc>
        <w:tc>
          <w:tcPr>
            <w:tcW w:w="2323" w:type="dxa"/>
          </w:tcPr>
          <w:p>
            <w:pPr>
              <w:jc w:val="left"/>
              <w:rPr>
                <w:b/>
                <w:bCs/>
                <w:noProof/>
              </w:rPr>
            </w:pPr>
            <w:r>
              <w:rPr>
                <w:noProof/>
              </w:rPr>
              <w:t>EUVL L 41, 17.2.2017, s. 1</w:t>
            </w:r>
          </w:p>
        </w:tc>
        <w:tc>
          <w:tcPr>
            <w:tcW w:w="1435"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w:t>
            </w:r>
          </w:p>
        </w:tc>
        <w:tc>
          <w:tcPr>
            <w:tcW w:w="2588" w:type="dxa"/>
          </w:tcPr>
          <w:p>
            <w:pPr>
              <w:rPr>
                <w:noProof/>
              </w:rPr>
            </w:pPr>
            <w:r>
              <w:rPr>
                <w:noProof/>
              </w:rPr>
              <w:t>Ovisalvat ja ovien pidätysmekanismien komponentit</w:t>
            </w:r>
          </w:p>
        </w:tc>
        <w:tc>
          <w:tcPr>
            <w:tcW w:w="1595" w:type="dxa"/>
          </w:tcPr>
          <w:p>
            <w:pPr>
              <w:rPr>
                <w:noProof/>
              </w:rPr>
            </w:pPr>
            <w:r>
              <w:rPr>
                <w:noProof/>
              </w:rPr>
              <w:t>Muutossarjan 03 täydennys 2</w:t>
            </w:r>
          </w:p>
        </w:tc>
        <w:tc>
          <w:tcPr>
            <w:tcW w:w="2323" w:type="dxa"/>
          </w:tcPr>
          <w:p>
            <w:pPr>
              <w:jc w:val="left"/>
              <w:rPr>
                <w:noProof/>
              </w:rPr>
            </w:pPr>
            <w:r>
              <w:rPr>
                <w:noProof/>
              </w:rPr>
              <w:t>EUVL L 120, 13.5.2010, s. 1</w:t>
            </w:r>
          </w:p>
          <w:p>
            <w:pPr>
              <w:jc w:val="left"/>
              <w:rPr>
                <w:i/>
                <w:noProof/>
              </w:rPr>
            </w:pPr>
            <w:r>
              <w:rPr>
                <w:i/>
                <w:noProof/>
              </w:rPr>
              <w:t>[Julkaisutoimisto: tarkoitus kääntää v. 2018 – päivitetään viittaukset kun saatavilla]</w:t>
            </w:r>
          </w:p>
        </w:tc>
        <w:tc>
          <w:tcPr>
            <w:tcW w:w="1435"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w:t>
            </w:r>
          </w:p>
        </w:tc>
        <w:tc>
          <w:tcPr>
            <w:tcW w:w="2588" w:type="dxa"/>
          </w:tcPr>
          <w:p>
            <w:pPr>
              <w:rPr>
                <w:noProof/>
              </w:rPr>
            </w:pPr>
            <w:r>
              <w:rPr>
                <w:noProof/>
              </w:rPr>
              <w:t xml:space="preserve">Kuljettajan suojaaminen törmäyksessä ohjausmekanismia vasten </w:t>
            </w:r>
          </w:p>
        </w:tc>
        <w:tc>
          <w:tcPr>
            <w:tcW w:w="1595" w:type="dxa"/>
          </w:tcPr>
          <w:p>
            <w:pPr>
              <w:rPr>
                <w:b/>
                <w:bCs/>
                <w:noProof/>
              </w:rPr>
            </w:pPr>
            <w:r>
              <w:rPr>
                <w:noProof/>
              </w:rPr>
              <w:t>Muutossarjan 04 täydennys 1</w:t>
            </w:r>
          </w:p>
        </w:tc>
        <w:tc>
          <w:tcPr>
            <w:tcW w:w="2323" w:type="dxa"/>
          </w:tcPr>
          <w:p>
            <w:pPr>
              <w:jc w:val="left"/>
              <w:rPr>
                <w:noProof/>
              </w:rPr>
            </w:pPr>
            <w:r>
              <w:rPr>
                <w:noProof/>
              </w:rPr>
              <w:t>EUVL L 89, 27.3.2013, s. 1</w:t>
            </w:r>
          </w:p>
          <w:p>
            <w:pPr>
              <w:jc w:val="left"/>
              <w:rPr>
                <w:bCs/>
                <w:noProof/>
              </w:rPr>
            </w:pPr>
            <w:r>
              <w:rPr>
                <w:i/>
                <w:noProof/>
              </w:rPr>
              <w:t>[Julkaisutoimisto: tarkoitus kääntää v. 2018 – päivitetään viittaukset kun saatavilla]</w:t>
            </w:r>
          </w:p>
        </w:tc>
        <w:tc>
          <w:tcPr>
            <w:tcW w:w="1435" w:type="dxa"/>
          </w:tcPr>
          <w:p>
            <w:pPr>
              <w:rPr>
                <w:b/>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w:t>
            </w:r>
          </w:p>
        </w:tc>
        <w:tc>
          <w:tcPr>
            <w:tcW w:w="2588" w:type="dxa"/>
          </w:tcPr>
          <w:p>
            <w:pPr>
              <w:rPr>
                <w:noProof/>
              </w:rPr>
            </w:pPr>
            <w:r>
              <w:rPr>
                <w:noProof/>
              </w:rPr>
              <w:t>Ajoneuvojen ja perävaunujen jarrulaitteet</w:t>
            </w:r>
          </w:p>
        </w:tc>
        <w:tc>
          <w:tcPr>
            <w:tcW w:w="1595" w:type="dxa"/>
          </w:tcPr>
          <w:p>
            <w:pPr>
              <w:rPr>
                <w:noProof/>
              </w:rPr>
            </w:pPr>
            <w:r>
              <w:rPr>
                <w:noProof/>
              </w:rPr>
              <w:t>Muutossarjan 11 täydennys 13</w:t>
            </w:r>
          </w:p>
        </w:tc>
        <w:tc>
          <w:tcPr>
            <w:tcW w:w="2323" w:type="dxa"/>
          </w:tcPr>
          <w:p>
            <w:pPr>
              <w:jc w:val="left"/>
              <w:rPr>
                <w:noProof/>
              </w:rPr>
            </w:pPr>
            <w:r>
              <w:rPr>
                <w:noProof/>
              </w:rPr>
              <w:t>EUVL L 42, 18.2.2016, S. 1.</w:t>
            </w:r>
          </w:p>
        </w:tc>
        <w:tc>
          <w:tcPr>
            <w:tcW w:w="1435" w:type="dxa"/>
          </w:tcPr>
          <w:p>
            <w:pPr>
              <w:rPr>
                <w:noProof/>
              </w:rPr>
            </w:pPr>
            <w:r>
              <w:rPr>
                <w:noProof/>
                <w:color w:val="000000"/>
              </w:rPr>
              <w:t>M</w:t>
            </w:r>
            <w:r>
              <w:rPr>
                <w:noProof/>
                <w:color w:val="000000"/>
                <w:vertAlign w:val="subscript"/>
              </w:rPr>
              <w:t>2</w:t>
            </w:r>
            <w:r>
              <w:rPr>
                <w:noProof/>
                <w:color w:val="000000"/>
              </w:rPr>
              <w:t>, M</w:t>
            </w:r>
            <w:r>
              <w:rPr>
                <w:noProof/>
                <w:color w:val="000000"/>
                <w:vertAlign w:val="subscript"/>
              </w:rPr>
              <w:t>3</w:t>
            </w:r>
            <w:r>
              <w:rPr>
                <w:noProof/>
                <w:color w:val="000000"/>
              </w:rPr>
              <w:t>, N, O</w:t>
            </w:r>
            <w:r>
              <w:rPr>
                <w:noProof/>
                <w:color w:val="000000"/>
                <w:sz w:val="18"/>
              </w:rPr>
              <w:t xml:space="preserve"> </w:t>
            </w:r>
            <w:r>
              <w:rPr>
                <w:noProof/>
              </w:rPr>
              <w:t>(</w:t>
            </w:r>
            <w:r>
              <w:rPr>
                <w:noProof/>
                <w:vertAlign w:val="superscript"/>
              </w:rPr>
              <w:t>b</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13-H</w:t>
            </w:r>
          </w:p>
        </w:tc>
        <w:tc>
          <w:tcPr>
            <w:tcW w:w="2588" w:type="dxa"/>
          </w:tcPr>
          <w:p>
            <w:pPr>
              <w:rPr>
                <w:noProof/>
              </w:rPr>
            </w:pPr>
            <w:r>
              <w:rPr>
                <w:noProof/>
              </w:rPr>
              <w:t xml:space="preserve">Henkilöautojen jarrulaitteet </w:t>
            </w:r>
          </w:p>
        </w:tc>
        <w:tc>
          <w:tcPr>
            <w:tcW w:w="1595" w:type="dxa"/>
          </w:tcPr>
          <w:p>
            <w:pPr>
              <w:rPr>
                <w:noProof/>
              </w:rPr>
            </w:pPr>
            <w:r>
              <w:rPr>
                <w:noProof/>
              </w:rPr>
              <w:t>Säännön alkuperäisversion täydennys 16</w:t>
            </w:r>
          </w:p>
        </w:tc>
        <w:tc>
          <w:tcPr>
            <w:tcW w:w="2323" w:type="dxa"/>
          </w:tcPr>
          <w:p>
            <w:pPr>
              <w:jc w:val="left"/>
              <w:rPr>
                <w:noProof/>
              </w:rPr>
            </w:pPr>
            <w:r>
              <w:rPr>
                <w:noProof/>
              </w:rPr>
              <w:t>EUVL L 335, 22.12.2015, s. 1.</w:t>
            </w:r>
          </w:p>
        </w:tc>
        <w:tc>
          <w:tcPr>
            <w:tcW w:w="1435"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14</w:t>
            </w:r>
          </w:p>
        </w:tc>
        <w:tc>
          <w:tcPr>
            <w:tcW w:w="2588" w:type="dxa"/>
          </w:tcPr>
          <w:p>
            <w:pPr>
              <w:rPr>
                <w:noProof/>
              </w:rPr>
            </w:pPr>
            <w:r>
              <w:rPr>
                <w:noProof/>
              </w:rPr>
              <w:t>Turvavöiden kiinnityspisteet, ISOFIX-kiinnitysjärjestelmät ja ISOFIX-ylähihnakiinnityspisteet</w:t>
            </w:r>
          </w:p>
        </w:tc>
        <w:tc>
          <w:tcPr>
            <w:tcW w:w="1595" w:type="dxa"/>
          </w:tcPr>
          <w:p>
            <w:pPr>
              <w:rPr>
                <w:noProof/>
              </w:rPr>
            </w:pPr>
            <w:r>
              <w:rPr>
                <w:noProof/>
              </w:rPr>
              <w:t>Muutossarjan 07 täydennys 5</w:t>
            </w:r>
          </w:p>
        </w:tc>
        <w:tc>
          <w:tcPr>
            <w:tcW w:w="2323" w:type="dxa"/>
          </w:tcPr>
          <w:p>
            <w:pPr>
              <w:jc w:val="left"/>
              <w:rPr>
                <w:noProof/>
              </w:rPr>
            </w:pPr>
            <w:r>
              <w:rPr>
                <w:noProof/>
              </w:rPr>
              <w:t>EUVL L 218, 19.8.2015, s. 27</w:t>
            </w:r>
          </w:p>
          <w:p>
            <w:pPr>
              <w:jc w:val="left"/>
              <w:rPr>
                <w:noProof/>
              </w:rPr>
            </w:pPr>
            <w:r>
              <w:rPr>
                <w:i/>
                <w:noProof/>
              </w:rPr>
              <w:t>[Julkaisutoimisto: tarkoitus kääntää v. 2018 – päivitetään viittaukset kun saatavilla]</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16</w:t>
            </w:r>
          </w:p>
        </w:tc>
        <w:tc>
          <w:tcPr>
            <w:tcW w:w="2588" w:type="dxa"/>
          </w:tcPr>
          <w:p>
            <w:pPr>
              <w:rPr>
                <w:noProof/>
              </w:rPr>
            </w:pPr>
            <w:r>
              <w:rPr>
                <w:noProof/>
              </w:rPr>
              <w:t>Turvavyöt, turvajärjestelmät, lasten turvajärjestelmät ja lasten ISOFIX-turvajärjestelmät</w:t>
            </w:r>
          </w:p>
        </w:tc>
        <w:tc>
          <w:tcPr>
            <w:tcW w:w="1595" w:type="dxa"/>
          </w:tcPr>
          <w:p>
            <w:pPr>
              <w:rPr>
                <w:noProof/>
              </w:rPr>
            </w:pPr>
            <w:r>
              <w:rPr>
                <w:noProof/>
              </w:rPr>
              <w:t>Muutossarjan 07 täydennys 2</w:t>
            </w:r>
          </w:p>
        </w:tc>
        <w:tc>
          <w:tcPr>
            <w:tcW w:w="2323" w:type="dxa"/>
          </w:tcPr>
          <w:p>
            <w:pPr>
              <w:jc w:val="left"/>
              <w:rPr>
                <w:noProof/>
              </w:rPr>
            </w:pPr>
            <w:r>
              <w:rPr>
                <w:noProof/>
              </w:rPr>
              <w:t>EUVL L 109, 27.4.2018,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17</w:t>
            </w:r>
          </w:p>
        </w:tc>
        <w:tc>
          <w:tcPr>
            <w:tcW w:w="2588" w:type="dxa"/>
          </w:tcPr>
          <w:p>
            <w:pPr>
              <w:rPr>
                <w:noProof/>
              </w:rPr>
            </w:pPr>
            <w:r>
              <w:rPr>
                <w:noProof/>
              </w:rPr>
              <w:t>Istuimet, niiden kiinnityspisteet ja mahdolliset pääntuet</w:t>
            </w:r>
          </w:p>
        </w:tc>
        <w:tc>
          <w:tcPr>
            <w:tcW w:w="1595" w:type="dxa"/>
          </w:tcPr>
          <w:p>
            <w:pPr>
              <w:rPr>
                <w:noProof/>
              </w:rPr>
            </w:pPr>
            <w:r>
              <w:rPr>
                <w:noProof/>
              </w:rPr>
              <w:t>Muutossarja 08</w:t>
            </w:r>
          </w:p>
        </w:tc>
        <w:tc>
          <w:tcPr>
            <w:tcW w:w="2323" w:type="dxa"/>
          </w:tcPr>
          <w:p>
            <w:pPr>
              <w:jc w:val="left"/>
              <w:rPr>
                <w:noProof/>
              </w:rPr>
            </w:pPr>
            <w:r>
              <w:rPr>
                <w:noProof/>
              </w:rPr>
              <w:t>EUVL L 230, 31.8.2010, s. 81</w:t>
            </w:r>
          </w:p>
          <w:p>
            <w:pPr>
              <w:jc w:val="left"/>
              <w:rPr>
                <w:noProof/>
              </w:rPr>
            </w:pPr>
            <w:r>
              <w:rPr>
                <w:i/>
                <w:noProof/>
              </w:rPr>
              <w:t>[Julkaisutoimisto: tarkoitus kääntää v. 2018 – päivitetään viittaukset kun saatavilla]</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18</w:t>
            </w:r>
          </w:p>
        </w:tc>
        <w:tc>
          <w:tcPr>
            <w:tcW w:w="2588" w:type="dxa"/>
          </w:tcPr>
          <w:p>
            <w:pPr>
              <w:rPr>
                <w:noProof/>
              </w:rPr>
            </w:pPr>
            <w:r>
              <w:rPr>
                <w:noProof/>
              </w:rPr>
              <w:t>Moottoriajoneuvojen luvattoman käytön estävät laitteet</w:t>
            </w:r>
          </w:p>
        </w:tc>
        <w:tc>
          <w:tcPr>
            <w:tcW w:w="1595" w:type="dxa"/>
          </w:tcPr>
          <w:p>
            <w:pPr>
              <w:rPr>
                <w:noProof/>
              </w:rPr>
            </w:pPr>
            <w:r>
              <w:rPr>
                <w:noProof/>
              </w:rPr>
              <w:t>Muutossarjan 03 täydennys 2</w:t>
            </w:r>
          </w:p>
        </w:tc>
        <w:tc>
          <w:tcPr>
            <w:tcW w:w="2323" w:type="dxa"/>
          </w:tcPr>
          <w:p>
            <w:pPr>
              <w:jc w:val="left"/>
              <w:rPr>
                <w:b/>
                <w:bCs/>
                <w:noProof/>
              </w:rPr>
            </w:pPr>
            <w:r>
              <w:rPr>
                <w:noProof/>
              </w:rPr>
              <w:t>EUVL L 120, 13.5.2010, S. 29</w:t>
            </w:r>
          </w:p>
        </w:tc>
        <w:tc>
          <w:tcPr>
            <w:tcW w:w="1435" w:type="dxa"/>
          </w:tcPr>
          <w:p>
            <w:pPr>
              <w:rPr>
                <w:b/>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19</w:t>
            </w:r>
          </w:p>
        </w:tc>
        <w:tc>
          <w:tcPr>
            <w:tcW w:w="2588" w:type="dxa"/>
          </w:tcPr>
          <w:p>
            <w:pPr>
              <w:rPr>
                <w:noProof/>
              </w:rPr>
            </w:pPr>
            <w:r>
              <w:rPr>
                <w:noProof/>
              </w:rPr>
              <w:t>Moottoriajoneuvojen etusumuvalaisimet</w:t>
            </w:r>
          </w:p>
        </w:tc>
        <w:tc>
          <w:tcPr>
            <w:tcW w:w="1595" w:type="dxa"/>
          </w:tcPr>
          <w:p>
            <w:pPr>
              <w:rPr>
                <w:noProof/>
              </w:rPr>
            </w:pPr>
            <w:r>
              <w:rPr>
                <w:noProof/>
              </w:rPr>
              <w:t>Muutossarjan 04 täydennys 6</w:t>
            </w:r>
          </w:p>
        </w:tc>
        <w:tc>
          <w:tcPr>
            <w:tcW w:w="2323" w:type="dxa"/>
          </w:tcPr>
          <w:p>
            <w:pPr>
              <w:jc w:val="left"/>
              <w:rPr>
                <w:noProof/>
              </w:rPr>
            </w:pPr>
            <w:r>
              <w:rPr>
                <w:noProof/>
              </w:rPr>
              <w:t>EUVL L 250, 22.8.2014,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20</w:t>
            </w:r>
          </w:p>
        </w:tc>
        <w:tc>
          <w:tcPr>
            <w:tcW w:w="2588" w:type="dxa"/>
          </w:tcPr>
          <w:p>
            <w:pPr>
              <w:rPr>
                <w:noProof/>
              </w:rPr>
            </w:pPr>
            <w:r>
              <w:rPr>
                <w:noProof/>
              </w:rPr>
              <w:t>Epäsymmetrisen lähivalon tai kaukovalon tai molemmat tuottavat, halogeenihehkulampuilla (H4-lampuilla) varustetut ajovalaisimet</w:t>
            </w:r>
          </w:p>
        </w:tc>
        <w:tc>
          <w:tcPr>
            <w:tcW w:w="1595" w:type="dxa"/>
          </w:tcPr>
          <w:p>
            <w:pPr>
              <w:rPr>
                <w:noProof/>
              </w:rPr>
            </w:pPr>
            <w:r>
              <w:rPr>
                <w:noProof/>
              </w:rPr>
              <w:t>Muutossarja 03</w:t>
            </w:r>
          </w:p>
        </w:tc>
        <w:tc>
          <w:tcPr>
            <w:tcW w:w="2323" w:type="dxa"/>
          </w:tcPr>
          <w:p>
            <w:pPr>
              <w:jc w:val="left"/>
              <w:rPr>
                <w:noProof/>
              </w:rPr>
            </w:pPr>
            <w:r>
              <w:rPr>
                <w:noProof/>
              </w:rPr>
              <w:t>EUVL L 177, 10.7.2010, s. 170</w:t>
            </w:r>
          </w:p>
        </w:tc>
        <w:tc>
          <w:tcPr>
            <w:tcW w:w="1435"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21</w:t>
            </w:r>
          </w:p>
        </w:tc>
        <w:tc>
          <w:tcPr>
            <w:tcW w:w="2588" w:type="dxa"/>
          </w:tcPr>
          <w:p>
            <w:pPr>
              <w:rPr>
                <w:noProof/>
              </w:rPr>
            </w:pPr>
            <w:r>
              <w:rPr>
                <w:noProof/>
              </w:rPr>
              <w:t>Sisustus</w:t>
            </w:r>
          </w:p>
        </w:tc>
        <w:tc>
          <w:tcPr>
            <w:tcW w:w="1595" w:type="dxa"/>
          </w:tcPr>
          <w:p>
            <w:pPr>
              <w:rPr>
                <w:noProof/>
              </w:rPr>
            </w:pPr>
            <w:r>
              <w:rPr>
                <w:noProof/>
              </w:rPr>
              <w:t>Muutossarjan 01 täydennys 3</w:t>
            </w:r>
          </w:p>
        </w:tc>
        <w:tc>
          <w:tcPr>
            <w:tcW w:w="2323" w:type="dxa"/>
          </w:tcPr>
          <w:p>
            <w:pPr>
              <w:jc w:val="left"/>
              <w:rPr>
                <w:b/>
                <w:bCs/>
                <w:noProof/>
              </w:rPr>
            </w:pPr>
            <w:r>
              <w:rPr>
                <w:noProof/>
              </w:rPr>
              <w:t>EUVL L 188, 16.7.2008, s. 32</w:t>
            </w:r>
          </w:p>
        </w:tc>
        <w:tc>
          <w:tcPr>
            <w:tcW w:w="1435"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23</w:t>
            </w:r>
          </w:p>
        </w:tc>
        <w:tc>
          <w:tcPr>
            <w:tcW w:w="2588" w:type="dxa"/>
          </w:tcPr>
          <w:p>
            <w:pPr>
              <w:rPr>
                <w:noProof/>
              </w:rPr>
            </w:pPr>
            <w:r>
              <w:rPr>
                <w:noProof/>
              </w:rPr>
              <w:t>Moottoriajoneuvojen ja niiden perävaunujen peruutusvalaisimet</w:t>
            </w:r>
          </w:p>
        </w:tc>
        <w:tc>
          <w:tcPr>
            <w:tcW w:w="1595" w:type="dxa"/>
          </w:tcPr>
          <w:p>
            <w:pPr>
              <w:rPr>
                <w:noProof/>
              </w:rPr>
            </w:pPr>
            <w:r>
              <w:rPr>
                <w:noProof/>
              </w:rPr>
              <w:t>Säännön alkuperäisversion täydennys 19</w:t>
            </w:r>
          </w:p>
        </w:tc>
        <w:tc>
          <w:tcPr>
            <w:tcW w:w="2323" w:type="dxa"/>
          </w:tcPr>
          <w:p>
            <w:pPr>
              <w:jc w:val="left"/>
              <w:rPr>
                <w:b/>
                <w:bCs/>
                <w:noProof/>
              </w:rPr>
            </w:pPr>
            <w:r>
              <w:rPr>
                <w:noProof/>
              </w:rPr>
              <w:t>EUVL L 237, 8.8.2014, s. 1</w:t>
            </w:r>
          </w:p>
        </w:tc>
        <w:tc>
          <w:tcPr>
            <w:tcW w:w="1435"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25</w:t>
            </w:r>
          </w:p>
        </w:tc>
        <w:tc>
          <w:tcPr>
            <w:tcW w:w="2588" w:type="dxa"/>
          </w:tcPr>
          <w:p>
            <w:pPr>
              <w:rPr>
                <w:noProof/>
              </w:rPr>
            </w:pPr>
            <w:r>
              <w:rPr>
                <w:noProof/>
              </w:rPr>
              <w:t>Ajoneuvon istuimiin sisältyvät ja muut pääntuet (niskatuet)</w:t>
            </w:r>
          </w:p>
        </w:tc>
        <w:tc>
          <w:tcPr>
            <w:tcW w:w="1595" w:type="dxa"/>
          </w:tcPr>
          <w:p>
            <w:pPr>
              <w:rPr>
                <w:noProof/>
              </w:rPr>
            </w:pPr>
            <w:r>
              <w:rPr>
                <w:noProof/>
              </w:rPr>
              <w:t>Muutossarja 04, tarkistuksen 1 oikaisu 2</w:t>
            </w:r>
          </w:p>
        </w:tc>
        <w:tc>
          <w:tcPr>
            <w:tcW w:w="2323" w:type="dxa"/>
          </w:tcPr>
          <w:p>
            <w:pPr>
              <w:jc w:val="left"/>
              <w:rPr>
                <w:noProof/>
              </w:rPr>
            </w:pPr>
            <w:r>
              <w:rPr>
                <w:noProof/>
              </w:rPr>
              <w:br/>
              <w:t>EUVL L 215, 14.8.2010, s. 1</w:t>
            </w:r>
          </w:p>
          <w:p>
            <w:pPr>
              <w:jc w:val="left"/>
              <w:rPr>
                <w:b/>
                <w:bCs/>
                <w:noProof/>
              </w:rPr>
            </w:pPr>
            <w:r>
              <w:rPr>
                <w:i/>
                <w:noProof/>
              </w:rPr>
              <w:t>[Julkaisutoimisto: tarkoitus kääntää v. 2018 – päivitetään viittaukset kun saatavilla]</w:t>
            </w:r>
          </w:p>
        </w:tc>
        <w:tc>
          <w:tcPr>
            <w:tcW w:w="1435"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26</w:t>
            </w:r>
          </w:p>
        </w:tc>
        <w:tc>
          <w:tcPr>
            <w:tcW w:w="2588" w:type="dxa"/>
          </w:tcPr>
          <w:p>
            <w:pPr>
              <w:rPr>
                <w:noProof/>
              </w:rPr>
            </w:pPr>
            <w:r>
              <w:rPr>
                <w:noProof/>
              </w:rPr>
              <w:t>Ulkonevat osat</w:t>
            </w:r>
          </w:p>
        </w:tc>
        <w:tc>
          <w:tcPr>
            <w:tcW w:w="1595" w:type="dxa"/>
          </w:tcPr>
          <w:p>
            <w:pPr>
              <w:rPr>
                <w:noProof/>
              </w:rPr>
            </w:pPr>
            <w:r>
              <w:rPr>
                <w:noProof/>
              </w:rPr>
              <w:t>Muutossarjan 03 täydennys 1</w:t>
            </w:r>
          </w:p>
        </w:tc>
        <w:tc>
          <w:tcPr>
            <w:tcW w:w="2323" w:type="dxa"/>
          </w:tcPr>
          <w:p>
            <w:pPr>
              <w:jc w:val="left"/>
              <w:rPr>
                <w:noProof/>
              </w:rPr>
            </w:pPr>
            <w:r>
              <w:rPr>
                <w:noProof/>
              </w:rPr>
              <w:t>EUVL L 215, 14.8.2010, s. 27</w:t>
            </w:r>
          </w:p>
        </w:tc>
        <w:tc>
          <w:tcPr>
            <w:tcW w:w="1435"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28</w:t>
            </w:r>
          </w:p>
        </w:tc>
        <w:tc>
          <w:tcPr>
            <w:tcW w:w="2588" w:type="dxa"/>
          </w:tcPr>
          <w:p>
            <w:pPr>
              <w:rPr>
                <w:noProof/>
              </w:rPr>
            </w:pPr>
            <w:r>
              <w:rPr>
                <w:noProof/>
              </w:rPr>
              <w:t>Äänimerkinantolaitteet ja äänimerkit</w:t>
            </w:r>
          </w:p>
        </w:tc>
        <w:tc>
          <w:tcPr>
            <w:tcW w:w="1595" w:type="dxa"/>
          </w:tcPr>
          <w:p>
            <w:pPr>
              <w:rPr>
                <w:b/>
                <w:bCs/>
                <w:noProof/>
              </w:rPr>
            </w:pPr>
            <w:r>
              <w:rPr>
                <w:noProof/>
              </w:rPr>
              <w:t>Säännön alkuperäisversion täydennys 3</w:t>
            </w:r>
          </w:p>
        </w:tc>
        <w:tc>
          <w:tcPr>
            <w:tcW w:w="2323" w:type="dxa"/>
          </w:tcPr>
          <w:p>
            <w:pPr>
              <w:jc w:val="left"/>
              <w:rPr>
                <w:bCs/>
                <w:noProof/>
              </w:rPr>
            </w:pPr>
            <w:r>
              <w:rPr>
                <w:noProof/>
              </w:rPr>
              <w:t>EUVL L 323, 6.12.2011, s. 33</w:t>
            </w:r>
          </w:p>
        </w:tc>
        <w:tc>
          <w:tcPr>
            <w:tcW w:w="1435"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29</w:t>
            </w:r>
          </w:p>
        </w:tc>
        <w:tc>
          <w:tcPr>
            <w:tcW w:w="2588" w:type="dxa"/>
          </w:tcPr>
          <w:p>
            <w:pPr>
              <w:rPr>
                <w:noProof/>
              </w:rPr>
            </w:pPr>
            <w:r>
              <w:rPr>
                <w:noProof/>
              </w:rPr>
              <w:t>Hyötyajoneuvon ohjaamossa matkustavien suojaaminen</w:t>
            </w:r>
          </w:p>
        </w:tc>
        <w:tc>
          <w:tcPr>
            <w:tcW w:w="1595" w:type="dxa"/>
          </w:tcPr>
          <w:p>
            <w:pPr>
              <w:rPr>
                <w:noProof/>
              </w:rPr>
            </w:pPr>
            <w:r>
              <w:rPr>
                <w:noProof/>
              </w:rPr>
              <w:t>Muutossarja 03</w:t>
            </w:r>
          </w:p>
        </w:tc>
        <w:tc>
          <w:tcPr>
            <w:tcW w:w="2323" w:type="dxa"/>
          </w:tcPr>
          <w:p>
            <w:pPr>
              <w:jc w:val="left"/>
              <w:rPr>
                <w:bCs/>
                <w:noProof/>
              </w:rPr>
            </w:pPr>
            <w:r>
              <w:rPr>
                <w:noProof/>
              </w:rPr>
              <w:t>EUVL L 304, 20.11.2010, s. 21</w:t>
            </w:r>
          </w:p>
          <w:p>
            <w:pPr>
              <w:jc w:val="left"/>
              <w:rPr>
                <w:bCs/>
                <w:noProof/>
              </w:rPr>
            </w:pPr>
            <w:r>
              <w:rPr>
                <w:i/>
                <w:noProof/>
              </w:rPr>
              <w:t>[Julkaisutoimisto: tarkoitus kääntää v. 2018 – päivitetään viittaukset kun saatavilla]</w:t>
            </w:r>
          </w:p>
        </w:tc>
        <w:tc>
          <w:tcPr>
            <w:tcW w:w="1435" w:type="dxa"/>
          </w:tcPr>
          <w:p>
            <w:pPr>
              <w:rPr>
                <w:bCs/>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30</w:t>
            </w:r>
          </w:p>
        </w:tc>
        <w:tc>
          <w:tcPr>
            <w:tcW w:w="2588" w:type="dxa"/>
          </w:tcPr>
          <w:p>
            <w:pPr>
              <w:rPr>
                <w:noProof/>
              </w:rPr>
            </w:pPr>
            <w:r>
              <w:rPr>
                <w:noProof/>
              </w:rPr>
              <w:t>Moottoriajoneuvojen ja niiden perävaunujen ilmarenkaat (luokka C1)</w:t>
            </w:r>
          </w:p>
        </w:tc>
        <w:tc>
          <w:tcPr>
            <w:tcW w:w="1595" w:type="dxa"/>
          </w:tcPr>
          <w:p>
            <w:pPr>
              <w:rPr>
                <w:noProof/>
              </w:rPr>
            </w:pPr>
            <w:r>
              <w:rPr>
                <w:noProof/>
              </w:rPr>
              <w:t>Muutossarjan 02 täydennys 16</w:t>
            </w:r>
          </w:p>
        </w:tc>
        <w:tc>
          <w:tcPr>
            <w:tcW w:w="2323" w:type="dxa"/>
          </w:tcPr>
          <w:p>
            <w:pPr>
              <w:jc w:val="left"/>
              <w:rPr>
                <w:noProof/>
              </w:rPr>
            </w:pPr>
            <w:r>
              <w:rPr>
                <w:noProof/>
              </w:rPr>
              <w:t>EUVL L 307, 23.11.2011, s. 1</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31</w:t>
            </w:r>
          </w:p>
        </w:tc>
        <w:tc>
          <w:tcPr>
            <w:tcW w:w="2588" w:type="dxa"/>
          </w:tcPr>
          <w:p>
            <w:pPr>
              <w:rPr>
                <w:noProof/>
              </w:rPr>
            </w:pPr>
            <w:r>
              <w:rPr>
                <w:noProof/>
              </w:rPr>
              <w:t>Eurooppalaisen epäsymmetrisen lähivalon ja/tai kaukovalon aikaansaavat, halogeeniumpiovalaisimilla varustetut moottoriajoneuvojen ajovalaisimet</w:t>
            </w:r>
          </w:p>
        </w:tc>
        <w:tc>
          <w:tcPr>
            <w:tcW w:w="1595" w:type="dxa"/>
          </w:tcPr>
          <w:p>
            <w:pPr>
              <w:rPr>
                <w:noProof/>
              </w:rPr>
            </w:pPr>
            <w:r>
              <w:rPr>
                <w:noProof/>
              </w:rPr>
              <w:t>Muutossarjan 02 täydennys 7</w:t>
            </w:r>
          </w:p>
        </w:tc>
        <w:tc>
          <w:tcPr>
            <w:tcW w:w="2323" w:type="dxa"/>
          </w:tcPr>
          <w:p>
            <w:pPr>
              <w:jc w:val="left"/>
              <w:rPr>
                <w:noProof/>
              </w:rPr>
            </w:pPr>
            <w:r>
              <w:rPr>
                <w:noProof/>
              </w:rPr>
              <w:t>EUVL L 185, 17.7.2010, s. 15</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34</w:t>
            </w:r>
          </w:p>
        </w:tc>
        <w:tc>
          <w:tcPr>
            <w:tcW w:w="2588" w:type="dxa"/>
          </w:tcPr>
          <w:p>
            <w:pPr>
              <w:rPr>
                <w:noProof/>
              </w:rPr>
            </w:pPr>
            <w:r>
              <w:rPr>
                <w:noProof/>
              </w:rPr>
              <w:t>Palovaaran torjuminen (nestemäisen polttoaineen säiliöt)</w:t>
            </w:r>
          </w:p>
        </w:tc>
        <w:tc>
          <w:tcPr>
            <w:tcW w:w="1595" w:type="dxa"/>
          </w:tcPr>
          <w:p>
            <w:pPr>
              <w:rPr>
                <w:noProof/>
              </w:rPr>
            </w:pPr>
            <w:r>
              <w:rPr>
                <w:noProof/>
              </w:rPr>
              <w:t>Muutossarjan 03 täydennys 1</w:t>
            </w:r>
          </w:p>
        </w:tc>
        <w:tc>
          <w:tcPr>
            <w:tcW w:w="2323" w:type="dxa"/>
          </w:tcPr>
          <w:p>
            <w:pPr>
              <w:jc w:val="left"/>
              <w:rPr>
                <w:noProof/>
              </w:rPr>
            </w:pPr>
            <w:r>
              <w:rPr>
                <w:noProof/>
              </w:rPr>
              <w:t>EUVL L 231, 26.8.2016, s. 41</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37</w:t>
            </w:r>
          </w:p>
        </w:tc>
        <w:tc>
          <w:tcPr>
            <w:tcW w:w="2588" w:type="dxa"/>
          </w:tcPr>
          <w:p>
            <w:pPr>
              <w:rPr>
                <w:noProof/>
              </w:rPr>
            </w:pPr>
            <w:r>
              <w:rPr>
                <w:noProof/>
              </w:rPr>
              <w:t>Moottoriajoneuvojen ja niiden perävaunujen hyväksytyissä valaisinyksiköissä käytettävät hehkulamput</w:t>
            </w:r>
          </w:p>
        </w:tc>
        <w:tc>
          <w:tcPr>
            <w:tcW w:w="1595" w:type="dxa"/>
          </w:tcPr>
          <w:p>
            <w:pPr>
              <w:rPr>
                <w:noProof/>
              </w:rPr>
            </w:pPr>
            <w:r>
              <w:rPr>
                <w:noProof/>
              </w:rPr>
              <w:t>Muutossarjan 03 täydennys 42</w:t>
            </w:r>
          </w:p>
        </w:tc>
        <w:tc>
          <w:tcPr>
            <w:tcW w:w="2323" w:type="dxa"/>
          </w:tcPr>
          <w:p>
            <w:pPr>
              <w:jc w:val="left"/>
              <w:rPr>
                <w:noProof/>
              </w:rPr>
            </w:pPr>
            <w:r>
              <w:rPr>
                <w:noProof/>
              </w:rPr>
              <w:t>EUVL L 213, 18.7.2014, s. 36</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38</w:t>
            </w:r>
          </w:p>
        </w:tc>
        <w:tc>
          <w:tcPr>
            <w:tcW w:w="2588" w:type="dxa"/>
          </w:tcPr>
          <w:p>
            <w:pPr>
              <w:rPr>
                <w:noProof/>
              </w:rPr>
            </w:pPr>
            <w:r>
              <w:rPr>
                <w:noProof/>
              </w:rPr>
              <w:t>Moottoriajoneuvojen ja niiden perävaunujen takasumuvalaisimet</w:t>
            </w:r>
          </w:p>
        </w:tc>
        <w:tc>
          <w:tcPr>
            <w:tcW w:w="1595" w:type="dxa"/>
          </w:tcPr>
          <w:p>
            <w:pPr>
              <w:rPr>
                <w:noProof/>
              </w:rPr>
            </w:pPr>
            <w:r>
              <w:rPr>
                <w:noProof/>
              </w:rPr>
              <w:t>Säännön alkuperäisversion täydennys 15</w:t>
            </w:r>
          </w:p>
        </w:tc>
        <w:tc>
          <w:tcPr>
            <w:tcW w:w="2323" w:type="dxa"/>
          </w:tcPr>
          <w:p>
            <w:pPr>
              <w:jc w:val="left"/>
              <w:rPr>
                <w:b/>
                <w:bCs/>
                <w:noProof/>
              </w:rPr>
            </w:pPr>
            <w:r>
              <w:rPr>
                <w:noProof/>
              </w:rPr>
              <w:t>EUVL L 4, 7.1.2012, s. 20</w:t>
            </w:r>
          </w:p>
        </w:tc>
        <w:tc>
          <w:tcPr>
            <w:tcW w:w="1435"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39</w:t>
            </w:r>
          </w:p>
        </w:tc>
        <w:tc>
          <w:tcPr>
            <w:tcW w:w="2588" w:type="dxa"/>
          </w:tcPr>
          <w:p>
            <w:pPr>
              <w:rPr>
                <w:noProof/>
              </w:rPr>
            </w:pPr>
            <w:r>
              <w:rPr>
                <w:noProof/>
              </w:rPr>
              <w:t>Nopeusmittarilaitteisto ja sen asennus</w:t>
            </w:r>
          </w:p>
        </w:tc>
        <w:tc>
          <w:tcPr>
            <w:tcW w:w="1595" w:type="dxa"/>
          </w:tcPr>
          <w:p>
            <w:pPr>
              <w:rPr>
                <w:b/>
                <w:bCs/>
                <w:noProof/>
              </w:rPr>
            </w:pPr>
            <w:r>
              <w:rPr>
                <w:noProof/>
              </w:rPr>
              <w:t>Säännön alkuperäisversion täydennys 5</w:t>
            </w:r>
          </w:p>
        </w:tc>
        <w:tc>
          <w:tcPr>
            <w:tcW w:w="2323" w:type="dxa"/>
          </w:tcPr>
          <w:p>
            <w:pPr>
              <w:jc w:val="left"/>
              <w:rPr>
                <w:b/>
                <w:bCs/>
                <w:noProof/>
              </w:rPr>
            </w:pPr>
            <w:r>
              <w:rPr>
                <w:noProof/>
              </w:rPr>
              <w:t>EUVL L 120, 13.5.2010, s. 40</w:t>
            </w:r>
          </w:p>
        </w:tc>
        <w:tc>
          <w:tcPr>
            <w:tcW w:w="1435"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43</w:t>
            </w:r>
          </w:p>
        </w:tc>
        <w:tc>
          <w:tcPr>
            <w:tcW w:w="2588" w:type="dxa"/>
          </w:tcPr>
          <w:p>
            <w:pPr>
              <w:rPr>
                <w:noProof/>
              </w:rPr>
            </w:pPr>
            <w:r>
              <w:rPr>
                <w:noProof/>
              </w:rPr>
              <w:t>Turvalasit</w:t>
            </w:r>
          </w:p>
        </w:tc>
        <w:tc>
          <w:tcPr>
            <w:tcW w:w="1595" w:type="dxa"/>
          </w:tcPr>
          <w:p>
            <w:pPr>
              <w:rPr>
                <w:noProof/>
              </w:rPr>
            </w:pPr>
            <w:r>
              <w:rPr>
                <w:noProof/>
              </w:rPr>
              <w:t>Muutossarjan 01 täydennys 2</w:t>
            </w:r>
          </w:p>
        </w:tc>
        <w:tc>
          <w:tcPr>
            <w:tcW w:w="2323" w:type="dxa"/>
          </w:tcPr>
          <w:p>
            <w:pPr>
              <w:jc w:val="left"/>
              <w:rPr>
                <w:noProof/>
              </w:rPr>
            </w:pPr>
            <w:r>
              <w:rPr>
                <w:noProof/>
              </w:rPr>
              <w:t>EUVL L 42, 12.2.2014, s. 1</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44</w:t>
            </w:r>
          </w:p>
        </w:tc>
        <w:tc>
          <w:tcPr>
            <w:tcW w:w="2588" w:type="dxa"/>
          </w:tcPr>
          <w:p>
            <w:pPr>
              <w:rPr>
                <w:noProof/>
              </w:rPr>
            </w:pPr>
            <w:r>
              <w:rPr>
                <w:noProof/>
              </w:rPr>
              <w:t xml:space="preserve">Moottoriajoneuvojen lapsimatkustajien turvalaitteet (lasten turvajärjestelmät) </w:t>
            </w:r>
          </w:p>
        </w:tc>
        <w:tc>
          <w:tcPr>
            <w:tcW w:w="1595" w:type="dxa"/>
          </w:tcPr>
          <w:p>
            <w:pPr>
              <w:rPr>
                <w:noProof/>
              </w:rPr>
            </w:pPr>
            <w:r>
              <w:rPr>
                <w:noProof/>
              </w:rPr>
              <w:t>Muutossarjan 04 täydennys 10</w:t>
            </w:r>
          </w:p>
        </w:tc>
        <w:tc>
          <w:tcPr>
            <w:tcW w:w="2323" w:type="dxa"/>
          </w:tcPr>
          <w:p>
            <w:pPr>
              <w:jc w:val="left"/>
              <w:rPr>
                <w:noProof/>
              </w:rPr>
            </w:pPr>
            <w:r>
              <w:rPr>
                <w:noProof/>
              </w:rPr>
              <w:t>EUVL L 265, 30.9.2016,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45</w:t>
            </w:r>
          </w:p>
        </w:tc>
        <w:tc>
          <w:tcPr>
            <w:tcW w:w="2588" w:type="dxa"/>
          </w:tcPr>
          <w:p>
            <w:pPr>
              <w:rPr>
                <w:noProof/>
              </w:rPr>
            </w:pPr>
            <w:r>
              <w:rPr>
                <w:noProof/>
              </w:rPr>
              <w:t>Ajovalaisimien puhdistuslaitteet</w:t>
            </w:r>
          </w:p>
        </w:tc>
        <w:tc>
          <w:tcPr>
            <w:tcW w:w="1595" w:type="dxa"/>
          </w:tcPr>
          <w:p>
            <w:pPr>
              <w:rPr>
                <w:noProof/>
              </w:rPr>
            </w:pPr>
            <w:r>
              <w:rPr>
                <w:noProof/>
              </w:rPr>
              <w:t>Muutossarjan 01 täydennys 11</w:t>
            </w:r>
          </w:p>
        </w:tc>
        <w:tc>
          <w:tcPr>
            <w:tcW w:w="2323" w:type="dxa"/>
          </w:tcPr>
          <w:p>
            <w:pPr>
              <w:jc w:val="center"/>
              <w:rPr>
                <w:noProof/>
              </w:rPr>
            </w:pPr>
            <w:r>
              <w:rPr>
                <w:i/>
                <w:noProof/>
              </w:rPr>
              <w:t>[Julkaisutoimisto: tarkoitus kääntää v. 2018 – päivitetään viittaukset kun saatavilla]</w:t>
            </w:r>
          </w:p>
        </w:tc>
        <w:tc>
          <w:tcPr>
            <w:tcW w:w="1435"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46</w:t>
            </w:r>
          </w:p>
        </w:tc>
        <w:tc>
          <w:tcPr>
            <w:tcW w:w="2588" w:type="dxa"/>
          </w:tcPr>
          <w:p>
            <w:pPr>
              <w:rPr>
                <w:noProof/>
              </w:rPr>
            </w:pPr>
            <w:r>
              <w:rPr>
                <w:noProof/>
              </w:rPr>
              <w:t>Epäsuoran näkemän tarjoavat laitteet ja niiden asennus</w:t>
            </w:r>
          </w:p>
        </w:tc>
        <w:tc>
          <w:tcPr>
            <w:tcW w:w="1595" w:type="dxa"/>
          </w:tcPr>
          <w:p>
            <w:pPr>
              <w:rPr>
                <w:noProof/>
              </w:rPr>
            </w:pPr>
            <w:r>
              <w:rPr>
                <w:noProof/>
              </w:rPr>
              <w:t>Muutossarjan 04 täydennys 1</w:t>
            </w:r>
          </w:p>
        </w:tc>
        <w:tc>
          <w:tcPr>
            <w:tcW w:w="2323" w:type="dxa"/>
          </w:tcPr>
          <w:p>
            <w:pPr>
              <w:jc w:val="left"/>
              <w:rPr>
                <w:b/>
                <w:bCs/>
                <w:noProof/>
              </w:rPr>
            </w:pPr>
            <w:r>
              <w:rPr>
                <w:noProof/>
              </w:rPr>
              <w:t>EUVL L 237, 8.8.2014, s. 24</w:t>
            </w:r>
          </w:p>
        </w:tc>
        <w:tc>
          <w:tcPr>
            <w:tcW w:w="1435"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48</w:t>
            </w:r>
          </w:p>
        </w:tc>
        <w:tc>
          <w:tcPr>
            <w:tcW w:w="2588" w:type="dxa"/>
          </w:tcPr>
          <w:p>
            <w:pPr>
              <w:rPr>
                <w:noProof/>
              </w:rPr>
            </w:pPr>
            <w:r>
              <w:rPr>
                <w:noProof/>
              </w:rPr>
              <w:t>Moottoriajoneuvojen valaisimien ja merkkivalolaitteiden asennus</w:t>
            </w:r>
          </w:p>
        </w:tc>
        <w:tc>
          <w:tcPr>
            <w:tcW w:w="1595" w:type="dxa"/>
          </w:tcPr>
          <w:p>
            <w:pPr>
              <w:rPr>
                <w:noProof/>
              </w:rPr>
            </w:pPr>
            <w:r>
              <w:rPr>
                <w:noProof/>
              </w:rPr>
              <w:t>Muutossarjan 06 täydennys 7</w:t>
            </w:r>
          </w:p>
        </w:tc>
        <w:tc>
          <w:tcPr>
            <w:tcW w:w="2323" w:type="dxa"/>
          </w:tcPr>
          <w:p>
            <w:pPr>
              <w:jc w:val="left"/>
              <w:rPr>
                <w:b/>
                <w:bCs/>
                <w:noProof/>
              </w:rPr>
            </w:pPr>
            <w:r>
              <w:rPr>
                <w:noProof/>
              </w:rPr>
              <w:t>EUVL L 265, 30.9.2016, s. 125</w:t>
            </w:r>
          </w:p>
        </w:tc>
        <w:tc>
          <w:tcPr>
            <w:tcW w:w="1435"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54</w:t>
            </w:r>
          </w:p>
        </w:tc>
        <w:tc>
          <w:tcPr>
            <w:tcW w:w="2588" w:type="dxa"/>
          </w:tcPr>
          <w:p>
            <w:pPr>
              <w:rPr>
                <w:noProof/>
              </w:rPr>
            </w:pPr>
            <w:r>
              <w:rPr>
                <w:noProof/>
              </w:rPr>
              <w:t>Hyötyajoneuvojen ja niiden perävaunujen ilmarenkaat (luokat C2 ja C3)</w:t>
            </w:r>
          </w:p>
        </w:tc>
        <w:tc>
          <w:tcPr>
            <w:tcW w:w="1595" w:type="dxa"/>
          </w:tcPr>
          <w:p>
            <w:pPr>
              <w:jc w:val="center"/>
              <w:rPr>
                <w:bCs/>
                <w:noProof/>
              </w:rPr>
            </w:pPr>
            <w:r>
              <w:rPr>
                <w:noProof/>
              </w:rPr>
              <w:t>Säännön alkuperäisversion täydennys 17</w:t>
            </w:r>
          </w:p>
          <w:p>
            <w:pPr>
              <w:rPr>
                <w:noProof/>
              </w:rPr>
            </w:pPr>
          </w:p>
        </w:tc>
        <w:tc>
          <w:tcPr>
            <w:tcW w:w="2323" w:type="dxa"/>
          </w:tcPr>
          <w:p>
            <w:pPr>
              <w:jc w:val="left"/>
              <w:rPr>
                <w:noProof/>
              </w:rPr>
            </w:pPr>
            <w:r>
              <w:rPr>
                <w:noProof/>
              </w:rPr>
              <w:t>EUVL L 307, 23.11.2011, s. 2</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55</w:t>
            </w:r>
          </w:p>
        </w:tc>
        <w:tc>
          <w:tcPr>
            <w:tcW w:w="2588" w:type="dxa"/>
          </w:tcPr>
          <w:p>
            <w:pPr>
              <w:rPr>
                <w:noProof/>
              </w:rPr>
            </w:pPr>
            <w:r>
              <w:rPr>
                <w:noProof/>
              </w:rPr>
              <w:t>Ajoneuvoyhdistelmien mekaaniset kytkentäosat</w:t>
            </w:r>
          </w:p>
        </w:tc>
        <w:tc>
          <w:tcPr>
            <w:tcW w:w="1595" w:type="dxa"/>
          </w:tcPr>
          <w:p>
            <w:pPr>
              <w:rPr>
                <w:noProof/>
              </w:rPr>
            </w:pPr>
            <w:r>
              <w:rPr>
                <w:noProof/>
              </w:rPr>
              <w:t>Muutossarjan 01 täydennys 1</w:t>
            </w:r>
          </w:p>
        </w:tc>
        <w:tc>
          <w:tcPr>
            <w:tcW w:w="2323" w:type="dxa"/>
          </w:tcPr>
          <w:p>
            <w:pPr>
              <w:jc w:val="left"/>
              <w:rPr>
                <w:noProof/>
              </w:rPr>
            </w:pPr>
            <w:r>
              <w:rPr>
                <w:noProof/>
              </w:rPr>
              <w:t>EUVL L 227, 28.8.2010, s. 1</w:t>
            </w:r>
          </w:p>
          <w:p>
            <w:pPr>
              <w:jc w:val="left"/>
              <w:rPr>
                <w:b/>
                <w:bCs/>
                <w:noProof/>
              </w:rPr>
            </w:pPr>
            <w:r>
              <w:rPr>
                <w:i/>
                <w:noProof/>
              </w:rPr>
              <w:t>[Julkaisutoimisto: tarkoitus kääntää v. 2018 – päivitetään viittaukset kun saatavilla]</w:t>
            </w:r>
          </w:p>
        </w:tc>
        <w:tc>
          <w:tcPr>
            <w:tcW w:w="1435"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58</w:t>
            </w:r>
          </w:p>
        </w:tc>
        <w:tc>
          <w:tcPr>
            <w:tcW w:w="2588" w:type="dxa"/>
          </w:tcPr>
          <w:p>
            <w:pPr>
              <w:rPr>
                <w:noProof/>
              </w:rPr>
            </w:pPr>
            <w:r>
              <w:rPr>
                <w:noProof/>
              </w:rPr>
              <w:t>Taka-alleajosuojat ja niiden asennus, taka-alleajosuojaus</w:t>
            </w:r>
          </w:p>
        </w:tc>
        <w:tc>
          <w:tcPr>
            <w:tcW w:w="1595" w:type="dxa"/>
          </w:tcPr>
          <w:p>
            <w:pPr>
              <w:rPr>
                <w:noProof/>
              </w:rPr>
            </w:pPr>
            <w:r>
              <w:rPr>
                <w:noProof/>
              </w:rPr>
              <w:t>Muutossarjan 02 täydennys 3</w:t>
            </w:r>
          </w:p>
        </w:tc>
        <w:tc>
          <w:tcPr>
            <w:tcW w:w="2323" w:type="dxa"/>
          </w:tcPr>
          <w:p>
            <w:pPr>
              <w:jc w:val="left"/>
              <w:rPr>
                <w:noProof/>
              </w:rPr>
            </w:pPr>
            <w:r>
              <w:rPr>
                <w:noProof/>
              </w:rPr>
              <w:t>EUVL L 89, 27.3.2013, s. 34</w:t>
            </w:r>
          </w:p>
          <w:p>
            <w:pPr>
              <w:jc w:val="left"/>
              <w:rPr>
                <w:noProof/>
              </w:rPr>
            </w:pPr>
            <w:r>
              <w:rPr>
                <w:i/>
                <w:noProof/>
              </w:rPr>
              <w:t>[Julkaisutoimisto: tarkoitus kääntää v. 2018 – päivitetään viittaukset kun saatavilla]</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61</w:t>
            </w:r>
          </w:p>
        </w:tc>
        <w:tc>
          <w:tcPr>
            <w:tcW w:w="2588" w:type="dxa"/>
          </w:tcPr>
          <w:p>
            <w:pPr>
              <w:rPr>
                <w:noProof/>
              </w:rPr>
            </w:pPr>
            <w:r>
              <w:rPr>
                <w:noProof/>
              </w:rPr>
              <w:t>Hyötyajoneuvojen ohjaamon takaseinän etupuolella olevat ulkonevat osat</w:t>
            </w:r>
          </w:p>
        </w:tc>
        <w:tc>
          <w:tcPr>
            <w:tcW w:w="1595" w:type="dxa"/>
          </w:tcPr>
          <w:p>
            <w:pPr>
              <w:rPr>
                <w:noProof/>
              </w:rPr>
            </w:pPr>
            <w:r>
              <w:rPr>
                <w:noProof/>
              </w:rPr>
              <w:t>Säännön alkuperäisversion täydennys 1</w:t>
            </w:r>
          </w:p>
        </w:tc>
        <w:tc>
          <w:tcPr>
            <w:tcW w:w="2323" w:type="dxa"/>
          </w:tcPr>
          <w:p>
            <w:pPr>
              <w:jc w:val="left"/>
              <w:rPr>
                <w:noProof/>
              </w:rPr>
            </w:pPr>
            <w:r>
              <w:rPr>
                <w:noProof/>
              </w:rPr>
              <w:t>EUVL L 164, 30.6.2010, s. 1</w:t>
            </w:r>
          </w:p>
        </w:tc>
        <w:tc>
          <w:tcPr>
            <w:tcW w:w="1435" w:type="dxa"/>
          </w:tcPr>
          <w:p>
            <w:pPr>
              <w:rPr>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64</w:t>
            </w:r>
          </w:p>
        </w:tc>
        <w:tc>
          <w:tcPr>
            <w:tcW w:w="2588" w:type="dxa"/>
          </w:tcPr>
          <w:p>
            <w:pPr>
              <w:rPr>
                <w:noProof/>
              </w:rPr>
            </w:pPr>
            <w:r>
              <w:rPr>
                <w:noProof/>
              </w:rPr>
              <w:t>Tilapäiskäyttöön tarkoitettu varapyörä-rengasyhdistelmä, itsekantavat run-flat-renkaat ja -järjestelmät (ja rengaspaineen seurantajärjestelmä)</w:t>
            </w:r>
          </w:p>
        </w:tc>
        <w:tc>
          <w:tcPr>
            <w:tcW w:w="1595" w:type="dxa"/>
          </w:tcPr>
          <w:p>
            <w:pPr>
              <w:rPr>
                <w:noProof/>
              </w:rPr>
            </w:pPr>
            <w:r>
              <w:rPr>
                <w:noProof/>
              </w:rPr>
              <w:t>Muutossarjan 02 oikaisu 1</w:t>
            </w:r>
          </w:p>
        </w:tc>
        <w:tc>
          <w:tcPr>
            <w:tcW w:w="2323" w:type="dxa"/>
          </w:tcPr>
          <w:p>
            <w:pPr>
              <w:jc w:val="left"/>
              <w:rPr>
                <w:noProof/>
              </w:rPr>
            </w:pPr>
            <w:r>
              <w:rPr>
                <w:noProof/>
              </w:rPr>
              <w:t>EUVL L 310, 26.11.2010, s. 18</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66</w:t>
            </w:r>
          </w:p>
        </w:tc>
        <w:tc>
          <w:tcPr>
            <w:tcW w:w="2588" w:type="dxa"/>
          </w:tcPr>
          <w:p>
            <w:pPr>
              <w:rPr>
                <w:noProof/>
              </w:rPr>
            </w:pPr>
            <w:r>
              <w:rPr>
                <w:noProof/>
              </w:rPr>
              <w:t>Suurten henkilöajoneuvojen korirakenteen lujuus</w:t>
            </w:r>
          </w:p>
        </w:tc>
        <w:tc>
          <w:tcPr>
            <w:tcW w:w="1595" w:type="dxa"/>
          </w:tcPr>
          <w:p>
            <w:pPr>
              <w:rPr>
                <w:noProof/>
              </w:rPr>
            </w:pPr>
            <w:r>
              <w:rPr>
                <w:noProof/>
              </w:rPr>
              <w:t>Muutossarja 02</w:t>
            </w:r>
          </w:p>
        </w:tc>
        <w:tc>
          <w:tcPr>
            <w:tcW w:w="2323" w:type="dxa"/>
          </w:tcPr>
          <w:p>
            <w:pPr>
              <w:jc w:val="left"/>
              <w:rPr>
                <w:noProof/>
              </w:rPr>
            </w:pPr>
            <w:r>
              <w:rPr>
                <w:noProof/>
              </w:rPr>
              <w:t>EUVL L 84, 30.3.2011, s. 1</w:t>
            </w:r>
          </w:p>
        </w:tc>
        <w:tc>
          <w:tcPr>
            <w:tcW w:w="1435"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67</w:t>
            </w:r>
          </w:p>
        </w:tc>
        <w:tc>
          <w:tcPr>
            <w:tcW w:w="2588" w:type="dxa"/>
          </w:tcPr>
          <w:p>
            <w:pPr>
              <w:rPr>
                <w:noProof/>
              </w:rPr>
            </w:pPr>
            <w:r>
              <w:rPr>
                <w:noProof/>
              </w:rPr>
              <w:t xml:space="preserve">Nestekaasua moottorin polttoaineena käyttävät moottoriajoneuvot </w:t>
            </w:r>
          </w:p>
        </w:tc>
        <w:tc>
          <w:tcPr>
            <w:tcW w:w="1595" w:type="dxa"/>
          </w:tcPr>
          <w:p>
            <w:pPr>
              <w:rPr>
                <w:noProof/>
              </w:rPr>
            </w:pPr>
            <w:r>
              <w:rPr>
                <w:noProof/>
              </w:rPr>
              <w:t>Muutossarjan 01 täydennys 14</w:t>
            </w:r>
          </w:p>
        </w:tc>
        <w:tc>
          <w:tcPr>
            <w:tcW w:w="2323" w:type="dxa"/>
          </w:tcPr>
          <w:p>
            <w:pPr>
              <w:jc w:val="left"/>
              <w:rPr>
                <w:noProof/>
              </w:rPr>
            </w:pPr>
            <w:r>
              <w:rPr>
                <w:noProof/>
              </w:rPr>
              <w:t>EUVL L 285, 20.10.2016,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73</w:t>
            </w:r>
          </w:p>
        </w:tc>
        <w:tc>
          <w:tcPr>
            <w:tcW w:w="2588" w:type="dxa"/>
          </w:tcPr>
          <w:p>
            <w:pPr>
              <w:rPr>
                <w:noProof/>
              </w:rPr>
            </w:pPr>
            <w:r>
              <w:rPr>
                <w:noProof/>
              </w:rPr>
              <w:t>Tavarankuljetusajoneuvojen sivusuojaus</w:t>
            </w:r>
          </w:p>
        </w:tc>
        <w:tc>
          <w:tcPr>
            <w:tcW w:w="1595" w:type="dxa"/>
          </w:tcPr>
          <w:p>
            <w:pPr>
              <w:rPr>
                <w:noProof/>
              </w:rPr>
            </w:pPr>
            <w:r>
              <w:rPr>
                <w:noProof/>
              </w:rPr>
              <w:t>Muutossarja 01</w:t>
            </w:r>
          </w:p>
        </w:tc>
        <w:tc>
          <w:tcPr>
            <w:tcW w:w="2323" w:type="dxa"/>
          </w:tcPr>
          <w:p>
            <w:pPr>
              <w:jc w:val="left"/>
              <w:rPr>
                <w:noProof/>
              </w:rPr>
            </w:pPr>
            <w:r>
              <w:rPr>
                <w:noProof/>
              </w:rPr>
              <w:t>EUVL L 122, 8.5.2012, s. 1</w:t>
            </w:r>
          </w:p>
        </w:tc>
        <w:tc>
          <w:tcPr>
            <w:tcW w:w="1435"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77</w:t>
            </w:r>
          </w:p>
        </w:tc>
        <w:tc>
          <w:tcPr>
            <w:tcW w:w="2588" w:type="dxa"/>
          </w:tcPr>
          <w:p>
            <w:pPr>
              <w:rPr>
                <w:noProof/>
              </w:rPr>
            </w:pPr>
            <w:r>
              <w:rPr>
                <w:noProof/>
              </w:rPr>
              <w:t>Moottoriajoneuvojen pysäköintivalaisimet</w:t>
            </w:r>
          </w:p>
        </w:tc>
        <w:tc>
          <w:tcPr>
            <w:tcW w:w="1595" w:type="dxa"/>
          </w:tcPr>
          <w:p>
            <w:pPr>
              <w:rPr>
                <w:noProof/>
              </w:rPr>
            </w:pPr>
            <w:r>
              <w:rPr>
                <w:noProof/>
              </w:rPr>
              <w:t>Säännön alkuperäisversion täydennys 14</w:t>
            </w:r>
          </w:p>
        </w:tc>
        <w:tc>
          <w:tcPr>
            <w:tcW w:w="2323" w:type="dxa"/>
          </w:tcPr>
          <w:p>
            <w:pPr>
              <w:jc w:val="left"/>
              <w:rPr>
                <w:b/>
                <w:bCs/>
                <w:noProof/>
              </w:rPr>
            </w:pPr>
            <w:r>
              <w:rPr>
                <w:noProof/>
              </w:rPr>
              <w:t>EUVL L 4, 7.1.2012, s. 21</w:t>
            </w:r>
          </w:p>
        </w:tc>
        <w:tc>
          <w:tcPr>
            <w:tcW w:w="1435"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79</w:t>
            </w:r>
          </w:p>
        </w:tc>
        <w:tc>
          <w:tcPr>
            <w:tcW w:w="2588" w:type="dxa"/>
          </w:tcPr>
          <w:p>
            <w:pPr>
              <w:rPr>
                <w:noProof/>
              </w:rPr>
            </w:pPr>
            <w:r>
              <w:rPr>
                <w:noProof/>
              </w:rPr>
              <w:t>Ohjauslaitteet</w:t>
            </w:r>
          </w:p>
        </w:tc>
        <w:tc>
          <w:tcPr>
            <w:tcW w:w="1595" w:type="dxa"/>
          </w:tcPr>
          <w:p>
            <w:pPr>
              <w:rPr>
                <w:noProof/>
              </w:rPr>
            </w:pPr>
            <w:r>
              <w:rPr>
                <w:noProof/>
              </w:rPr>
              <w:t>Muutossarjan 01 täydennys 3, oikaisu</w:t>
            </w:r>
          </w:p>
        </w:tc>
        <w:tc>
          <w:tcPr>
            <w:tcW w:w="2323" w:type="dxa"/>
          </w:tcPr>
          <w:p>
            <w:pPr>
              <w:jc w:val="left"/>
              <w:rPr>
                <w:noProof/>
              </w:rPr>
            </w:pPr>
            <w:r>
              <w:rPr>
                <w:noProof/>
              </w:rPr>
              <w:t>EUVL L 137, 27.5.2008, s. 25</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80</w:t>
            </w:r>
          </w:p>
        </w:tc>
        <w:tc>
          <w:tcPr>
            <w:tcW w:w="2588" w:type="dxa"/>
          </w:tcPr>
          <w:p>
            <w:pPr>
              <w:rPr>
                <w:noProof/>
              </w:rPr>
            </w:pPr>
            <w:r>
              <w:rPr>
                <w:noProof/>
              </w:rPr>
              <w:t>Suurten henkilöajoneuvojen istuimet</w:t>
            </w:r>
          </w:p>
        </w:tc>
        <w:tc>
          <w:tcPr>
            <w:tcW w:w="1595" w:type="dxa"/>
          </w:tcPr>
          <w:p>
            <w:pPr>
              <w:rPr>
                <w:noProof/>
              </w:rPr>
            </w:pPr>
            <w:r>
              <w:rPr>
                <w:noProof/>
              </w:rPr>
              <w:t>Säännön muutossarja 03</w:t>
            </w:r>
            <w:r>
              <w:rPr>
                <w:noProof/>
                <w:highlight w:val="yellow"/>
              </w:rPr>
              <w:t xml:space="preserve"> </w:t>
            </w:r>
          </w:p>
        </w:tc>
        <w:tc>
          <w:tcPr>
            <w:tcW w:w="2323" w:type="dxa"/>
          </w:tcPr>
          <w:p>
            <w:pPr>
              <w:jc w:val="left"/>
              <w:rPr>
                <w:noProof/>
              </w:rPr>
            </w:pPr>
            <w:r>
              <w:rPr>
                <w:noProof/>
              </w:rPr>
              <w:t>EUVL L 226, 24.8.2013, s. 20</w:t>
            </w:r>
          </w:p>
          <w:p>
            <w:pPr>
              <w:jc w:val="left"/>
              <w:rPr>
                <w:noProof/>
              </w:rPr>
            </w:pPr>
            <w:r>
              <w:rPr>
                <w:i/>
                <w:noProof/>
              </w:rPr>
              <w:t>[Julkaisutoimisto: tarkoitus kääntää v. 2018 – päivitetään viittaukset kun saatavilla]</w:t>
            </w:r>
          </w:p>
        </w:tc>
        <w:tc>
          <w:tcPr>
            <w:tcW w:w="1435"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87</w:t>
            </w:r>
          </w:p>
        </w:tc>
        <w:tc>
          <w:tcPr>
            <w:tcW w:w="2588" w:type="dxa"/>
          </w:tcPr>
          <w:p>
            <w:pPr>
              <w:rPr>
                <w:noProof/>
              </w:rPr>
            </w:pPr>
            <w:r>
              <w:rPr>
                <w:noProof/>
              </w:rPr>
              <w:t>Moottoriajoneuvojen huomiovalaisimet</w:t>
            </w:r>
          </w:p>
        </w:tc>
        <w:tc>
          <w:tcPr>
            <w:tcW w:w="1595" w:type="dxa"/>
          </w:tcPr>
          <w:p>
            <w:pPr>
              <w:rPr>
                <w:noProof/>
              </w:rPr>
            </w:pPr>
            <w:r>
              <w:rPr>
                <w:noProof/>
              </w:rPr>
              <w:t>Säännön alkuperäisversion täydennys 15</w:t>
            </w:r>
          </w:p>
        </w:tc>
        <w:tc>
          <w:tcPr>
            <w:tcW w:w="2323" w:type="dxa"/>
          </w:tcPr>
          <w:p>
            <w:pPr>
              <w:jc w:val="left"/>
              <w:rPr>
                <w:b/>
                <w:bCs/>
                <w:noProof/>
              </w:rPr>
            </w:pPr>
            <w:r>
              <w:rPr>
                <w:noProof/>
              </w:rPr>
              <w:t>EUVL L 4, 7.1.2012, s. 24</w:t>
            </w:r>
          </w:p>
        </w:tc>
        <w:tc>
          <w:tcPr>
            <w:tcW w:w="1435"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89</w:t>
            </w:r>
          </w:p>
        </w:tc>
        <w:tc>
          <w:tcPr>
            <w:tcW w:w="2588" w:type="dxa"/>
          </w:tcPr>
          <w:p>
            <w:pPr>
              <w:rPr>
                <w:noProof/>
              </w:rPr>
            </w:pPr>
            <w:r>
              <w:rPr>
                <w:noProof/>
              </w:rPr>
              <w:t>Nopeudenrajoittimet</w:t>
            </w:r>
          </w:p>
        </w:tc>
        <w:tc>
          <w:tcPr>
            <w:tcW w:w="1595" w:type="dxa"/>
          </w:tcPr>
          <w:p>
            <w:pPr>
              <w:rPr>
                <w:noProof/>
              </w:rPr>
            </w:pPr>
            <w:r>
              <w:rPr>
                <w:noProof/>
              </w:rPr>
              <w:t>Säännön alkuperäisversion täydennys 2</w:t>
            </w:r>
          </w:p>
        </w:tc>
        <w:tc>
          <w:tcPr>
            <w:tcW w:w="2323" w:type="dxa"/>
          </w:tcPr>
          <w:p>
            <w:pPr>
              <w:jc w:val="left"/>
              <w:rPr>
                <w:b/>
                <w:bCs/>
                <w:noProof/>
              </w:rPr>
            </w:pPr>
            <w:r>
              <w:rPr>
                <w:noProof/>
              </w:rPr>
              <w:t>EUVL L 4, 7.1.2012, s. 25</w:t>
            </w:r>
          </w:p>
        </w:tc>
        <w:tc>
          <w:tcPr>
            <w:tcW w:w="1435" w:type="dxa"/>
          </w:tcPr>
          <w:p>
            <w:pPr>
              <w:rPr>
                <w:b/>
                <w:bCs/>
                <w:noProof/>
              </w:rPr>
            </w:pPr>
            <w:r>
              <w:rPr>
                <w:noProof/>
              </w:rPr>
              <w:t>M, N (</w:t>
            </w:r>
            <w:r>
              <w:rPr>
                <w:noProof/>
                <w:vertAlign w:val="superscript"/>
              </w:rPr>
              <w:t>d</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90</w:t>
            </w:r>
          </w:p>
        </w:tc>
        <w:tc>
          <w:tcPr>
            <w:tcW w:w="2588" w:type="dxa"/>
          </w:tcPr>
          <w:p>
            <w:pPr>
              <w:rPr>
                <w:noProof/>
              </w:rPr>
            </w:pPr>
            <w:r>
              <w:rPr>
                <w:noProof/>
              </w:rPr>
              <w:t>Moottoriajoneuvojen ja niiden perävaunujen varaosana toimitettavat jarrupäällysteasennussarjat ja rumpujarrupäällysteet</w:t>
            </w:r>
          </w:p>
        </w:tc>
        <w:tc>
          <w:tcPr>
            <w:tcW w:w="1595" w:type="dxa"/>
          </w:tcPr>
          <w:p>
            <w:pPr>
              <w:rPr>
                <w:b/>
                <w:bCs/>
                <w:noProof/>
              </w:rPr>
            </w:pPr>
            <w:r>
              <w:rPr>
                <w:noProof/>
              </w:rPr>
              <w:t>Muutossarja 02</w:t>
            </w:r>
          </w:p>
        </w:tc>
        <w:tc>
          <w:tcPr>
            <w:tcW w:w="2323" w:type="dxa"/>
          </w:tcPr>
          <w:p>
            <w:pPr>
              <w:jc w:val="left"/>
              <w:rPr>
                <w:b/>
                <w:bCs/>
                <w:noProof/>
              </w:rPr>
            </w:pPr>
            <w:r>
              <w:rPr>
                <w:noProof/>
              </w:rPr>
              <w:t>EUVL L 185, 13.7.2012, s. 24</w:t>
            </w:r>
          </w:p>
        </w:tc>
        <w:tc>
          <w:tcPr>
            <w:tcW w:w="1435"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91</w:t>
            </w:r>
          </w:p>
        </w:tc>
        <w:tc>
          <w:tcPr>
            <w:tcW w:w="2588" w:type="dxa"/>
          </w:tcPr>
          <w:p>
            <w:pPr>
              <w:rPr>
                <w:noProof/>
              </w:rPr>
            </w:pPr>
            <w:r>
              <w:rPr>
                <w:noProof/>
              </w:rPr>
              <w:t>Moottoriajoneuvojen ja niiden perävaunujen sivuvalaisimet</w:t>
            </w:r>
          </w:p>
        </w:tc>
        <w:tc>
          <w:tcPr>
            <w:tcW w:w="1595" w:type="dxa"/>
          </w:tcPr>
          <w:p>
            <w:pPr>
              <w:rPr>
                <w:noProof/>
              </w:rPr>
            </w:pPr>
            <w:r>
              <w:rPr>
                <w:noProof/>
              </w:rPr>
              <w:t>Säännön alkuperäisversion täydennys 13</w:t>
            </w:r>
          </w:p>
        </w:tc>
        <w:tc>
          <w:tcPr>
            <w:tcW w:w="2323" w:type="dxa"/>
          </w:tcPr>
          <w:p>
            <w:pPr>
              <w:jc w:val="left"/>
              <w:rPr>
                <w:noProof/>
              </w:rPr>
            </w:pPr>
            <w:r>
              <w:rPr>
                <w:noProof/>
              </w:rPr>
              <w:t>EUVL L 4, 7.1.2012, s. 27</w:t>
            </w:r>
          </w:p>
        </w:tc>
        <w:tc>
          <w:tcPr>
            <w:tcW w:w="1435"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93</w:t>
            </w:r>
          </w:p>
        </w:tc>
        <w:tc>
          <w:tcPr>
            <w:tcW w:w="2588" w:type="dxa"/>
          </w:tcPr>
          <w:p>
            <w:pPr>
              <w:rPr>
                <w:noProof/>
              </w:rPr>
            </w:pPr>
            <w:r>
              <w:rPr>
                <w:noProof/>
              </w:rPr>
              <w:t>Etualleajosuojat ja niiden asennus, etualleajosuojaus</w:t>
            </w:r>
          </w:p>
        </w:tc>
        <w:tc>
          <w:tcPr>
            <w:tcW w:w="1595" w:type="dxa"/>
          </w:tcPr>
          <w:p>
            <w:pPr>
              <w:rPr>
                <w:noProof/>
              </w:rPr>
            </w:pPr>
            <w:r>
              <w:rPr>
                <w:noProof/>
              </w:rPr>
              <w:t>Säännön alkuperäisversio</w:t>
            </w:r>
          </w:p>
        </w:tc>
        <w:tc>
          <w:tcPr>
            <w:tcW w:w="2323" w:type="dxa"/>
          </w:tcPr>
          <w:p>
            <w:pPr>
              <w:jc w:val="left"/>
              <w:rPr>
                <w:b/>
                <w:bCs/>
                <w:noProof/>
              </w:rPr>
            </w:pPr>
            <w:r>
              <w:rPr>
                <w:noProof/>
              </w:rPr>
              <w:t>EUVL L 185, 17.7.2010, s. 56</w:t>
            </w:r>
          </w:p>
        </w:tc>
        <w:tc>
          <w:tcPr>
            <w:tcW w:w="1435" w:type="dxa"/>
          </w:tcPr>
          <w:p>
            <w:pPr>
              <w:rPr>
                <w:b/>
                <w:bCs/>
                <w:noProof/>
              </w:rPr>
            </w:pPr>
            <w:r>
              <w:rPr>
                <w:noProof/>
              </w:rPr>
              <w:t>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94</w:t>
            </w:r>
          </w:p>
        </w:tc>
        <w:tc>
          <w:tcPr>
            <w:tcW w:w="2588" w:type="dxa"/>
          </w:tcPr>
          <w:p>
            <w:pPr>
              <w:rPr>
                <w:noProof/>
              </w:rPr>
            </w:pPr>
            <w:r>
              <w:rPr>
                <w:noProof/>
              </w:rPr>
              <w:t>Matkustajien etutörmäyssuojaus</w:t>
            </w:r>
          </w:p>
        </w:tc>
        <w:tc>
          <w:tcPr>
            <w:tcW w:w="1595" w:type="dxa"/>
          </w:tcPr>
          <w:p>
            <w:pPr>
              <w:rPr>
                <w:noProof/>
              </w:rPr>
            </w:pPr>
            <w:r>
              <w:rPr>
                <w:noProof/>
              </w:rPr>
              <w:t>Muutossarja 03</w:t>
            </w:r>
          </w:p>
        </w:tc>
        <w:tc>
          <w:tcPr>
            <w:tcW w:w="2323" w:type="dxa"/>
          </w:tcPr>
          <w:p>
            <w:pPr>
              <w:jc w:val="left"/>
              <w:rPr>
                <w:noProof/>
              </w:rPr>
            </w:pPr>
            <w:r>
              <w:rPr>
                <w:noProof/>
              </w:rPr>
              <w:t>EUVL L 35, 8.2.2018, s. 1</w:t>
            </w:r>
          </w:p>
        </w:tc>
        <w:tc>
          <w:tcPr>
            <w:tcW w:w="1435"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95</w:t>
            </w:r>
          </w:p>
        </w:tc>
        <w:tc>
          <w:tcPr>
            <w:tcW w:w="2588" w:type="dxa"/>
          </w:tcPr>
          <w:p>
            <w:pPr>
              <w:rPr>
                <w:noProof/>
              </w:rPr>
            </w:pPr>
            <w:r>
              <w:rPr>
                <w:noProof/>
              </w:rPr>
              <w:t xml:space="preserve">Matkustajien sivutörmäyssuojaus </w:t>
            </w:r>
          </w:p>
        </w:tc>
        <w:tc>
          <w:tcPr>
            <w:tcW w:w="1595" w:type="dxa"/>
          </w:tcPr>
          <w:p>
            <w:pPr>
              <w:rPr>
                <w:noProof/>
              </w:rPr>
            </w:pPr>
            <w:r>
              <w:rPr>
                <w:noProof/>
              </w:rPr>
              <w:t>Muutossarjan 03 täydennys 4</w:t>
            </w:r>
          </w:p>
        </w:tc>
        <w:tc>
          <w:tcPr>
            <w:tcW w:w="2323" w:type="dxa"/>
          </w:tcPr>
          <w:p>
            <w:pPr>
              <w:jc w:val="left"/>
              <w:rPr>
                <w:noProof/>
              </w:rPr>
            </w:pPr>
            <w:r>
              <w:rPr>
                <w:noProof/>
              </w:rPr>
              <w:t>EUVL L 183, 10.7.2015, s. 91</w:t>
            </w:r>
          </w:p>
        </w:tc>
        <w:tc>
          <w:tcPr>
            <w:tcW w:w="1435"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97</w:t>
            </w:r>
          </w:p>
        </w:tc>
        <w:tc>
          <w:tcPr>
            <w:tcW w:w="2588" w:type="dxa"/>
          </w:tcPr>
          <w:p>
            <w:pPr>
              <w:rPr>
                <w:noProof/>
              </w:rPr>
            </w:pPr>
            <w:r>
              <w:rPr>
                <w:noProof/>
              </w:rPr>
              <w:t>Ajoneuvojen hälytysjärjestelmät</w:t>
            </w:r>
          </w:p>
        </w:tc>
        <w:tc>
          <w:tcPr>
            <w:tcW w:w="1595" w:type="dxa"/>
          </w:tcPr>
          <w:p>
            <w:pPr>
              <w:rPr>
                <w:noProof/>
              </w:rPr>
            </w:pPr>
            <w:r>
              <w:rPr>
                <w:noProof/>
              </w:rPr>
              <w:t>Muutossarjan 01 täydennys 6</w:t>
            </w:r>
          </w:p>
        </w:tc>
        <w:tc>
          <w:tcPr>
            <w:tcW w:w="2323" w:type="dxa"/>
          </w:tcPr>
          <w:p>
            <w:pPr>
              <w:jc w:val="left"/>
              <w:rPr>
                <w:noProof/>
              </w:rPr>
            </w:pPr>
            <w:r>
              <w:rPr>
                <w:noProof/>
              </w:rPr>
              <w:t>EUVL L 122, 8.5.2012, s. 19</w:t>
            </w:r>
          </w:p>
        </w:tc>
        <w:tc>
          <w:tcPr>
            <w:tcW w:w="1435"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98</w:t>
            </w:r>
          </w:p>
        </w:tc>
        <w:tc>
          <w:tcPr>
            <w:tcW w:w="2588" w:type="dxa"/>
          </w:tcPr>
          <w:p>
            <w:pPr>
              <w:rPr>
                <w:noProof/>
              </w:rPr>
            </w:pPr>
            <w:r>
              <w:rPr>
                <w:noProof/>
              </w:rPr>
              <w:t>Kaasupurkausvalonlähteillä varustetut moottoriajoneuvojen ajovalaisimet</w:t>
            </w:r>
          </w:p>
        </w:tc>
        <w:tc>
          <w:tcPr>
            <w:tcW w:w="1595" w:type="dxa"/>
          </w:tcPr>
          <w:p>
            <w:pPr>
              <w:rPr>
                <w:noProof/>
                <w:highlight w:val="yellow"/>
              </w:rPr>
            </w:pPr>
            <w:r>
              <w:rPr>
                <w:noProof/>
              </w:rPr>
              <w:t>Muutossarjan 01 täydennys 4</w:t>
            </w:r>
          </w:p>
        </w:tc>
        <w:tc>
          <w:tcPr>
            <w:tcW w:w="2323" w:type="dxa"/>
          </w:tcPr>
          <w:p>
            <w:pPr>
              <w:jc w:val="left"/>
              <w:rPr>
                <w:noProof/>
              </w:rPr>
            </w:pPr>
            <w:r>
              <w:rPr>
                <w:noProof/>
              </w:rPr>
              <w:t>EUVL L 176, 14.6.2014, s. 64</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99</w:t>
            </w:r>
          </w:p>
        </w:tc>
        <w:tc>
          <w:tcPr>
            <w:tcW w:w="2588" w:type="dxa"/>
          </w:tcPr>
          <w:p>
            <w:pPr>
              <w:rPr>
                <w:noProof/>
              </w:rPr>
            </w:pPr>
            <w:r>
              <w:rPr>
                <w:noProof/>
              </w:rPr>
              <w:t xml:space="preserve">Moottoriajoneuvojen hyväksytyissä kaasupurkausvalaisinyksiköissä käytettävät kaasupurkausvalonlähteet </w:t>
            </w:r>
          </w:p>
        </w:tc>
        <w:tc>
          <w:tcPr>
            <w:tcW w:w="1595" w:type="dxa"/>
          </w:tcPr>
          <w:p>
            <w:pPr>
              <w:rPr>
                <w:noProof/>
              </w:rPr>
            </w:pPr>
            <w:r>
              <w:rPr>
                <w:noProof/>
              </w:rPr>
              <w:t>Säännön alkuperäisversion täydennys 9</w:t>
            </w:r>
          </w:p>
        </w:tc>
        <w:tc>
          <w:tcPr>
            <w:tcW w:w="2323" w:type="dxa"/>
          </w:tcPr>
          <w:p>
            <w:pPr>
              <w:jc w:val="left"/>
              <w:rPr>
                <w:noProof/>
              </w:rPr>
            </w:pPr>
            <w:r>
              <w:rPr>
                <w:noProof/>
              </w:rPr>
              <w:t>EUVL L 285, 30.9.2014, s. 35</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100</w:t>
            </w:r>
          </w:p>
        </w:tc>
        <w:tc>
          <w:tcPr>
            <w:tcW w:w="2588" w:type="dxa"/>
          </w:tcPr>
          <w:p>
            <w:pPr>
              <w:rPr>
                <w:noProof/>
              </w:rPr>
            </w:pPr>
            <w:r>
              <w:rPr>
                <w:noProof/>
              </w:rPr>
              <w:t>Sähköturvallisuus</w:t>
            </w:r>
          </w:p>
        </w:tc>
        <w:tc>
          <w:tcPr>
            <w:tcW w:w="1595" w:type="dxa"/>
          </w:tcPr>
          <w:p>
            <w:pPr>
              <w:rPr>
                <w:noProof/>
              </w:rPr>
            </w:pPr>
            <w:r>
              <w:rPr>
                <w:noProof/>
              </w:rPr>
              <w:t>Muutossarjan 02 täydennys 1</w:t>
            </w:r>
          </w:p>
        </w:tc>
        <w:tc>
          <w:tcPr>
            <w:tcW w:w="2323" w:type="dxa"/>
          </w:tcPr>
          <w:p>
            <w:pPr>
              <w:jc w:val="left"/>
              <w:rPr>
                <w:noProof/>
              </w:rPr>
            </w:pPr>
            <w:r>
              <w:rPr>
                <w:noProof/>
              </w:rPr>
              <w:t>EUVL L 87, 31.3.2015, s. 1</w:t>
            </w:r>
          </w:p>
          <w:p>
            <w:pPr>
              <w:jc w:val="left"/>
              <w:rPr>
                <w:noProof/>
              </w:rPr>
            </w:pPr>
            <w:r>
              <w:rPr>
                <w:i/>
                <w:noProof/>
              </w:rPr>
              <w:t>[Julkaisutoimisto: tarkoitus kääntää v. 2018 – päivitetään viittaukset kun saatavilla]</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102</w:t>
            </w:r>
          </w:p>
        </w:tc>
        <w:tc>
          <w:tcPr>
            <w:tcW w:w="2588" w:type="dxa"/>
          </w:tcPr>
          <w:p>
            <w:pPr>
              <w:rPr>
                <w:noProof/>
              </w:rPr>
            </w:pPr>
            <w:r>
              <w:rPr>
                <w:noProof/>
              </w:rPr>
              <w:t>Lyhytkytkentälaite (CCD), hyväksytyn lyhytkytkentälaitetyypin asentaminen</w:t>
            </w:r>
          </w:p>
        </w:tc>
        <w:tc>
          <w:tcPr>
            <w:tcW w:w="1595" w:type="dxa"/>
          </w:tcPr>
          <w:p>
            <w:pPr>
              <w:rPr>
                <w:noProof/>
              </w:rPr>
            </w:pPr>
            <w:r>
              <w:rPr>
                <w:noProof/>
              </w:rPr>
              <w:t>Säännön alkuperäisversio</w:t>
            </w:r>
          </w:p>
        </w:tc>
        <w:tc>
          <w:tcPr>
            <w:tcW w:w="2323" w:type="dxa"/>
          </w:tcPr>
          <w:p>
            <w:pPr>
              <w:jc w:val="left"/>
              <w:rPr>
                <w:noProof/>
              </w:rPr>
            </w:pPr>
            <w:r>
              <w:rPr>
                <w:noProof/>
              </w:rPr>
              <w:t>EUVL L 351, 30.12.2008, s. 44</w:t>
            </w:r>
          </w:p>
        </w:tc>
        <w:tc>
          <w:tcPr>
            <w:tcW w:w="1435"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104</w:t>
            </w:r>
          </w:p>
        </w:tc>
        <w:tc>
          <w:tcPr>
            <w:tcW w:w="2588" w:type="dxa"/>
          </w:tcPr>
          <w:p>
            <w:pPr>
              <w:rPr>
                <w:noProof/>
              </w:rPr>
            </w:pPr>
            <w:r>
              <w:rPr>
                <w:noProof/>
              </w:rPr>
              <w:t>Heijastavat merkinnät (raskaat ja pitkät ajoneuvot)</w:t>
            </w:r>
          </w:p>
        </w:tc>
        <w:tc>
          <w:tcPr>
            <w:tcW w:w="1595" w:type="dxa"/>
          </w:tcPr>
          <w:p>
            <w:pPr>
              <w:rPr>
                <w:noProof/>
              </w:rPr>
            </w:pPr>
            <w:r>
              <w:rPr>
                <w:noProof/>
              </w:rPr>
              <w:t>Säännön alkuperäisversion täydennys 7</w:t>
            </w:r>
          </w:p>
        </w:tc>
        <w:tc>
          <w:tcPr>
            <w:tcW w:w="2323" w:type="dxa"/>
          </w:tcPr>
          <w:p>
            <w:pPr>
              <w:jc w:val="left"/>
              <w:rPr>
                <w:noProof/>
              </w:rPr>
            </w:pPr>
            <w:r>
              <w:rPr>
                <w:noProof/>
              </w:rPr>
              <w:t>EUVL L 75, 14.3.2014, s. 29</w:t>
            </w:r>
          </w:p>
        </w:tc>
        <w:tc>
          <w:tcPr>
            <w:tcW w:w="1435" w:type="dxa"/>
          </w:tcPr>
          <w:p>
            <w:pPr>
              <w:rPr>
                <w:bCs/>
                <w:noProof/>
              </w:rPr>
            </w:pPr>
            <w:r>
              <w:rPr>
                <w:noProof/>
              </w:rPr>
              <w:t>M</w:t>
            </w:r>
            <w:r>
              <w:rPr>
                <w:noProof/>
                <w:vertAlign w:val="subscript"/>
              </w:rPr>
              <w:t>2</w:t>
            </w:r>
            <w:r>
              <w:rPr>
                <w:noProof/>
              </w:rPr>
              <w:t>, M</w:t>
            </w:r>
            <w:r>
              <w:rPr>
                <w:noProof/>
                <w:vertAlign w:val="subscript"/>
              </w:rPr>
              <w:t>3</w:t>
            </w:r>
            <w:r>
              <w:rPr>
                <w:noProof/>
              </w:rPr>
              <w:t>, N, O</w:t>
            </w:r>
            <w:r>
              <w:rPr>
                <w:noProof/>
                <w:vertAlign w:val="subscript"/>
              </w:rPr>
              <w:t>2</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105</w:t>
            </w:r>
          </w:p>
        </w:tc>
        <w:tc>
          <w:tcPr>
            <w:tcW w:w="2588" w:type="dxa"/>
          </w:tcPr>
          <w:p>
            <w:pPr>
              <w:rPr>
                <w:noProof/>
              </w:rPr>
            </w:pPr>
            <w:r>
              <w:rPr>
                <w:noProof/>
              </w:rPr>
              <w:t xml:space="preserve">Vaarallisten aineiden kuljetukseen tarkoitetut ajoneuvot </w:t>
            </w:r>
          </w:p>
        </w:tc>
        <w:tc>
          <w:tcPr>
            <w:tcW w:w="1595" w:type="dxa"/>
          </w:tcPr>
          <w:p>
            <w:pPr>
              <w:rPr>
                <w:noProof/>
              </w:rPr>
            </w:pPr>
            <w:r>
              <w:rPr>
                <w:noProof/>
              </w:rPr>
              <w:t>Muutossarja 05</w:t>
            </w:r>
          </w:p>
        </w:tc>
        <w:tc>
          <w:tcPr>
            <w:tcW w:w="2323" w:type="dxa"/>
          </w:tcPr>
          <w:p>
            <w:pPr>
              <w:jc w:val="left"/>
              <w:rPr>
                <w:noProof/>
              </w:rPr>
            </w:pPr>
            <w:r>
              <w:rPr>
                <w:noProof/>
              </w:rPr>
              <w:t>EUVL L 4, 7.1.2012, s. 30</w:t>
            </w:r>
          </w:p>
        </w:tc>
        <w:tc>
          <w:tcPr>
            <w:tcW w:w="1435" w:type="dxa"/>
          </w:tcPr>
          <w:p>
            <w:pPr>
              <w:rPr>
                <w:noProof/>
              </w:rPr>
            </w:pPr>
            <w:r>
              <w:rPr>
                <w:noProof/>
              </w:rPr>
              <w:t>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107</w:t>
            </w:r>
          </w:p>
        </w:tc>
        <w:tc>
          <w:tcPr>
            <w:tcW w:w="2588" w:type="dxa"/>
          </w:tcPr>
          <w:p>
            <w:pPr>
              <w:rPr>
                <w:noProof/>
              </w:rPr>
            </w:pPr>
            <w:r>
              <w:rPr>
                <w:noProof/>
              </w:rPr>
              <w:t>Luokkien M</w:t>
            </w:r>
            <w:r>
              <w:rPr>
                <w:noProof/>
                <w:vertAlign w:val="subscript"/>
              </w:rPr>
              <w:t>2</w:t>
            </w:r>
            <w:r>
              <w:rPr>
                <w:noProof/>
              </w:rPr>
              <w:t xml:space="preserve"> ja M</w:t>
            </w:r>
            <w:r>
              <w:rPr>
                <w:noProof/>
                <w:vertAlign w:val="subscript"/>
              </w:rPr>
              <w:t>3</w:t>
            </w:r>
            <w:r>
              <w:rPr>
                <w:noProof/>
              </w:rPr>
              <w:t xml:space="preserve"> ajoneuvot </w:t>
            </w:r>
          </w:p>
        </w:tc>
        <w:tc>
          <w:tcPr>
            <w:tcW w:w="1595" w:type="dxa"/>
          </w:tcPr>
          <w:p>
            <w:pPr>
              <w:rPr>
                <w:noProof/>
              </w:rPr>
            </w:pPr>
            <w:r>
              <w:rPr>
                <w:noProof/>
              </w:rPr>
              <w:t xml:space="preserve">Muutossarjan 07 täydennys 1 </w:t>
            </w:r>
          </w:p>
        </w:tc>
        <w:tc>
          <w:tcPr>
            <w:tcW w:w="2323" w:type="dxa"/>
          </w:tcPr>
          <w:p>
            <w:pPr>
              <w:jc w:val="left"/>
              <w:rPr>
                <w:noProof/>
              </w:rPr>
            </w:pPr>
            <w:r>
              <w:rPr>
                <w:noProof/>
              </w:rPr>
              <w:t>EUVL L 52, 23.2.2018, s. 1.</w:t>
            </w:r>
          </w:p>
        </w:tc>
        <w:tc>
          <w:tcPr>
            <w:tcW w:w="1435"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vAlign w:val="center"/>
          </w:tcPr>
          <w:p>
            <w:pPr>
              <w:spacing w:before="0" w:after="0"/>
              <w:jc w:val="center"/>
              <w:rPr>
                <w:rFonts w:eastAsia="Times New Roman"/>
                <w:b/>
                <w:noProof/>
                <w:color w:val="000000"/>
                <w:szCs w:val="24"/>
              </w:rPr>
            </w:pPr>
            <w:r>
              <w:rPr>
                <w:b/>
                <w:noProof/>
                <w:color w:val="000000"/>
              </w:rPr>
              <w:t>108</w:t>
            </w:r>
          </w:p>
        </w:tc>
        <w:tc>
          <w:tcPr>
            <w:tcW w:w="2588" w:type="dxa"/>
            <w:vAlign w:val="center"/>
          </w:tcPr>
          <w:p>
            <w:pPr>
              <w:spacing w:before="0" w:after="0"/>
              <w:rPr>
                <w:rFonts w:eastAsia="Times New Roman"/>
                <w:noProof/>
                <w:color w:val="000000"/>
                <w:szCs w:val="24"/>
              </w:rPr>
            </w:pPr>
            <w:r>
              <w:rPr>
                <w:noProof/>
                <w:color w:val="000000"/>
              </w:rPr>
              <w:t>Henkilöautojen ja niiden perävaunujen pinnoitetut renkaat</w:t>
            </w:r>
          </w:p>
        </w:tc>
        <w:tc>
          <w:tcPr>
            <w:tcW w:w="1595" w:type="dxa"/>
          </w:tcPr>
          <w:p>
            <w:pPr>
              <w:rPr>
                <w:noProof/>
                <w:szCs w:val="24"/>
              </w:rPr>
            </w:pPr>
            <w:r>
              <w:rPr>
                <w:noProof/>
              </w:rPr>
              <w:t>Säännön alkuperäisversion täydennys 1</w:t>
            </w:r>
          </w:p>
          <w:p>
            <w:pPr>
              <w:rPr>
                <w:noProof/>
                <w:szCs w:val="24"/>
              </w:rPr>
            </w:pPr>
          </w:p>
        </w:tc>
        <w:tc>
          <w:tcPr>
            <w:tcW w:w="2323" w:type="dxa"/>
          </w:tcPr>
          <w:p>
            <w:pPr>
              <w:jc w:val="left"/>
              <w:rPr>
                <w:noProof/>
                <w:szCs w:val="24"/>
              </w:rPr>
            </w:pPr>
            <w:r>
              <w:rPr>
                <w:noProof/>
              </w:rPr>
              <w:t>EUVL L 181, 4.7.2006, s. 1</w:t>
            </w:r>
          </w:p>
        </w:tc>
        <w:tc>
          <w:tcPr>
            <w:tcW w:w="1435" w:type="dxa"/>
          </w:tcPr>
          <w:p>
            <w:pPr>
              <w:rPr>
                <w:noProof/>
                <w:szCs w:val="24"/>
                <w:vertAlign w:val="subscript"/>
              </w:rPr>
            </w:pPr>
            <w:r>
              <w:rPr>
                <w:noProof/>
              </w:rPr>
              <w:t>M</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vAlign w:val="center"/>
          </w:tcPr>
          <w:p>
            <w:pPr>
              <w:spacing w:before="0" w:after="0"/>
              <w:jc w:val="center"/>
              <w:rPr>
                <w:rFonts w:eastAsia="Times New Roman"/>
                <w:b/>
                <w:noProof/>
                <w:color w:val="000000"/>
                <w:szCs w:val="24"/>
              </w:rPr>
            </w:pPr>
            <w:r>
              <w:rPr>
                <w:b/>
                <w:noProof/>
                <w:color w:val="000000"/>
              </w:rPr>
              <w:t>109</w:t>
            </w:r>
          </w:p>
        </w:tc>
        <w:tc>
          <w:tcPr>
            <w:tcW w:w="2588" w:type="dxa"/>
            <w:vAlign w:val="center"/>
          </w:tcPr>
          <w:p>
            <w:pPr>
              <w:spacing w:before="0" w:after="0"/>
              <w:rPr>
                <w:rFonts w:eastAsia="Times New Roman"/>
                <w:noProof/>
                <w:color w:val="000000"/>
                <w:szCs w:val="24"/>
              </w:rPr>
            </w:pPr>
            <w:r>
              <w:rPr>
                <w:noProof/>
                <w:color w:val="000000"/>
              </w:rPr>
              <w:t>Hyötyajoneuvojen ja niiden perävaunujen pinnoitetut renkaat</w:t>
            </w:r>
          </w:p>
        </w:tc>
        <w:tc>
          <w:tcPr>
            <w:tcW w:w="1595" w:type="dxa"/>
          </w:tcPr>
          <w:p>
            <w:pPr>
              <w:rPr>
                <w:noProof/>
                <w:szCs w:val="24"/>
              </w:rPr>
            </w:pPr>
            <w:r>
              <w:rPr>
                <w:noProof/>
              </w:rPr>
              <w:t>Säännön alkuperäisversion täydennys 2</w:t>
            </w:r>
          </w:p>
        </w:tc>
        <w:tc>
          <w:tcPr>
            <w:tcW w:w="2323" w:type="dxa"/>
          </w:tcPr>
          <w:p>
            <w:pPr>
              <w:jc w:val="left"/>
              <w:rPr>
                <w:noProof/>
                <w:szCs w:val="24"/>
              </w:rPr>
            </w:pPr>
            <w:r>
              <w:rPr>
                <w:noProof/>
              </w:rPr>
              <w:t>EUVL L 181, 4.7.2006, s. 1</w:t>
            </w:r>
          </w:p>
        </w:tc>
        <w:tc>
          <w:tcPr>
            <w:tcW w:w="1435" w:type="dxa"/>
          </w:tcPr>
          <w:p>
            <w:pPr>
              <w:rPr>
                <w:noProof/>
                <w:szCs w:val="24"/>
              </w:rPr>
            </w:pPr>
            <w:r>
              <w:rPr>
                <w:noProof/>
                <w:sz w:val="23"/>
              </w:rPr>
              <w:t>M</w:t>
            </w:r>
            <w:r>
              <w:rPr>
                <w:noProof/>
                <w:sz w:val="15"/>
              </w:rPr>
              <w:t>2</w:t>
            </w:r>
            <w:r>
              <w:rPr>
                <w:noProof/>
                <w:sz w:val="23"/>
              </w:rPr>
              <w:t>, M</w:t>
            </w:r>
            <w:r>
              <w:rPr>
                <w:noProof/>
                <w:sz w:val="15"/>
              </w:rPr>
              <w:t>3</w:t>
            </w:r>
            <w:r>
              <w:rPr>
                <w:noProof/>
                <w:sz w:val="23"/>
              </w:rPr>
              <w:t>, N, O</w:t>
            </w:r>
            <w:r>
              <w:rPr>
                <w:noProof/>
                <w:sz w:val="15"/>
              </w:rPr>
              <w:t xml:space="preserve">3, </w:t>
            </w:r>
            <w:r>
              <w:rPr>
                <w:noProof/>
                <w:sz w:val="23"/>
              </w:rPr>
              <w:t>O</w:t>
            </w:r>
            <w:r>
              <w:rPr>
                <w:noProof/>
                <w:sz w:val="15"/>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110</w:t>
            </w:r>
          </w:p>
        </w:tc>
        <w:tc>
          <w:tcPr>
            <w:tcW w:w="2588" w:type="dxa"/>
          </w:tcPr>
          <w:p>
            <w:pPr>
              <w:rPr>
                <w:noProof/>
              </w:rPr>
            </w:pPr>
            <w:r>
              <w:rPr>
                <w:noProof/>
              </w:rPr>
              <w:t>Paineistettua maakaasua (CNG) varten tarkoitetut erikoisosat</w:t>
            </w:r>
          </w:p>
        </w:tc>
        <w:tc>
          <w:tcPr>
            <w:tcW w:w="1595" w:type="dxa"/>
          </w:tcPr>
          <w:p>
            <w:pPr>
              <w:rPr>
                <w:noProof/>
              </w:rPr>
            </w:pPr>
            <w:r>
              <w:rPr>
                <w:noProof/>
              </w:rPr>
              <w:t>Muutossarjan 01 täydennys 2</w:t>
            </w:r>
          </w:p>
        </w:tc>
        <w:tc>
          <w:tcPr>
            <w:tcW w:w="2323" w:type="dxa"/>
          </w:tcPr>
          <w:p>
            <w:pPr>
              <w:jc w:val="left"/>
              <w:rPr>
                <w:noProof/>
              </w:rPr>
            </w:pPr>
            <w:r>
              <w:rPr>
                <w:noProof/>
              </w:rPr>
              <w:t>EUVL L 166, 30.6.2015,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112</w:t>
            </w:r>
          </w:p>
        </w:tc>
        <w:tc>
          <w:tcPr>
            <w:tcW w:w="2588" w:type="dxa"/>
          </w:tcPr>
          <w:p>
            <w:pPr>
              <w:rPr>
                <w:noProof/>
              </w:rPr>
            </w:pPr>
            <w:r>
              <w:rPr>
                <w:noProof/>
              </w:rPr>
              <w:t>Epäsymmetrisen lähivalon tai kaukovalon aikaansaavat, hehkulampuilla ja/tai LED-moduuleilla varustetut moottoriajoneuvojen ajovalaisimet</w:t>
            </w:r>
          </w:p>
        </w:tc>
        <w:tc>
          <w:tcPr>
            <w:tcW w:w="1595" w:type="dxa"/>
          </w:tcPr>
          <w:p>
            <w:pPr>
              <w:rPr>
                <w:noProof/>
              </w:rPr>
            </w:pPr>
            <w:r>
              <w:rPr>
                <w:noProof/>
              </w:rPr>
              <w:t>Muutossarjan 01 täydennys 4</w:t>
            </w:r>
          </w:p>
        </w:tc>
        <w:tc>
          <w:tcPr>
            <w:tcW w:w="2323" w:type="dxa"/>
          </w:tcPr>
          <w:p>
            <w:pPr>
              <w:jc w:val="left"/>
              <w:rPr>
                <w:noProof/>
              </w:rPr>
            </w:pPr>
            <w:r>
              <w:rPr>
                <w:noProof/>
              </w:rPr>
              <w:t>EUVL L 250, 22.8.2014, s. 67</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114</w:t>
            </w:r>
          </w:p>
        </w:tc>
        <w:tc>
          <w:tcPr>
            <w:tcW w:w="2588" w:type="dxa"/>
          </w:tcPr>
          <w:p>
            <w:pPr>
              <w:rPr>
                <w:noProof/>
              </w:rPr>
            </w:pPr>
            <w:r>
              <w:rPr>
                <w:noProof/>
              </w:rPr>
              <w:t>Varaosana toimitettava turvatyyny</w:t>
            </w:r>
          </w:p>
        </w:tc>
        <w:tc>
          <w:tcPr>
            <w:tcW w:w="1595" w:type="dxa"/>
          </w:tcPr>
          <w:p>
            <w:pPr>
              <w:rPr>
                <w:noProof/>
              </w:rPr>
            </w:pPr>
            <w:r>
              <w:rPr>
                <w:noProof/>
              </w:rPr>
              <w:t>Säännön alkuperäisversio</w:t>
            </w:r>
          </w:p>
        </w:tc>
        <w:tc>
          <w:tcPr>
            <w:tcW w:w="2323" w:type="dxa"/>
          </w:tcPr>
          <w:p>
            <w:pPr>
              <w:jc w:val="left"/>
              <w:rPr>
                <w:noProof/>
                <w:color w:val="FF0000"/>
              </w:rPr>
            </w:pPr>
            <w:r>
              <w:rPr>
                <w:noProof/>
              </w:rPr>
              <w:t>EUVL L 373, 27.12.2006, s. 272</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115</w:t>
            </w:r>
          </w:p>
        </w:tc>
        <w:tc>
          <w:tcPr>
            <w:tcW w:w="2588" w:type="dxa"/>
          </w:tcPr>
          <w:p>
            <w:pPr>
              <w:rPr>
                <w:noProof/>
              </w:rPr>
            </w:pPr>
            <w:r>
              <w:rPr>
                <w:noProof/>
              </w:rPr>
              <w:t>Jälkiasennettavat neste- ja maakaasujärjestelmät</w:t>
            </w:r>
          </w:p>
        </w:tc>
        <w:tc>
          <w:tcPr>
            <w:tcW w:w="1595" w:type="dxa"/>
          </w:tcPr>
          <w:p>
            <w:pPr>
              <w:rPr>
                <w:noProof/>
              </w:rPr>
            </w:pPr>
            <w:r>
              <w:rPr>
                <w:noProof/>
              </w:rPr>
              <w:t>Säännön alkuperäisversion täydennys 6</w:t>
            </w:r>
          </w:p>
        </w:tc>
        <w:tc>
          <w:tcPr>
            <w:tcW w:w="2323" w:type="dxa"/>
          </w:tcPr>
          <w:p>
            <w:pPr>
              <w:jc w:val="left"/>
              <w:rPr>
                <w:noProof/>
              </w:rPr>
            </w:pPr>
            <w:r>
              <w:rPr>
                <w:noProof/>
              </w:rPr>
              <w:t>EUVL L 323, 7.11.2014, s. 91</w:t>
            </w:r>
          </w:p>
        </w:tc>
        <w:tc>
          <w:tcPr>
            <w:tcW w:w="1435"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116</w:t>
            </w:r>
          </w:p>
        </w:tc>
        <w:tc>
          <w:tcPr>
            <w:tcW w:w="2588" w:type="dxa"/>
          </w:tcPr>
          <w:p>
            <w:pPr>
              <w:rPr>
                <w:noProof/>
              </w:rPr>
            </w:pPr>
            <w:r>
              <w:rPr>
                <w:noProof/>
              </w:rPr>
              <w:t>Moottoriajoneuvojen luvattoman käytön estävät laitteet</w:t>
            </w:r>
          </w:p>
        </w:tc>
        <w:tc>
          <w:tcPr>
            <w:tcW w:w="1595" w:type="dxa"/>
          </w:tcPr>
          <w:p>
            <w:pPr>
              <w:rPr>
                <w:noProof/>
              </w:rPr>
            </w:pPr>
            <w:r>
              <w:rPr>
                <w:noProof/>
              </w:rPr>
              <w:t>Säännön alkuperäisversion täydennys 3</w:t>
            </w:r>
          </w:p>
        </w:tc>
        <w:tc>
          <w:tcPr>
            <w:tcW w:w="2323" w:type="dxa"/>
          </w:tcPr>
          <w:p>
            <w:pPr>
              <w:jc w:val="left"/>
              <w:rPr>
                <w:noProof/>
              </w:rPr>
            </w:pPr>
            <w:r>
              <w:rPr>
                <w:noProof/>
              </w:rPr>
              <w:t>EUVL L 45, 16.2.2012, s. 1</w:t>
            </w:r>
          </w:p>
        </w:tc>
        <w:tc>
          <w:tcPr>
            <w:tcW w:w="1435"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117</w:t>
            </w:r>
          </w:p>
        </w:tc>
        <w:tc>
          <w:tcPr>
            <w:tcW w:w="2588" w:type="dxa"/>
          </w:tcPr>
          <w:p>
            <w:pPr>
              <w:rPr>
                <w:noProof/>
              </w:rPr>
            </w:pPr>
            <w:r>
              <w:rPr>
                <w:noProof/>
              </w:rPr>
              <w:t>Renkaat vierintämelun, märkäpidon ja vierintävastuksen osalta (luokat C1, C2 ja C3)</w:t>
            </w:r>
          </w:p>
        </w:tc>
        <w:tc>
          <w:tcPr>
            <w:tcW w:w="1595" w:type="dxa"/>
          </w:tcPr>
          <w:p>
            <w:pPr>
              <w:rPr>
                <w:noProof/>
              </w:rPr>
            </w:pPr>
            <w:r>
              <w:rPr>
                <w:noProof/>
              </w:rPr>
              <w:t>Muutossarjan 02 täydennys 8</w:t>
            </w:r>
          </w:p>
        </w:tc>
        <w:tc>
          <w:tcPr>
            <w:tcW w:w="2323" w:type="dxa"/>
          </w:tcPr>
          <w:p>
            <w:pPr>
              <w:jc w:val="left"/>
              <w:rPr>
                <w:noProof/>
              </w:rPr>
            </w:pPr>
            <w:r>
              <w:rPr>
                <w:noProof/>
              </w:rPr>
              <w:t>EUVL L 218, 12.8.2016, s. 1</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118</w:t>
            </w:r>
          </w:p>
        </w:tc>
        <w:tc>
          <w:tcPr>
            <w:tcW w:w="2588" w:type="dxa"/>
          </w:tcPr>
          <w:p>
            <w:pPr>
              <w:rPr>
                <w:noProof/>
              </w:rPr>
            </w:pPr>
            <w:r>
              <w:rPr>
                <w:noProof/>
              </w:rPr>
              <w:t>Linja-autojen sisämateriaalien tulenkestävyys</w:t>
            </w:r>
          </w:p>
        </w:tc>
        <w:tc>
          <w:tcPr>
            <w:tcW w:w="1595" w:type="dxa"/>
          </w:tcPr>
          <w:p>
            <w:pPr>
              <w:rPr>
                <w:noProof/>
              </w:rPr>
            </w:pPr>
            <w:r>
              <w:rPr>
                <w:noProof/>
              </w:rPr>
              <w:t>Muutossarjan 02 täydennys 1</w:t>
            </w:r>
          </w:p>
        </w:tc>
        <w:tc>
          <w:tcPr>
            <w:tcW w:w="2323" w:type="dxa"/>
          </w:tcPr>
          <w:p>
            <w:pPr>
              <w:jc w:val="left"/>
              <w:rPr>
                <w:noProof/>
              </w:rPr>
            </w:pPr>
            <w:r>
              <w:rPr>
                <w:noProof/>
              </w:rPr>
              <w:t>EUVL L 102, 21.4.2015, s. 67</w:t>
            </w:r>
          </w:p>
          <w:p>
            <w:pPr>
              <w:jc w:val="left"/>
              <w:rPr>
                <w:noProof/>
              </w:rPr>
            </w:pPr>
            <w:r>
              <w:rPr>
                <w:i/>
                <w:noProof/>
              </w:rPr>
              <w:t>[Julkaisutoimisto: tarkoitus kääntää v. 2018 – päivitetään viittaukset kun saatavilla]</w:t>
            </w:r>
          </w:p>
        </w:tc>
        <w:tc>
          <w:tcPr>
            <w:tcW w:w="1435" w:type="dxa"/>
          </w:tcPr>
          <w:p>
            <w:pPr>
              <w:rPr>
                <w:noProof/>
              </w:rPr>
            </w:pPr>
            <w:r>
              <w:rPr>
                <w:noProof/>
              </w:rPr>
              <w:t>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119</w:t>
            </w:r>
          </w:p>
        </w:tc>
        <w:tc>
          <w:tcPr>
            <w:tcW w:w="2588" w:type="dxa"/>
          </w:tcPr>
          <w:p>
            <w:pPr>
              <w:rPr>
                <w:noProof/>
              </w:rPr>
            </w:pPr>
            <w:r>
              <w:rPr>
                <w:noProof/>
              </w:rPr>
              <w:t>Kulmavalaisimet</w:t>
            </w:r>
          </w:p>
        </w:tc>
        <w:tc>
          <w:tcPr>
            <w:tcW w:w="1595" w:type="dxa"/>
          </w:tcPr>
          <w:p>
            <w:pPr>
              <w:rPr>
                <w:noProof/>
              </w:rPr>
            </w:pPr>
            <w:r>
              <w:rPr>
                <w:noProof/>
              </w:rPr>
              <w:t>Muutossarjan 01 täydennys 3</w:t>
            </w:r>
          </w:p>
        </w:tc>
        <w:tc>
          <w:tcPr>
            <w:tcW w:w="2323" w:type="dxa"/>
          </w:tcPr>
          <w:p>
            <w:pPr>
              <w:jc w:val="left"/>
              <w:rPr>
                <w:noProof/>
              </w:rPr>
            </w:pPr>
            <w:r>
              <w:rPr>
                <w:noProof/>
              </w:rPr>
              <w:t>EUVL L 89, 25.3.2014, s. 101</w:t>
            </w:r>
          </w:p>
        </w:tc>
        <w:tc>
          <w:tcPr>
            <w:tcW w:w="1435"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121</w:t>
            </w:r>
          </w:p>
        </w:tc>
        <w:tc>
          <w:tcPr>
            <w:tcW w:w="2588" w:type="dxa"/>
          </w:tcPr>
          <w:p>
            <w:pPr>
              <w:rPr>
                <w:noProof/>
              </w:rPr>
            </w:pPr>
            <w:r>
              <w:rPr>
                <w:noProof/>
              </w:rPr>
              <w:t>Hallintalaitteiden, merkkivalaisimien ja osoittimien sijainti ja tunnistaminen</w:t>
            </w:r>
          </w:p>
        </w:tc>
        <w:tc>
          <w:tcPr>
            <w:tcW w:w="1595" w:type="dxa"/>
          </w:tcPr>
          <w:p>
            <w:pPr>
              <w:rPr>
                <w:noProof/>
              </w:rPr>
            </w:pPr>
            <w:r>
              <w:rPr>
                <w:noProof/>
              </w:rPr>
              <w:t>Muutossarja 01</w:t>
            </w:r>
          </w:p>
        </w:tc>
        <w:tc>
          <w:tcPr>
            <w:tcW w:w="2323" w:type="dxa"/>
          </w:tcPr>
          <w:p>
            <w:pPr>
              <w:jc w:val="left"/>
              <w:rPr>
                <w:noProof/>
              </w:rPr>
            </w:pPr>
            <w:r>
              <w:rPr>
                <w:noProof/>
              </w:rPr>
              <w:t>EUVL L 5, 8.1.2016, s. 9</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122</w:t>
            </w:r>
          </w:p>
        </w:tc>
        <w:tc>
          <w:tcPr>
            <w:tcW w:w="2588" w:type="dxa"/>
          </w:tcPr>
          <w:p>
            <w:pPr>
              <w:rPr>
                <w:noProof/>
              </w:rPr>
            </w:pPr>
            <w:r>
              <w:rPr>
                <w:noProof/>
              </w:rPr>
              <w:t>Ajoneuvojen lämmitysjärjestelmät</w:t>
            </w:r>
          </w:p>
        </w:tc>
        <w:tc>
          <w:tcPr>
            <w:tcW w:w="1595" w:type="dxa"/>
          </w:tcPr>
          <w:p>
            <w:pPr>
              <w:rPr>
                <w:b/>
                <w:bCs/>
                <w:noProof/>
              </w:rPr>
            </w:pPr>
            <w:r>
              <w:rPr>
                <w:noProof/>
              </w:rPr>
              <w:t>Säännön alkuperäisversion täydennys 1</w:t>
            </w:r>
          </w:p>
        </w:tc>
        <w:tc>
          <w:tcPr>
            <w:tcW w:w="2323" w:type="dxa"/>
          </w:tcPr>
          <w:p>
            <w:pPr>
              <w:jc w:val="left"/>
              <w:rPr>
                <w:noProof/>
              </w:rPr>
            </w:pPr>
            <w:r>
              <w:rPr>
                <w:noProof/>
              </w:rPr>
              <w:t>EUVL L 164, 30.6.2010, s. 231</w:t>
            </w:r>
          </w:p>
          <w:p>
            <w:pPr>
              <w:jc w:val="left"/>
              <w:rPr>
                <w:b/>
                <w:bCs/>
                <w:noProof/>
              </w:rPr>
            </w:pPr>
            <w:r>
              <w:rPr>
                <w:i/>
                <w:noProof/>
              </w:rPr>
              <w:t>[Julkaisutoimisto: tarkoitus kääntää v. 2018 – päivitetään viittaukset kun saatavilla]</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123</w:t>
            </w:r>
          </w:p>
        </w:tc>
        <w:tc>
          <w:tcPr>
            <w:tcW w:w="2588" w:type="dxa"/>
          </w:tcPr>
          <w:p>
            <w:pPr>
              <w:rPr>
                <w:noProof/>
              </w:rPr>
            </w:pPr>
            <w:r>
              <w:rPr>
                <w:noProof/>
              </w:rPr>
              <w:t>Moottoriajoneuvojen mukautuvat etuvalaisujärjestelmät (AFS-järjestelmät)</w:t>
            </w:r>
          </w:p>
        </w:tc>
        <w:tc>
          <w:tcPr>
            <w:tcW w:w="1595" w:type="dxa"/>
          </w:tcPr>
          <w:p>
            <w:pPr>
              <w:rPr>
                <w:noProof/>
              </w:rPr>
            </w:pPr>
            <w:r>
              <w:rPr>
                <w:noProof/>
              </w:rPr>
              <w:t>Säännön alkuperäisversion täydennys 4</w:t>
            </w:r>
          </w:p>
        </w:tc>
        <w:tc>
          <w:tcPr>
            <w:tcW w:w="2323" w:type="dxa"/>
          </w:tcPr>
          <w:p>
            <w:pPr>
              <w:jc w:val="left"/>
              <w:rPr>
                <w:noProof/>
              </w:rPr>
            </w:pPr>
            <w:r>
              <w:rPr>
                <w:noProof/>
              </w:rPr>
              <w:t>EUVL L 222, 24.8.2010, s. 1</w:t>
            </w:r>
          </w:p>
        </w:tc>
        <w:tc>
          <w:tcPr>
            <w:tcW w:w="1435"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124</w:t>
            </w:r>
          </w:p>
        </w:tc>
        <w:tc>
          <w:tcPr>
            <w:tcW w:w="2588" w:type="dxa"/>
          </w:tcPr>
          <w:p>
            <w:pPr>
              <w:rPr>
                <w:noProof/>
              </w:rPr>
            </w:pPr>
            <w:r>
              <w:rPr>
                <w:noProof/>
              </w:rPr>
              <w:t>Varaosapyörät</w:t>
            </w:r>
          </w:p>
        </w:tc>
        <w:tc>
          <w:tcPr>
            <w:tcW w:w="1595" w:type="dxa"/>
          </w:tcPr>
          <w:p>
            <w:pPr>
              <w:rPr>
                <w:noProof/>
              </w:rPr>
            </w:pPr>
            <w:r>
              <w:rPr>
                <w:noProof/>
              </w:rPr>
              <w:t>Säännön alkuperäisversio</w:t>
            </w:r>
          </w:p>
        </w:tc>
        <w:tc>
          <w:tcPr>
            <w:tcW w:w="2323" w:type="dxa"/>
          </w:tcPr>
          <w:p>
            <w:pPr>
              <w:jc w:val="left"/>
              <w:rPr>
                <w:noProof/>
              </w:rPr>
            </w:pPr>
            <w:r>
              <w:rPr>
                <w:noProof/>
              </w:rPr>
              <w:t>EUVL L 375, 27.12.2006, s. 568</w:t>
            </w:r>
          </w:p>
        </w:tc>
        <w:tc>
          <w:tcPr>
            <w:tcW w:w="1435" w:type="dxa"/>
          </w:tcPr>
          <w:p>
            <w:pPr>
              <w:rPr>
                <w:bCs/>
                <w:noProof/>
                <w:vertAlign w:val="subscript"/>
              </w:rPr>
            </w:pPr>
            <w:r>
              <w:rPr>
                <w:noProof/>
              </w:rPr>
              <w:t>M</w:t>
            </w:r>
            <w:r>
              <w:rPr>
                <w:noProof/>
                <w:vertAlign w:val="subscript"/>
              </w:rPr>
              <w:t>1</w:t>
            </w:r>
            <w:r>
              <w:rPr>
                <w:noProof/>
              </w:rPr>
              <w:t>, N</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125</w:t>
            </w:r>
          </w:p>
        </w:tc>
        <w:tc>
          <w:tcPr>
            <w:tcW w:w="2588" w:type="dxa"/>
          </w:tcPr>
          <w:p>
            <w:pPr>
              <w:rPr>
                <w:noProof/>
              </w:rPr>
            </w:pPr>
            <w:r>
              <w:rPr>
                <w:noProof/>
              </w:rPr>
              <w:t xml:space="preserve">Etunäkyvyysalue </w:t>
            </w:r>
          </w:p>
        </w:tc>
        <w:tc>
          <w:tcPr>
            <w:tcW w:w="1595" w:type="dxa"/>
          </w:tcPr>
          <w:p>
            <w:pPr>
              <w:rPr>
                <w:noProof/>
              </w:rPr>
            </w:pPr>
            <w:r>
              <w:rPr>
                <w:noProof/>
              </w:rPr>
              <w:t>Muutossarjan 01 täydennys 1</w:t>
            </w:r>
          </w:p>
        </w:tc>
        <w:tc>
          <w:tcPr>
            <w:tcW w:w="2323" w:type="dxa"/>
          </w:tcPr>
          <w:p>
            <w:pPr>
              <w:jc w:val="left"/>
              <w:rPr>
                <w:noProof/>
              </w:rPr>
            </w:pPr>
            <w:r>
              <w:rPr>
                <w:noProof/>
              </w:rPr>
              <w:t>EUVL L 20, 25.1.2018, s. 16</w:t>
            </w:r>
          </w:p>
        </w:tc>
        <w:tc>
          <w:tcPr>
            <w:tcW w:w="1435"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126</w:t>
            </w:r>
          </w:p>
        </w:tc>
        <w:tc>
          <w:tcPr>
            <w:tcW w:w="2588" w:type="dxa"/>
          </w:tcPr>
          <w:p>
            <w:pPr>
              <w:rPr>
                <w:noProof/>
              </w:rPr>
            </w:pPr>
            <w:r>
              <w:rPr>
                <w:noProof/>
              </w:rPr>
              <w:t>Tilanjakojärjestelmät</w:t>
            </w:r>
          </w:p>
        </w:tc>
        <w:tc>
          <w:tcPr>
            <w:tcW w:w="1595" w:type="dxa"/>
          </w:tcPr>
          <w:p>
            <w:pPr>
              <w:rPr>
                <w:noProof/>
              </w:rPr>
            </w:pPr>
            <w:r>
              <w:rPr>
                <w:noProof/>
              </w:rPr>
              <w:t>Alkuperäisversio</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127</w:t>
            </w:r>
          </w:p>
        </w:tc>
        <w:tc>
          <w:tcPr>
            <w:tcW w:w="2588" w:type="dxa"/>
          </w:tcPr>
          <w:p>
            <w:pPr>
              <w:rPr>
                <w:noProof/>
              </w:rPr>
            </w:pPr>
            <w:r>
              <w:rPr>
                <w:noProof/>
              </w:rPr>
              <w:t>Jalankulkijoiden turvallisuus</w:t>
            </w:r>
          </w:p>
        </w:tc>
        <w:tc>
          <w:tcPr>
            <w:tcW w:w="1595" w:type="dxa"/>
          </w:tcPr>
          <w:p>
            <w:pPr>
              <w:rPr>
                <w:noProof/>
              </w:rPr>
            </w:pPr>
            <w:r>
              <w:rPr>
                <w:noProof/>
              </w:rPr>
              <w:t>Muutossarja 2</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128</w:t>
            </w:r>
          </w:p>
        </w:tc>
        <w:tc>
          <w:tcPr>
            <w:tcW w:w="2588" w:type="dxa"/>
          </w:tcPr>
          <w:p>
            <w:pPr>
              <w:rPr>
                <w:noProof/>
              </w:rPr>
            </w:pPr>
            <w:r>
              <w:rPr>
                <w:noProof/>
              </w:rPr>
              <w:t>Valodiodivalonlähteet (LED)</w:t>
            </w:r>
          </w:p>
        </w:tc>
        <w:tc>
          <w:tcPr>
            <w:tcW w:w="1595" w:type="dxa"/>
          </w:tcPr>
          <w:p>
            <w:pPr>
              <w:rPr>
                <w:noProof/>
              </w:rPr>
            </w:pPr>
            <w:r>
              <w:rPr>
                <w:noProof/>
              </w:rPr>
              <w:t>Säännön alkuperäisversion täydennys 2</w:t>
            </w:r>
          </w:p>
        </w:tc>
        <w:tc>
          <w:tcPr>
            <w:tcW w:w="2323" w:type="dxa"/>
          </w:tcPr>
          <w:p>
            <w:pPr>
              <w:jc w:val="left"/>
              <w:rPr>
                <w:noProof/>
              </w:rPr>
            </w:pPr>
            <w:r>
              <w:rPr>
                <w:noProof/>
              </w:rPr>
              <w:t>EUVL L 162, 29.5.2014, s. 43</w:t>
            </w:r>
          </w:p>
        </w:tc>
        <w:tc>
          <w:tcPr>
            <w:tcW w:w="1435"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129</w:t>
            </w:r>
          </w:p>
        </w:tc>
        <w:tc>
          <w:tcPr>
            <w:tcW w:w="2588" w:type="dxa"/>
          </w:tcPr>
          <w:p>
            <w:pPr>
              <w:rPr>
                <w:noProof/>
              </w:rPr>
            </w:pPr>
            <w:r>
              <w:rPr>
                <w:noProof/>
              </w:rPr>
              <w:t>Parannetut lasten turvajärjestelmät</w:t>
            </w:r>
          </w:p>
        </w:tc>
        <w:tc>
          <w:tcPr>
            <w:tcW w:w="1595" w:type="dxa"/>
          </w:tcPr>
          <w:p>
            <w:pPr>
              <w:rPr>
                <w:noProof/>
              </w:rPr>
            </w:pPr>
            <w:r>
              <w:rPr>
                <w:noProof/>
              </w:rPr>
              <w:t>Säännön alkuperäisversion täydennys 2</w:t>
            </w:r>
          </w:p>
        </w:tc>
        <w:tc>
          <w:tcPr>
            <w:tcW w:w="2323" w:type="dxa"/>
          </w:tcPr>
          <w:p>
            <w:pPr>
              <w:jc w:val="left"/>
              <w:rPr>
                <w:noProof/>
              </w:rPr>
            </w:pPr>
            <w:r>
              <w:rPr>
                <w:noProof/>
              </w:rPr>
              <w:t>EUVL L 97, 29.3.2014, s. 21</w:t>
            </w:r>
          </w:p>
        </w:tc>
        <w:tc>
          <w:tcPr>
            <w:tcW w:w="1435"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130</w:t>
            </w:r>
          </w:p>
        </w:tc>
        <w:tc>
          <w:tcPr>
            <w:tcW w:w="2588" w:type="dxa"/>
          </w:tcPr>
          <w:p>
            <w:pPr>
              <w:rPr>
                <w:noProof/>
              </w:rPr>
            </w:pPr>
            <w:r>
              <w:rPr>
                <w:noProof/>
              </w:rPr>
              <w:t>Kaistavahtijärjestelmät</w:t>
            </w:r>
          </w:p>
        </w:tc>
        <w:tc>
          <w:tcPr>
            <w:tcW w:w="1595" w:type="dxa"/>
          </w:tcPr>
          <w:p>
            <w:pPr>
              <w:rPr>
                <w:noProof/>
              </w:rPr>
            </w:pPr>
            <w:r>
              <w:rPr>
                <w:noProof/>
              </w:rPr>
              <w:t>Säännön alkuperäisversio</w:t>
            </w:r>
          </w:p>
        </w:tc>
        <w:tc>
          <w:tcPr>
            <w:tcW w:w="2323" w:type="dxa"/>
          </w:tcPr>
          <w:p>
            <w:pPr>
              <w:jc w:val="left"/>
              <w:rPr>
                <w:noProof/>
              </w:rPr>
            </w:pPr>
            <w:r>
              <w:rPr>
                <w:noProof/>
              </w:rPr>
              <w:t>EUVL L 178, 18.6.2014, s. 29</w:t>
            </w:r>
          </w:p>
        </w:tc>
        <w:tc>
          <w:tcPr>
            <w:tcW w:w="1435"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131</w:t>
            </w:r>
          </w:p>
        </w:tc>
        <w:tc>
          <w:tcPr>
            <w:tcW w:w="2588" w:type="dxa"/>
          </w:tcPr>
          <w:p>
            <w:pPr>
              <w:rPr>
                <w:noProof/>
              </w:rPr>
            </w:pPr>
            <w:r>
              <w:rPr>
                <w:noProof/>
              </w:rPr>
              <w:t>Kehittyneet hätäjarrutusjärjestelmät</w:t>
            </w:r>
          </w:p>
        </w:tc>
        <w:tc>
          <w:tcPr>
            <w:tcW w:w="1595" w:type="dxa"/>
          </w:tcPr>
          <w:p>
            <w:pPr>
              <w:rPr>
                <w:noProof/>
              </w:rPr>
            </w:pPr>
            <w:r>
              <w:rPr>
                <w:noProof/>
              </w:rPr>
              <w:t>Muutossarjan 01 täydennys 1</w:t>
            </w:r>
          </w:p>
        </w:tc>
        <w:tc>
          <w:tcPr>
            <w:tcW w:w="2323" w:type="dxa"/>
          </w:tcPr>
          <w:p>
            <w:pPr>
              <w:jc w:val="left"/>
              <w:rPr>
                <w:noProof/>
              </w:rPr>
            </w:pPr>
            <w:r>
              <w:rPr>
                <w:noProof/>
              </w:rPr>
              <w:t>EUVL L 214, 19.7.2014, s. 47</w:t>
            </w:r>
          </w:p>
        </w:tc>
        <w:tc>
          <w:tcPr>
            <w:tcW w:w="1435"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134</w:t>
            </w:r>
          </w:p>
        </w:tc>
        <w:tc>
          <w:tcPr>
            <w:tcW w:w="2588" w:type="dxa"/>
          </w:tcPr>
          <w:p>
            <w:pPr>
              <w:rPr>
                <w:noProof/>
              </w:rPr>
            </w:pPr>
            <w:r>
              <w:rPr>
                <w:noProof/>
              </w:rPr>
              <w:t>Vetyajoneuvojen turvallisuus</w:t>
            </w:r>
          </w:p>
        </w:tc>
        <w:tc>
          <w:tcPr>
            <w:tcW w:w="1595" w:type="dxa"/>
          </w:tcPr>
          <w:p>
            <w:pPr>
              <w:rPr>
                <w:noProof/>
              </w:rPr>
            </w:pPr>
            <w:r>
              <w:rPr>
                <w:noProof/>
              </w:rPr>
              <w:t>Säännön alkuperäisversion täydennys 2</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135</w:t>
            </w:r>
          </w:p>
        </w:tc>
        <w:tc>
          <w:tcPr>
            <w:tcW w:w="2588" w:type="dxa"/>
          </w:tcPr>
          <w:p>
            <w:pPr>
              <w:rPr>
                <w:noProof/>
              </w:rPr>
            </w:pPr>
            <w:r>
              <w:rPr>
                <w:noProof/>
              </w:rPr>
              <w:t>Pylvässivutörmäys</w:t>
            </w:r>
          </w:p>
        </w:tc>
        <w:tc>
          <w:tcPr>
            <w:tcW w:w="1595" w:type="dxa"/>
          </w:tcPr>
          <w:p>
            <w:pPr>
              <w:rPr>
                <w:noProof/>
              </w:rPr>
            </w:pPr>
            <w:r>
              <w:rPr>
                <w:noProof/>
              </w:rPr>
              <w:t>Muutossarjan 01 täydennys 1</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137</w:t>
            </w:r>
          </w:p>
        </w:tc>
        <w:tc>
          <w:tcPr>
            <w:tcW w:w="2588" w:type="dxa"/>
          </w:tcPr>
          <w:p>
            <w:pPr>
              <w:rPr>
                <w:noProof/>
              </w:rPr>
            </w:pPr>
            <w:r>
              <w:rPr>
                <w:noProof/>
              </w:rPr>
              <w:t>Kohtisuora etutörmäys</w:t>
            </w:r>
          </w:p>
        </w:tc>
        <w:tc>
          <w:tcPr>
            <w:tcW w:w="1595" w:type="dxa"/>
          </w:tcPr>
          <w:p>
            <w:pPr>
              <w:rPr>
                <w:noProof/>
              </w:rPr>
            </w:pPr>
            <w:r>
              <w:rPr>
                <w:noProof/>
              </w:rPr>
              <w:t>Muutossarja 01</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139</w:t>
            </w:r>
          </w:p>
        </w:tc>
        <w:tc>
          <w:tcPr>
            <w:tcW w:w="2588" w:type="dxa"/>
          </w:tcPr>
          <w:p>
            <w:pPr>
              <w:rPr>
                <w:noProof/>
              </w:rPr>
            </w:pPr>
            <w:r>
              <w:rPr>
                <w:noProof/>
              </w:rPr>
              <w:t>Hätäjarrutehostinjärjestelmät</w:t>
            </w:r>
          </w:p>
        </w:tc>
        <w:tc>
          <w:tcPr>
            <w:tcW w:w="1595" w:type="dxa"/>
          </w:tcPr>
          <w:p>
            <w:pPr>
              <w:rPr>
                <w:noProof/>
              </w:rPr>
            </w:pPr>
            <w:r>
              <w:rPr>
                <w:noProof/>
              </w:rPr>
              <w:t>Säännön alkuperäisversio</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140</w:t>
            </w:r>
          </w:p>
        </w:tc>
        <w:tc>
          <w:tcPr>
            <w:tcW w:w="2588" w:type="dxa"/>
          </w:tcPr>
          <w:p>
            <w:pPr>
              <w:rPr>
                <w:noProof/>
              </w:rPr>
            </w:pPr>
            <w:r>
              <w:rPr>
                <w:noProof/>
              </w:rPr>
              <w:t>Ajonvakautusjärjestelmä</w:t>
            </w:r>
          </w:p>
        </w:tc>
        <w:tc>
          <w:tcPr>
            <w:tcW w:w="1595" w:type="dxa"/>
          </w:tcPr>
          <w:p>
            <w:pPr>
              <w:rPr>
                <w:noProof/>
              </w:rPr>
            </w:pPr>
            <w:r>
              <w:rPr>
                <w:noProof/>
              </w:rPr>
              <w:t>Säännön alkuperäisversio</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141</w:t>
            </w:r>
          </w:p>
        </w:tc>
        <w:tc>
          <w:tcPr>
            <w:tcW w:w="2588" w:type="dxa"/>
          </w:tcPr>
          <w:p>
            <w:pPr>
              <w:rPr>
                <w:noProof/>
              </w:rPr>
            </w:pPr>
            <w:r>
              <w:rPr>
                <w:noProof/>
              </w:rPr>
              <w:t>Rengaspaineen seurantajärjestelmät</w:t>
            </w:r>
          </w:p>
        </w:tc>
        <w:tc>
          <w:tcPr>
            <w:tcW w:w="1595" w:type="dxa"/>
          </w:tcPr>
          <w:p>
            <w:pPr>
              <w:rPr>
                <w:noProof/>
              </w:rPr>
            </w:pPr>
            <w:r>
              <w:rPr>
                <w:noProof/>
              </w:rPr>
              <w:t>Säännön alkuperäisversio</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142</w:t>
            </w:r>
          </w:p>
        </w:tc>
        <w:tc>
          <w:tcPr>
            <w:tcW w:w="2588" w:type="dxa"/>
          </w:tcPr>
          <w:p>
            <w:pPr>
              <w:rPr>
                <w:noProof/>
              </w:rPr>
            </w:pPr>
            <w:r>
              <w:rPr>
                <w:noProof/>
              </w:rPr>
              <w:t>Renkaiden asennus</w:t>
            </w:r>
          </w:p>
        </w:tc>
        <w:tc>
          <w:tcPr>
            <w:tcW w:w="1595" w:type="dxa"/>
          </w:tcPr>
          <w:p>
            <w:pPr>
              <w:rPr>
                <w:noProof/>
              </w:rPr>
            </w:pPr>
            <w:r>
              <w:rPr>
                <w:noProof/>
              </w:rPr>
              <w:t>Säännön alkuperäisversio</w:t>
            </w:r>
          </w:p>
        </w:tc>
        <w:tc>
          <w:tcPr>
            <w:tcW w:w="2323" w:type="dxa"/>
          </w:tcPr>
          <w:p>
            <w:pPr>
              <w:jc w:val="center"/>
              <w:rPr>
                <w:bCs/>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pPr>
              <w:jc w:val="center"/>
              <w:rPr>
                <w:b/>
                <w:bCs/>
                <w:noProof/>
              </w:rPr>
            </w:pPr>
            <w:r>
              <w:rPr>
                <w:b/>
                <w:noProof/>
              </w:rPr>
              <w:t>[145]</w:t>
            </w:r>
          </w:p>
        </w:tc>
        <w:tc>
          <w:tcPr>
            <w:tcW w:w="2588" w:type="dxa"/>
          </w:tcPr>
          <w:p>
            <w:pPr>
              <w:rPr>
                <w:noProof/>
              </w:rPr>
            </w:pPr>
            <w:r>
              <w:rPr>
                <w:noProof/>
              </w:rPr>
              <w:t>Lasten turvajärjestelmien kiinnityspisteet</w:t>
            </w:r>
          </w:p>
        </w:tc>
        <w:tc>
          <w:tcPr>
            <w:tcW w:w="1595" w:type="dxa"/>
          </w:tcPr>
          <w:p>
            <w:pPr>
              <w:rPr>
                <w:noProof/>
              </w:rPr>
            </w:pPr>
            <w:r>
              <w:rPr>
                <w:noProof/>
              </w:rPr>
              <w:t>Säännön alkuperäisversio</w:t>
            </w:r>
          </w:p>
        </w:tc>
        <w:tc>
          <w:tcPr>
            <w:tcW w:w="2323" w:type="dxa"/>
          </w:tcPr>
          <w:p>
            <w:pPr>
              <w:jc w:val="center"/>
              <w:rPr>
                <w:noProof/>
              </w:rPr>
            </w:pPr>
            <w:r>
              <w:rPr>
                <w:i/>
                <w:noProof/>
              </w:rPr>
              <w:t>[Julkaisutoimisto: tarkoitus kääntää v. 2018 – päivitetään viittaukset kun saatavilla]</w:t>
            </w:r>
          </w:p>
        </w:tc>
        <w:tc>
          <w:tcPr>
            <w:tcW w:w="1435" w:type="dxa"/>
          </w:tcPr>
          <w:p>
            <w:pPr>
              <w:rPr>
                <w:bCs/>
                <w:noProof/>
              </w:rPr>
            </w:pPr>
            <w:r>
              <w:rPr>
                <w:noProof/>
              </w:rPr>
              <w:t>M</w:t>
            </w:r>
            <w:r>
              <w:rPr>
                <w:noProof/>
                <w:vertAlign w:val="subscript"/>
              </w:rPr>
              <w:t>1</w:t>
            </w:r>
          </w:p>
        </w:tc>
      </w:tr>
    </w:tbl>
    <w:p>
      <w:pPr>
        <w:jc w:val="center"/>
        <w:rPr>
          <w:noProof/>
        </w:rPr>
      </w:pPr>
      <w:r>
        <w:rPr>
          <w:noProof/>
        </w:rPr>
        <w:t>_______________________</w:t>
      </w:r>
    </w:p>
    <w:p>
      <w:pPr>
        <w:jc w:val="center"/>
        <w:rPr>
          <w:i/>
          <w:noProof/>
        </w:rPr>
      </w:pPr>
      <w:r>
        <w:rPr>
          <w:i/>
          <w:noProof/>
        </w:rPr>
        <w:t>Taulukkoon liittyvät huomautukset:</w:t>
      </w:r>
    </w:p>
    <w:tbl>
      <w:tblPr>
        <w:tblW w:w="0" w:type="auto"/>
        <w:tblLook w:val="01E0" w:firstRow="1" w:lastRow="1" w:firstColumn="1" w:lastColumn="1" w:noHBand="0" w:noVBand="0"/>
      </w:tblPr>
      <w:tblGrid>
        <w:gridCol w:w="588"/>
        <w:gridCol w:w="8625"/>
      </w:tblGrid>
      <w:tr>
        <w:tc>
          <w:tcPr>
            <w:tcW w:w="9213" w:type="dxa"/>
            <w:gridSpan w:val="2"/>
            <w:shd w:val="clear" w:color="auto" w:fill="auto"/>
          </w:tcPr>
          <w:p>
            <w:pPr>
              <w:rPr>
                <w:noProof/>
              </w:rPr>
            </w:pPr>
            <w:r>
              <w:rPr>
                <w:noProof/>
              </w:rPr>
              <w:t xml:space="preserve">Taulukossa annettu muutossarja ilmaisee </w:t>
            </w:r>
            <w:r>
              <w:rPr>
                <w:i/>
                <w:noProof/>
              </w:rPr>
              <w:t>Euroopan unionin virallisessa lehdessä</w:t>
            </w:r>
            <w:r>
              <w:rPr>
                <w:noProof/>
              </w:rPr>
              <w:t xml:space="preserve"> julkaistun version, eikä se rajoita niiden muutossarjojen soveltamista, joita on noudatettava niiden sisältämien siirtymämääräysten perusteella. </w:t>
            </w:r>
          </w:p>
          <w:p>
            <w:pPr>
              <w:rPr>
                <w:noProof/>
              </w:rPr>
            </w:pPr>
            <w:r>
              <w:rPr>
                <w:noProof/>
              </w:rPr>
              <w:t>Taulukossa annetun muutossarjan jälkeen hyväksytyn muutossarjan noudattaminen on hyväksyttävä vaihtoehtoisesti.</w:t>
            </w:r>
          </w:p>
          <w:p>
            <w:pPr>
              <w:rPr>
                <w:noProof/>
              </w:rPr>
            </w:pPr>
            <w:r>
              <w:rPr>
                <w:noProof/>
              </w:rPr>
              <w:t>Taulukossa esitettyjen E-sääntöjen muutossarjoissa vahvistettujen päivämäärien, jotka koskevat vuoden 1958 tarkistetun sopimuksen</w:t>
            </w:r>
            <w:r>
              <w:rPr>
                <w:rStyle w:val="FootnoteReference"/>
                <w:noProof/>
              </w:rPr>
              <w:footnoteReference w:id="1"/>
            </w:r>
            <w:r>
              <w:rPr>
                <w:noProof/>
              </w:rPr>
              <w:t xml:space="preserve"> sopimuspuolien velvollisuuksia, jotka liittyvät ensirekisteröintiin, käyttöönottoon, saattamiseen saataville markkinoilla, myyntiin, tyyppihyväksyntien tunnustamiseen ja muihin vastaaviin määräyksiin, soveltaminen on pakollista asetuksen (EU) 2018/... 48 ja 50 artiklan soveltamiseksi, ellei tämän asetuksen 14 artiklassa vahvisteta vaihtoehtoisia päivämääriä, jolloin on sovellettava niitä.</w:t>
            </w:r>
          </w:p>
          <w:p>
            <w:pPr>
              <w:rPr>
                <w:noProof/>
                <w:sz w:val="28"/>
              </w:rPr>
            </w:pPr>
            <w:r>
              <w:rPr>
                <w:noProof/>
              </w:rPr>
              <w:t>Taulukossa lueteltujen E-sääntöjen siirtymämääräyksissä määrätään tietyissä tapauksissa, että tiettyä kyseisen E-säännön muutossarjaa soveltavilla vuoden 1958 tarkistetun sopimuksen sopimuspuolilla ei ole velvollisuutta hyväksyä kansallista tai alueellista tyyppihyväksyntää varten tyyppiä, joka on hyväksytty aiemman muutossarjan mukaisesti, tai että ne voivat kieltäytyä hyväksymästä sellaisen tyypin, tai niissä on ilmaisu, jonka tarkoitus ja merkitys on vastaava. Tällaisten määräysten tai ilmaisujen on katsottava olevan kansallisia viranomaisia sitovia määräyksiä, joiden mukaan ne eivät enää saa pitää vaatimustenmukaisuustodistusta pätevänä asetuksen (EU) 2018/… 48 artiklaa sovellettaessa, ellei tämän asetuksen liitteessä II vahvisteta vaihtoehtoisia päivämääriä, jolloin on sovellettava niitä.</w:t>
            </w:r>
          </w:p>
        </w:tc>
      </w:tr>
      <w:tr>
        <w:tc>
          <w:tcPr>
            <w:tcW w:w="588" w:type="dxa"/>
            <w:shd w:val="clear" w:color="auto" w:fill="auto"/>
          </w:tcPr>
          <w:p>
            <w:pPr>
              <w:rPr>
                <w:noProof/>
              </w:rPr>
            </w:pPr>
            <w:r>
              <w:rPr>
                <w:noProof/>
              </w:rPr>
              <w:t>(</w:t>
            </w:r>
            <w:r>
              <w:rPr>
                <w:noProof/>
                <w:vertAlign w:val="superscript"/>
              </w:rPr>
              <w:t>a</w:t>
            </w:r>
            <w:r>
              <w:rPr>
                <w:noProof/>
              </w:rPr>
              <w:t>)</w:t>
            </w:r>
          </w:p>
        </w:tc>
        <w:tc>
          <w:tcPr>
            <w:tcW w:w="8625" w:type="dxa"/>
            <w:shd w:val="clear" w:color="auto" w:fill="auto"/>
          </w:tcPr>
          <w:p>
            <w:pPr>
              <w:rPr>
                <w:b/>
                <w:noProof/>
              </w:rPr>
            </w:pPr>
            <w:r>
              <w:rPr>
                <w:noProof/>
              </w:rPr>
              <w:t>E-sääntöjä nro 1, 8 ja 20 ei sovelleta ajoneuvojen EU-tyyppihyväksyntään.</w:t>
            </w:r>
          </w:p>
        </w:tc>
      </w:tr>
      <w:tr>
        <w:tc>
          <w:tcPr>
            <w:tcW w:w="588" w:type="dxa"/>
            <w:shd w:val="clear" w:color="auto" w:fill="auto"/>
          </w:tcPr>
          <w:p>
            <w:pPr>
              <w:rPr>
                <w:noProof/>
                <w:vertAlign w:val="superscript"/>
              </w:rPr>
            </w:pPr>
            <w:r>
              <w:rPr>
                <w:noProof/>
              </w:rPr>
              <w:t>(</w:t>
            </w:r>
            <w:r>
              <w:rPr>
                <w:rStyle w:val="FootnoteReference"/>
                <w:noProof/>
              </w:rPr>
              <w:t>b</w:t>
            </w:r>
            <w:r>
              <w:rPr>
                <w:noProof/>
              </w:rPr>
              <w:t>)</w:t>
            </w:r>
          </w:p>
        </w:tc>
        <w:tc>
          <w:tcPr>
            <w:tcW w:w="8625" w:type="dxa"/>
            <w:shd w:val="clear" w:color="auto" w:fill="auto"/>
          </w:tcPr>
          <w:p>
            <w:pPr>
              <w:rPr>
                <w:noProof/>
              </w:rPr>
            </w:pPr>
            <w:r>
              <w:rPr>
                <w:noProof/>
              </w:rPr>
              <w:t>Elektronisen ajonvakautusjärjestelmän asentaminen on E-sääntöjen mukaisesti pakollista. Se on pakollista myös luokan N</w:t>
            </w:r>
            <w:r>
              <w:rPr>
                <w:noProof/>
                <w:vertAlign w:val="subscript"/>
              </w:rPr>
              <w:t>1</w:t>
            </w:r>
            <w:r>
              <w:rPr>
                <w:noProof/>
              </w:rPr>
              <w:t xml:space="preserve"> ajoneuvojen osalta.</w:t>
            </w:r>
          </w:p>
        </w:tc>
      </w:tr>
      <w:tr>
        <w:tc>
          <w:tcPr>
            <w:tcW w:w="588" w:type="dxa"/>
            <w:shd w:val="clear" w:color="auto" w:fill="auto"/>
          </w:tcPr>
          <w:p>
            <w:pPr>
              <w:rPr>
                <w:noProof/>
              </w:rPr>
            </w:pPr>
            <w:r>
              <w:rPr>
                <w:noProof/>
              </w:rPr>
              <w:t>(</w:t>
            </w:r>
            <w:r>
              <w:rPr>
                <w:rStyle w:val="FootnoteReference"/>
                <w:noProof/>
              </w:rPr>
              <w:t>c</w:t>
            </w:r>
            <w:r>
              <w:rPr>
                <w:noProof/>
              </w:rPr>
              <w:t>)</w:t>
            </w:r>
          </w:p>
        </w:tc>
        <w:tc>
          <w:tcPr>
            <w:tcW w:w="8625" w:type="dxa"/>
            <w:shd w:val="clear" w:color="auto" w:fill="auto"/>
          </w:tcPr>
          <w:p>
            <w:pPr>
              <w:rPr>
                <w:noProof/>
              </w:rPr>
            </w:pPr>
            <w:r>
              <w:rPr>
                <w:noProof/>
              </w:rPr>
              <w:t>Jos ajoneuvon valmistaja ilmoittaa, että ajoneuvo soveltuu kuorman vetoon (asetuksen (EU) 2018/… 24 artiklan 1 kohdassa tarkoitetun ilmoituslomakkeen kohta 2.11.5), ja jos jokin soveltuvan mekaanisen kytkentälaitteen osa – riippumatta siitä, onko se asennettu kyseisentyyppiseen moottoriajoneuvoon – voisi (osittainkaan) peittää mitään valaisinkomponenttia ja/tai takarekisterikilven asentamiselle ja kiinnittämiselle varattua tilaa, sovelletaan seuraavaa:</w:t>
            </w:r>
          </w:p>
          <w:p>
            <w:pPr>
              <w:pStyle w:val="ListParagraph"/>
              <w:numPr>
                <w:ilvl w:val="0"/>
                <w:numId w:val="6"/>
              </w:numPr>
              <w:rPr>
                <w:noProof/>
              </w:rPr>
            </w:pPr>
            <w:r>
              <w:rPr>
                <w:noProof/>
              </w:rPr>
              <w:t>moottoriajoneuvon käyttöoppaassa (esim. ajoneuvon käyttäjän käsikirjassa) on selvästi täsmennettävä, että sellaisen mekaanisen kytkentälaitteen asentaminen, jota ei voida helposti irrottaa tai siirtää, ei ole sallittua</w:t>
            </w:r>
          </w:p>
          <w:p>
            <w:pPr>
              <w:pStyle w:val="ListParagraph"/>
              <w:numPr>
                <w:ilvl w:val="0"/>
                <w:numId w:val="6"/>
              </w:numPr>
              <w:rPr>
                <w:noProof/>
              </w:rPr>
            </w:pPr>
            <w:r>
              <w:rPr>
                <w:noProof/>
              </w:rPr>
              <w:t>lisäksi käyttöoppaassa on selvästi täsmennettävä, että jos mekaaninen kytkentälaite asennetaan, se on aina irrotettava tai siirrettävä, kun se ei ole käytössä, ja</w:t>
            </w:r>
          </w:p>
          <w:p>
            <w:pPr>
              <w:pStyle w:val="ListParagraph"/>
              <w:numPr>
                <w:ilvl w:val="0"/>
                <w:numId w:val="6"/>
              </w:numPr>
              <w:rPr>
                <w:noProof/>
              </w:rPr>
            </w:pPr>
            <w:r>
              <w:rPr>
                <w:noProof/>
              </w:rPr>
              <w:t>kun kyseessä on E-säännön nro 55 mukainen ajoneuvojärjestelmän tyyppihyväksyntä, on varmistettava, että irrottamista, siirtämistä ja/tai vaihtoehtoista sijaintia koskevia määräyksiä noudatetaan täysimääräisesti myös valaisimien asennuksen ja takarekisterikilven asentamiselle ja kiinnittämiselle varatun tilan osalta.</w:t>
            </w:r>
          </w:p>
        </w:tc>
      </w:tr>
      <w:tr>
        <w:tc>
          <w:tcPr>
            <w:tcW w:w="588" w:type="dxa"/>
            <w:shd w:val="clear" w:color="auto" w:fill="auto"/>
          </w:tcPr>
          <w:p>
            <w:pPr>
              <w:rPr>
                <w:noProof/>
              </w:rPr>
            </w:pPr>
            <w:r>
              <w:rPr>
                <w:noProof/>
              </w:rPr>
              <w:t>(</w:t>
            </w:r>
            <w:r>
              <w:rPr>
                <w:noProof/>
                <w:vertAlign w:val="superscript"/>
              </w:rPr>
              <w:t>d</w:t>
            </w:r>
            <w:r>
              <w:rPr>
                <w:noProof/>
              </w:rPr>
              <w:t>)</w:t>
            </w:r>
          </w:p>
        </w:tc>
        <w:tc>
          <w:tcPr>
            <w:tcW w:w="8625" w:type="dxa"/>
            <w:shd w:val="clear" w:color="auto" w:fill="auto"/>
          </w:tcPr>
          <w:p>
            <w:pPr>
              <w:rPr>
                <w:noProof/>
              </w:rPr>
            </w:pPr>
            <w:r>
              <w:rPr>
                <w:noProof/>
              </w:rPr>
              <w:t>Koskee ainoastaan nopeudenrajoittimia ja nopeudenrajoittimen pakollista asentamista 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ajoneuvoihin.</w:t>
            </w:r>
          </w:p>
        </w:tc>
      </w:tr>
      <w:tr>
        <w:tc>
          <w:tcPr>
            <w:tcW w:w="588" w:type="dxa"/>
            <w:shd w:val="clear" w:color="auto" w:fill="auto"/>
          </w:tcPr>
          <w:p>
            <w:pPr>
              <w:rPr>
                <w:bCs/>
                <w:noProof/>
              </w:rPr>
            </w:pPr>
            <w:r>
              <w:rPr>
                <w:noProof/>
              </w:rPr>
              <w:t>(</w:t>
            </w:r>
            <w:r>
              <w:rPr>
                <w:noProof/>
                <w:vertAlign w:val="superscript"/>
              </w:rPr>
              <w:t>e</w:t>
            </w:r>
            <w:r>
              <w:rPr>
                <w:noProof/>
              </w:rPr>
              <w:t>)</w:t>
            </w:r>
          </w:p>
        </w:tc>
        <w:tc>
          <w:tcPr>
            <w:tcW w:w="8625" w:type="dxa"/>
            <w:shd w:val="clear" w:color="auto" w:fill="auto"/>
          </w:tcPr>
          <w:p>
            <w:pPr>
              <w:rPr>
                <w:noProof/>
              </w:rPr>
            </w:pPr>
            <w:r>
              <w:rPr>
                <w:noProof/>
              </w:rPr>
              <w:t>Ajoneuvon luvattoman käytön estävät laitteet on asennettava luokkien M</w:t>
            </w:r>
            <w:r>
              <w:rPr>
                <w:noProof/>
                <w:vertAlign w:val="subscript"/>
              </w:rPr>
              <w:t>1</w:t>
            </w:r>
            <w:r>
              <w:rPr>
                <w:noProof/>
              </w:rPr>
              <w:t xml:space="preserve"> ja N</w:t>
            </w:r>
            <w:r>
              <w:rPr>
                <w:noProof/>
                <w:vertAlign w:val="subscript"/>
              </w:rPr>
              <w:t>1</w:t>
            </w:r>
            <w:r>
              <w:rPr>
                <w:noProof/>
              </w:rPr>
              <w:t xml:space="preserve"> ajoneuvoihin ja ajonestolaitteet luokan M</w:t>
            </w:r>
            <w:r>
              <w:rPr>
                <w:noProof/>
                <w:vertAlign w:val="subscript"/>
              </w:rPr>
              <w:t>1</w:t>
            </w:r>
            <w:r>
              <w:rPr>
                <w:noProof/>
              </w:rPr>
              <w:t xml:space="preserve"> ajoneuvoihin.</w:t>
            </w:r>
          </w:p>
        </w:tc>
      </w:tr>
      <w:tr>
        <w:tc>
          <w:tcPr>
            <w:tcW w:w="588" w:type="dxa"/>
            <w:shd w:val="clear" w:color="auto" w:fill="auto"/>
          </w:tcPr>
          <w:p>
            <w:pPr>
              <w:rPr>
                <w:bCs/>
                <w:noProof/>
              </w:rPr>
            </w:pPr>
            <w:r>
              <w:rPr>
                <w:noProof/>
              </w:rPr>
              <w:t>(</w:t>
            </w:r>
            <w:r>
              <w:rPr>
                <w:noProof/>
                <w:vertAlign w:val="superscript"/>
              </w:rPr>
              <w:t>f</w:t>
            </w:r>
            <w:r>
              <w:rPr>
                <w:noProof/>
              </w:rPr>
              <w:t>)</w:t>
            </w:r>
          </w:p>
        </w:tc>
        <w:tc>
          <w:tcPr>
            <w:tcW w:w="8625" w:type="dxa"/>
            <w:shd w:val="clear" w:color="auto" w:fill="auto"/>
          </w:tcPr>
          <w:p>
            <w:pPr>
              <w:rPr>
                <w:noProof/>
              </w:rPr>
            </w:pPr>
            <w:r>
              <w:rPr>
                <w:noProof/>
              </w:rPr>
              <w:t xml:space="preserve">Ks. liitteessä II olevaan taulukkoon liittyvä huomautus </w:t>
            </w:r>
            <w:r>
              <w:rPr>
                <w:noProof/>
                <w:vertAlign w:val="superscript"/>
              </w:rPr>
              <w:t>4</w:t>
            </w:r>
            <w:r>
              <w:rPr>
                <w:noProof/>
              </w:rPr>
              <w:t>.</w:t>
            </w:r>
          </w:p>
        </w:tc>
      </w:tr>
    </w:tbl>
    <w:p>
      <w:pPr>
        <w:rPr>
          <w:noProof/>
        </w:rPr>
      </w:pPr>
    </w:p>
    <w:p>
      <w:pPr>
        <w:spacing w:before="0" w:after="200" w:line="276" w:lineRule="auto"/>
        <w:jc w:val="left"/>
        <w:rPr>
          <w:noProof/>
        </w:rPr>
        <w:sectPr>
          <w:footerReference w:type="default" r:id="rId19"/>
          <w:footerReference w:type="first" r:id="rId20"/>
          <w:pgSz w:w="11907" w:h="16839"/>
          <w:pgMar w:top="1134" w:right="1417" w:bottom="567" w:left="1417" w:header="709" w:footer="709" w:gutter="0"/>
          <w:cols w:space="720"/>
          <w:docGrid w:linePitch="360"/>
        </w:sectPr>
      </w:pPr>
    </w:p>
    <w:p>
      <w:pPr>
        <w:pStyle w:val="Annexetitre"/>
        <w:rPr>
          <w:rStyle w:val="Marker"/>
          <w:noProof/>
        </w:rPr>
      </w:pPr>
      <w:r>
        <w:rPr>
          <w:noProof/>
        </w:rPr>
        <w:t>LIITE II</w:t>
      </w:r>
    </w:p>
    <w:p>
      <w:pPr>
        <w:rPr>
          <w:noProof/>
        </w:rPr>
      </w:pPr>
    </w:p>
    <w:p>
      <w:pPr>
        <w:jc w:val="center"/>
        <w:rPr>
          <w:b/>
          <w:noProof/>
        </w:rPr>
      </w:pPr>
      <w:r>
        <w:rPr>
          <w:b/>
          <w:noProof/>
        </w:rPr>
        <w:t>Luettelo 4 artiklan 5 kohdassa tarkoitetuista vaatimuksista ja 14 artiklassa tarkoitetuista päivämääristä</w:t>
      </w:r>
    </w:p>
    <w:p>
      <w:pPr>
        <w:jc w:val="left"/>
        <w:rPr>
          <w:b/>
          <w:noProof/>
        </w:rPr>
      </w:pP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trPr>
          <w:trHeight w:val="805"/>
          <w:tblHeader/>
        </w:trPr>
        <w:tc>
          <w:tcPr>
            <w:tcW w:w="250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Aihe</w:t>
            </w:r>
          </w:p>
        </w:tc>
        <w:tc>
          <w:tcPr>
            <w:tcW w:w="221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E-säännöt</w:t>
            </w:r>
          </w:p>
        </w:tc>
        <w:tc>
          <w:tcPr>
            <w:tcW w:w="33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Tekniset lisävaatimukset</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4</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Erillinen tekninen yksikkö</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Komponentti</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r>
              <w:rPr>
                <w:rFonts w:eastAsia="Times New Roman"/>
                <w:b/>
                <w:noProof/>
                <w:color w:val="000000"/>
                <w:sz w:val="20"/>
                <w:szCs w:val="20"/>
              </w:rPr>
              <w:br/>
            </w:r>
            <w:r>
              <w:rPr>
                <w:b/>
                <w:noProof/>
                <w:color w:val="000000"/>
                <w:sz w:val="20"/>
              </w:rPr>
              <w:t>TURVAJÄRJESTELMÄT, TÖRMÄYSTESTIT, POLTTOAINEJÄRJESTELMÄN EHEYS JA KORKEAJÄNNITTEEN SÄHKÖTURVALLISUUS</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Sisustus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Istuimet ja pääntuet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Linja-autojen istuimet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80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Turvavöiden kiinnityspisteet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Turvavyöt ja turvajärjestelmät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Tilanjakojärjestelmät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Lasten turvajärjestelmien kiinnityspisteet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Lasten turvajärjestelmät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44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Parannetut lasten turvajärjestelmät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Etualleajosuojaus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93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Taka-alleajosuojaus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58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Sivusuojaus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73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Polttoainesäiliön 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Nestekaasun 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67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Puristetun ja nesteytetyn maakaasun 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5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Vetyajoneuvojen 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Vetyjärjestelmien materiaalivaatimukset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Liite 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Käytönaikainen sähköturvallisuus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100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81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Limittäinen etutörmäys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94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luokkien M</w:t>
            </w:r>
            <w:r>
              <w:rPr>
                <w:noProof/>
                <w:color w:val="000000"/>
                <w:sz w:val="20"/>
                <w:vertAlign w:val="subscript"/>
              </w:rPr>
              <w:t>1</w:t>
            </w:r>
            <w:r>
              <w:rPr>
                <w:noProof/>
                <w:color w:val="000000"/>
                <w:sz w:val="20"/>
              </w:rPr>
              <w:t xml:space="preserve"> ja N</w:t>
            </w:r>
            <w:r>
              <w:rPr>
                <w:noProof/>
                <w:color w:val="000000"/>
                <w:sz w:val="20"/>
                <w:vertAlign w:val="subscript"/>
              </w:rPr>
              <w:t>1</w:t>
            </w:r>
            <w:r>
              <w:rPr>
                <w:noProof/>
                <w:color w:val="000000"/>
                <w:sz w:val="20"/>
              </w:rPr>
              <w:t xml:space="preserve"> ajoneuvoihin, joiden enimmäismassa </w:t>
            </w:r>
            <w:r>
              <w:rPr>
                <w:rFonts w:ascii="Calibri" w:hAnsi="Calibri"/>
                <w:noProof/>
                <w:color w:val="000000"/>
                <w:sz w:val="20"/>
              </w:rPr>
              <w:t>≤</w:t>
            </w:r>
            <w:r>
              <w:rPr>
                <w:noProof/>
                <w:color w:val="000000"/>
                <w:sz w:val="20"/>
              </w:rPr>
              <w:t xml:space="preserve"> 3 500 kg</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Kohtisuora etutörmäys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Hybrid III -testinuken käyttö on sallittu, kunnes testinukke ”THOR” (Test device for Human Occupant Restraint) on E-säännön mukaisesti käytettävissä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Ohjauslaitteen käyttäytyminen törmäyksessä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Varaosana toimitettava turvatyyny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Ohjaamoon kohdistuva 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Sivutörmäys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95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kaikkiin luokkien M</w:t>
            </w:r>
            <w:r>
              <w:rPr>
                <w:noProof/>
                <w:color w:val="000000"/>
                <w:sz w:val="20"/>
                <w:vertAlign w:val="subscript"/>
              </w:rPr>
              <w:t>1</w:t>
            </w:r>
            <w:r>
              <w:rPr>
                <w:noProof/>
                <w:color w:val="000000"/>
                <w:sz w:val="20"/>
              </w:rPr>
              <w:t xml:space="preserve"> ja N</w:t>
            </w:r>
            <w:r>
              <w:rPr>
                <w:noProof/>
                <w:color w:val="000000"/>
                <w:sz w:val="20"/>
                <w:vertAlign w:val="subscript"/>
              </w:rPr>
              <w:t>1</w:t>
            </w:r>
            <w:r>
              <w:rPr>
                <w:noProof/>
                <w:color w:val="000000"/>
                <w:sz w:val="20"/>
              </w:rPr>
              <w:t xml:space="preserve"> ajoneuvoihin, mukaan lukien ajoneuvot, joiden matalimman istuimen R-piste on &gt; 700 mm maanpinnan yläpuolella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Pylvässivutörmäys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32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Takatörmäys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luokkien M</w:t>
            </w:r>
            <w:r>
              <w:rPr>
                <w:noProof/>
                <w:color w:val="000000"/>
                <w:sz w:val="20"/>
                <w:vertAlign w:val="subscript"/>
              </w:rPr>
              <w:t>1</w:t>
            </w:r>
            <w:r>
              <w:rPr>
                <w:noProof/>
                <w:color w:val="000000"/>
                <w:sz w:val="20"/>
              </w:rPr>
              <w:t xml:space="preserve"> ja N</w:t>
            </w:r>
            <w:r>
              <w:rPr>
                <w:noProof/>
                <w:color w:val="000000"/>
                <w:sz w:val="20"/>
                <w:vertAlign w:val="subscript"/>
              </w:rPr>
              <w:t>1</w:t>
            </w:r>
            <w:r>
              <w:rPr>
                <w:noProof/>
                <w:color w:val="000000"/>
                <w:sz w:val="20"/>
              </w:rPr>
              <w:t xml:space="preserve"> ajoneuvoihin, joiden enimmäismassa ≤ 3 500 kg. Kolarinjälkeinen sähköturvallisuus on varmistettava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r>
              <w:rPr>
                <w:rFonts w:eastAsia="Times New Roman"/>
                <w:b/>
                <w:noProof/>
                <w:color w:val="000000"/>
                <w:sz w:val="20"/>
                <w:szCs w:val="20"/>
              </w:rPr>
              <w:br/>
            </w:r>
            <w:r>
              <w:rPr>
                <w:b/>
                <w:noProof/>
                <w:color w:val="000000"/>
                <w:sz w:val="20"/>
              </w:rPr>
              <w:t>JALANKULKIJAT, PYÖRÄILIJÄT, NÄKEMÄ JA NÄKYVYYS</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Jalankulkijoiden säärien ja pään suojaus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75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Laajennettu jalankulkijan ja pyöräilijän päähän kohdistuvilta iskuilta suojaava alue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Lapsen ja aikuisen päänmuotoista testialuetta rajoittaa aikuisen ulottumamitta (2 500 mm) tai tuulilasin takavertailulinja sen mukaan, kumpi on edempänä.  Päänmuotoisen kappaleen kosketusta A-pylväisiin ja tuulilasin yläosaan ja suojukseen ei lueta mukaan, mutta sitä on seurattava.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Etusuojajärjestelmä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Liite IV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Kehittyneet hätäjarrutusjärjestelmät jalankulkijoiden ja pyöräilijöiden varalta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Törmäysvaroittimet jalankulkijoiden ja pyöräilijöiden varalta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Sokeita pisteitä valvova 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Peruutusturvallisuus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5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Näkyvyys eteen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125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luokkien M</w:t>
            </w:r>
            <w:r>
              <w:rPr>
                <w:noProof/>
                <w:color w:val="000000"/>
                <w:sz w:val="20"/>
                <w:vertAlign w:val="subscript"/>
              </w:rPr>
              <w:t>1</w:t>
            </w:r>
            <w:r>
              <w:rPr>
                <w:noProof/>
                <w:color w:val="000000"/>
                <w:sz w:val="20"/>
              </w:rPr>
              <w:t xml:space="preserve"> ja N</w:t>
            </w:r>
            <w:r>
              <w:rPr>
                <w:noProof/>
                <w:color w:val="000000"/>
                <w:sz w:val="20"/>
                <w:vertAlign w:val="subscript"/>
              </w:rPr>
              <w:t>1</w:t>
            </w:r>
            <w:r>
              <w:rPr>
                <w:noProof/>
                <w:color w:val="000000"/>
                <w:sz w:val="20"/>
              </w:rPr>
              <w:t xml:space="preserve"> ajoneuvoihin</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Suora näkyvyys raskaista hyötyajoneuvoista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Turvalasit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43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Huurteen-/huurunpoistolaitteet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Pesimet/pyyhkimet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Epäsuoran näkemän tarjoavat 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46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p>
          <w:p>
            <w:pPr>
              <w:spacing w:before="0" w:after="0"/>
              <w:jc w:val="center"/>
              <w:rPr>
                <w:rFonts w:eastAsia="Times New Roman"/>
                <w:b/>
                <w:noProof/>
                <w:color w:val="000000"/>
                <w:sz w:val="20"/>
                <w:szCs w:val="20"/>
              </w:rPr>
            </w:pPr>
            <w:r>
              <w:rPr>
                <w:b/>
                <w:noProof/>
                <w:color w:val="000000"/>
                <w:sz w:val="20"/>
              </w:rPr>
              <w:t>AJONEUVON ALUSTA, JARRUT, RENKAAT JA OHJAUS</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Ohjauslaitteet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79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Kaistavahti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Kaistanpitojärjestelmä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Jarrujärjestelmä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13</w:t>
            </w:r>
          </w:p>
          <w:p>
            <w:pPr>
              <w:spacing w:before="0" w:after="0"/>
              <w:jc w:val="center"/>
              <w:rPr>
                <w:rFonts w:eastAsia="Times New Roman"/>
                <w:noProof/>
                <w:color w:val="000000"/>
                <w:sz w:val="20"/>
                <w:szCs w:val="20"/>
              </w:rPr>
            </w:pPr>
            <w:r>
              <w:rPr>
                <w:noProof/>
                <w:color w:val="000000"/>
                <w:sz w:val="20"/>
              </w:rPr>
              <w:t>E-sääntö nro 13-H</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Jarrujärjestelmän varaosat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90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49"/>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Hätäjarrutehostin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Ajonvakautusjärjestelmä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w:t>
            </w:r>
          </w:p>
          <w:p>
            <w:pPr>
              <w:spacing w:before="0" w:after="0"/>
              <w:jc w:val="center"/>
              <w:rPr>
                <w:rFonts w:eastAsia="Times New Roman"/>
                <w:noProof/>
                <w:color w:val="000000"/>
                <w:sz w:val="20"/>
                <w:szCs w:val="20"/>
              </w:rPr>
            </w:pPr>
            <w:r>
              <w:rPr>
                <w:noProof/>
                <w:color w:val="000000"/>
                <w:sz w:val="20"/>
              </w:rPr>
              <w:t>E-sääntö nro 140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Raskaiden hyötyajoneuvojen kehittyneet hätäjarrutusjärjestelmät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131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97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Kevyiden hyötyajoneuvojen kehittyneet hätäjarrutusjärjestelmät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Renkaiden turvallisuus ja ympäristöominaisuudet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30</w:t>
            </w:r>
          </w:p>
          <w:p>
            <w:pPr>
              <w:spacing w:before="0" w:after="0"/>
              <w:jc w:val="center"/>
              <w:rPr>
                <w:rFonts w:eastAsia="Times New Roman"/>
                <w:noProof/>
                <w:color w:val="000000"/>
                <w:sz w:val="20"/>
                <w:szCs w:val="20"/>
              </w:rPr>
            </w:pPr>
            <w:r>
              <w:rPr>
                <w:noProof/>
                <w:color w:val="000000"/>
                <w:sz w:val="20"/>
              </w:rPr>
              <w:t>E-sääntö nro 54</w:t>
            </w:r>
          </w:p>
          <w:p>
            <w:pPr>
              <w:spacing w:before="0" w:after="0"/>
              <w:jc w:val="center"/>
              <w:rPr>
                <w:rFonts w:eastAsia="Times New Roman"/>
                <w:noProof/>
                <w:color w:val="000000"/>
                <w:sz w:val="20"/>
                <w:szCs w:val="20"/>
              </w:rPr>
            </w:pPr>
            <w:r>
              <w:rPr>
                <w:noProof/>
                <w:color w:val="000000"/>
                <w:sz w:val="20"/>
              </w:rPr>
              <w:t>E-sääntö nro 117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Varapyörät ja run flat -järjestelmät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64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Uudelleen pinnoitetut ulkorenkaat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108</w:t>
            </w:r>
            <w:r>
              <w:rPr>
                <w:rFonts w:eastAsia="Times New Roman"/>
                <w:noProof/>
                <w:color w:val="000000"/>
                <w:sz w:val="20"/>
                <w:szCs w:val="20"/>
              </w:rPr>
              <w:br/>
            </w:r>
            <w:r>
              <w:rPr>
                <w:noProof/>
                <w:color w:val="000000"/>
                <w:sz w:val="20"/>
              </w:rPr>
              <w:t>E-sääntö nro 109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Kevyiden hyötyajoneuvojen rengaspaineen seuranta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141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luokkien M</w:t>
            </w:r>
            <w:r>
              <w:rPr>
                <w:noProof/>
                <w:color w:val="000000"/>
                <w:sz w:val="20"/>
                <w:vertAlign w:val="subscript"/>
              </w:rPr>
              <w:t>1</w:t>
            </w:r>
            <w:r>
              <w:rPr>
                <w:noProof/>
                <w:color w:val="000000"/>
                <w:sz w:val="20"/>
              </w:rPr>
              <w:t xml:space="preserve"> ja N</w:t>
            </w:r>
            <w:r>
              <w:rPr>
                <w:noProof/>
                <w:color w:val="000000"/>
                <w:sz w:val="20"/>
                <w:vertAlign w:val="subscript"/>
              </w:rPr>
              <w:t>1</w:t>
            </w:r>
            <w:r>
              <w:rPr>
                <w:noProof/>
                <w:color w:val="000000"/>
                <w:sz w:val="20"/>
              </w:rPr>
              <w:t xml:space="preserve"> ajoneuvoihin</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Raskaiden hyötyajoneuvojen rengaspaineen seuranta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Renkaiden asennus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142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Sovelletaan kaikkiin ajoneuvoluokkiin</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Varaosapyörät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124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p>
          <w:p>
            <w:pPr>
              <w:spacing w:before="0" w:after="0"/>
              <w:jc w:val="center"/>
              <w:rPr>
                <w:rFonts w:eastAsia="Times New Roman"/>
                <w:b/>
                <w:noProof/>
                <w:color w:val="000000"/>
                <w:sz w:val="20"/>
                <w:szCs w:val="20"/>
              </w:rPr>
            </w:pPr>
            <w:r>
              <w:rPr>
                <w:b/>
                <w:noProof/>
                <w:color w:val="000000"/>
                <w:sz w:val="20"/>
              </w:rPr>
              <w:t>AJONEUVON SISÄISET INSTRUMENTIT, SÄHKÖJÄRJESTELMÄT JA AJONEUVOJEN VALAISINJÄRJESTELMÄT</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Äänimerkki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Radiohäiriöt (sähkömagneettinen yhteensopivuus)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Suojaus luvattomalta käytöltä ja kyberhyökkäyksiltä, ajonestolaite ja hälytysjärjestelmät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18</w:t>
            </w:r>
          </w:p>
          <w:p>
            <w:pPr>
              <w:spacing w:before="0" w:after="0"/>
              <w:jc w:val="center"/>
              <w:rPr>
                <w:rFonts w:eastAsia="Times New Roman"/>
                <w:noProof/>
                <w:color w:val="000000"/>
                <w:sz w:val="20"/>
                <w:szCs w:val="20"/>
              </w:rPr>
            </w:pPr>
            <w:r>
              <w:rPr>
                <w:noProof/>
                <w:color w:val="000000"/>
                <w:sz w:val="20"/>
              </w:rPr>
              <w:t>E-sääntö nro 97</w:t>
            </w:r>
          </w:p>
          <w:p>
            <w:pPr>
              <w:spacing w:before="0" w:after="0"/>
              <w:jc w:val="center"/>
              <w:rPr>
                <w:rFonts w:eastAsia="Times New Roman"/>
                <w:noProof/>
                <w:color w:val="000000"/>
                <w:sz w:val="20"/>
                <w:szCs w:val="20"/>
              </w:rPr>
            </w:pPr>
            <w:r>
              <w:rPr>
                <w:noProof/>
                <w:color w:val="000000"/>
                <w:sz w:val="20"/>
              </w:rPr>
              <w:t>E-sääntö nro 116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9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Nopeusmittari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1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Matkamittari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Nopeudenrajoittimet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89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Älykäs nopeusavustin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Hallintalaitteiden, ilmaisimien ja osoittimien merkinnät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34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Lämmitysjärjestelmät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122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Merkkivalolaitteet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4</w:t>
            </w:r>
          </w:p>
          <w:p>
            <w:pPr>
              <w:spacing w:before="0" w:after="0"/>
              <w:jc w:val="center"/>
              <w:rPr>
                <w:rFonts w:eastAsia="Times New Roman"/>
                <w:noProof/>
                <w:color w:val="000000"/>
                <w:sz w:val="20"/>
                <w:szCs w:val="20"/>
              </w:rPr>
            </w:pPr>
            <w:r>
              <w:rPr>
                <w:noProof/>
                <w:color w:val="000000"/>
                <w:sz w:val="20"/>
              </w:rPr>
              <w:t>E-sääntö nro 6</w:t>
            </w:r>
          </w:p>
          <w:p>
            <w:pPr>
              <w:spacing w:before="0" w:after="0"/>
              <w:jc w:val="center"/>
              <w:rPr>
                <w:rFonts w:eastAsia="Times New Roman"/>
                <w:noProof/>
                <w:color w:val="000000"/>
                <w:sz w:val="20"/>
                <w:szCs w:val="20"/>
              </w:rPr>
            </w:pPr>
            <w:r>
              <w:rPr>
                <w:noProof/>
                <w:color w:val="000000"/>
                <w:sz w:val="20"/>
              </w:rPr>
              <w:t>E-sääntö nro 7</w:t>
            </w:r>
          </w:p>
          <w:p>
            <w:pPr>
              <w:spacing w:before="0" w:after="0"/>
              <w:jc w:val="center"/>
              <w:rPr>
                <w:rFonts w:eastAsia="Times New Roman"/>
                <w:noProof/>
                <w:color w:val="000000"/>
                <w:sz w:val="20"/>
                <w:szCs w:val="20"/>
              </w:rPr>
            </w:pPr>
            <w:r>
              <w:rPr>
                <w:noProof/>
                <w:color w:val="000000"/>
                <w:sz w:val="20"/>
              </w:rPr>
              <w:t>E-sääntö nro 19</w:t>
            </w:r>
          </w:p>
          <w:p>
            <w:pPr>
              <w:spacing w:before="0" w:after="0"/>
              <w:jc w:val="center"/>
              <w:rPr>
                <w:rFonts w:eastAsia="Times New Roman"/>
                <w:noProof/>
                <w:color w:val="000000"/>
                <w:sz w:val="20"/>
                <w:szCs w:val="20"/>
              </w:rPr>
            </w:pPr>
            <w:r>
              <w:rPr>
                <w:noProof/>
                <w:color w:val="000000"/>
                <w:sz w:val="20"/>
              </w:rPr>
              <w:t>E-sääntö nro 23</w:t>
            </w:r>
          </w:p>
          <w:p>
            <w:pPr>
              <w:spacing w:before="0" w:after="0"/>
              <w:jc w:val="center"/>
              <w:rPr>
                <w:rFonts w:eastAsia="Times New Roman"/>
                <w:noProof/>
                <w:color w:val="000000"/>
                <w:sz w:val="20"/>
                <w:szCs w:val="20"/>
              </w:rPr>
            </w:pPr>
            <w:r>
              <w:rPr>
                <w:noProof/>
                <w:color w:val="000000"/>
                <w:sz w:val="20"/>
              </w:rPr>
              <w:t>E-sääntö nro 38</w:t>
            </w:r>
          </w:p>
          <w:p>
            <w:pPr>
              <w:spacing w:before="0" w:after="0"/>
              <w:jc w:val="center"/>
              <w:rPr>
                <w:rFonts w:eastAsia="Times New Roman"/>
                <w:noProof/>
                <w:color w:val="000000"/>
                <w:sz w:val="20"/>
                <w:szCs w:val="20"/>
              </w:rPr>
            </w:pPr>
            <w:r>
              <w:rPr>
                <w:noProof/>
                <w:color w:val="000000"/>
                <w:sz w:val="20"/>
              </w:rPr>
              <w:t>E-sääntö nro 77</w:t>
            </w:r>
          </w:p>
          <w:p>
            <w:pPr>
              <w:spacing w:before="0" w:after="0"/>
              <w:jc w:val="center"/>
              <w:rPr>
                <w:rFonts w:eastAsia="Times New Roman"/>
                <w:noProof/>
                <w:color w:val="000000"/>
                <w:sz w:val="20"/>
                <w:szCs w:val="20"/>
              </w:rPr>
            </w:pPr>
            <w:r>
              <w:rPr>
                <w:noProof/>
                <w:color w:val="000000"/>
                <w:sz w:val="20"/>
              </w:rPr>
              <w:t>E-sääntö nro 87</w:t>
            </w:r>
          </w:p>
          <w:p>
            <w:pPr>
              <w:spacing w:before="0" w:after="0"/>
              <w:jc w:val="center"/>
              <w:rPr>
                <w:rFonts w:eastAsia="Times New Roman"/>
                <w:noProof/>
                <w:color w:val="000000"/>
                <w:sz w:val="20"/>
                <w:szCs w:val="20"/>
              </w:rPr>
            </w:pPr>
            <w:r>
              <w:rPr>
                <w:noProof/>
                <w:color w:val="000000"/>
                <w:sz w:val="20"/>
              </w:rPr>
              <w:t>E-sääntö nro 91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Katuvalaistuslaitteet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31</w:t>
            </w:r>
          </w:p>
          <w:p>
            <w:pPr>
              <w:spacing w:before="0" w:after="0"/>
              <w:jc w:val="center"/>
              <w:rPr>
                <w:rFonts w:eastAsia="Times New Roman"/>
                <w:noProof/>
                <w:color w:val="000000"/>
                <w:sz w:val="20"/>
                <w:szCs w:val="20"/>
              </w:rPr>
            </w:pPr>
            <w:r>
              <w:rPr>
                <w:noProof/>
                <w:color w:val="000000"/>
                <w:sz w:val="20"/>
              </w:rPr>
              <w:t>E-sääntö nro 98</w:t>
            </w:r>
          </w:p>
          <w:p>
            <w:pPr>
              <w:spacing w:before="0" w:after="0"/>
              <w:jc w:val="center"/>
              <w:rPr>
                <w:rFonts w:eastAsia="Times New Roman"/>
                <w:noProof/>
                <w:color w:val="000000"/>
                <w:sz w:val="20"/>
                <w:szCs w:val="20"/>
              </w:rPr>
            </w:pPr>
            <w:r>
              <w:rPr>
                <w:noProof/>
                <w:color w:val="000000"/>
                <w:sz w:val="20"/>
              </w:rPr>
              <w:t>E-sääntö nro 112</w:t>
            </w:r>
          </w:p>
          <w:p>
            <w:pPr>
              <w:spacing w:before="0" w:after="0"/>
              <w:jc w:val="center"/>
              <w:rPr>
                <w:rFonts w:eastAsia="Times New Roman"/>
                <w:noProof/>
                <w:color w:val="000000"/>
                <w:sz w:val="20"/>
                <w:szCs w:val="20"/>
              </w:rPr>
            </w:pPr>
            <w:r>
              <w:rPr>
                <w:noProof/>
                <w:color w:val="000000"/>
                <w:sz w:val="20"/>
              </w:rPr>
              <w:t>E-sääntö nro 123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Heijastinlaitteet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Valonlähteet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37</w:t>
            </w:r>
          </w:p>
          <w:p>
            <w:pPr>
              <w:spacing w:before="0" w:after="0"/>
              <w:jc w:val="center"/>
              <w:rPr>
                <w:rFonts w:eastAsia="Times New Roman"/>
                <w:noProof/>
                <w:color w:val="000000"/>
                <w:sz w:val="20"/>
                <w:szCs w:val="20"/>
              </w:rPr>
            </w:pPr>
            <w:r>
              <w:rPr>
                <w:noProof/>
                <w:color w:val="000000"/>
                <w:sz w:val="20"/>
              </w:rPr>
              <w:t>E-sääntö nro 99</w:t>
            </w:r>
          </w:p>
          <w:p>
            <w:pPr>
              <w:spacing w:before="0" w:after="0"/>
              <w:jc w:val="center"/>
              <w:rPr>
                <w:rFonts w:eastAsia="Times New Roman"/>
                <w:noProof/>
                <w:color w:val="000000"/>
                <w:sz w:val="20"/>
                <w:szCs w:val="20"/>
              </w:rPr>
            </w:pPr>
            <w:r>
              <w:rPr>
                <w:noProof/>
                <w:color w:val="000000"/>
                <w:sz w:val="20"/>
              </w:rPr>
              <w:t>E-sääntö nro 128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90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Merkkivalo-, katuvalaistus- ja heijastinlaitteiden asentaminen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48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3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Hätäjarrutuksen merkkivalo</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Ajovalaisimien puhdistuslaitteet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E-sääntö nro 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Vaihtamisopastin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p>
          <w:p>
            <w:pPr>
              <w:spacing w:before="0" w:after="0"/>
              <w:jc w:val="center"/>
              <w:rPr>
                <w:rFonts w:eastAsia="Times New Roman"/>
                <w:b/>
                <w:noProof/>
                <w:color w:val="000000"/>
                <w:sz w:val="20"/>
                <w:szCs w:val="20"/>
              </w:rPr>
            </w:pPr>
            <w:r>
              <w:rPr>
                <w:b/>
                <w:noProof/>
                <w:color w:val="000000"/>
                <w:sz w:val="20"/>
              </w:rPr>
              <w:t>KULJETTAJAN JA JÄRJESTELMIEN KÄYTTÄYTYMINEN</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Alkolukon asennuksen helpottaminen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Väsymyksen ja tarkkaavaisuuden seuranta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Kehittynyt tarkkaamattomuuden tunnistusjärjestelmä</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 xml:space="preserve">Kehittynyt tarkkaamattomuuden tunnistusjärjestelmä saattaa sisältää myös väsymyksen ja tarkkaavaisuuden seurannan. </w:t>
            </w:r>
          </w:p>
          <w:p>
            <w:pPr>
              <w:spacing w:before="0" w:after="0"/>
              <w:jc w:val="left"/>
              <w:rPr>
                <w:rFonts w:eastAsia="Times New Roman"/>
                <w:noProof/>
                <w:color w:val="000000"/>
                <w:sz w:val="20"/>
                <w:szCs w:val="20"/>
              </w:rPr>
            </w:pPr>
            <w:r>
              <w:rPr>
                <w:noProof/>
                <w:color w:val="000000"/>
                <w:sz w:val="20"/>
              </w:rPr>
              <w:t xml:space="preserve">Kehittyneen tarkkaamattomuuden tunnistusjärjestelmän vaihtoehtona voidaan harkita myös tarkkaamattomuuden välttämistä teknisin keinoin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Kuljettajan saatavillaolon seuranta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Onnettomuustietotallennin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Kuljettajan hallintatoimintoja korvaavat 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Ajoneuvolle tietoja sen tilasta ja ympäristöstä antavat järjestelmät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Saattueajo</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Seuraavia koskevat vaatimukset:</w:t>
            </w:r>
          </w:p>
          <w:p>
            <w:pPr>
              <w:spacing w:before="0" w:after="0"/>
              <w:jc w:val="center"/>
              <w:rPr>
                <w:rFonts w:eastAsia="Times New Roman"/>
                <w:b/>
                <w:noProof/>
                <w:color w:val="000000"/>
                <w:sz w:val="20"/>
                <w:szCs w:val="20"/>
              </w:rPr>
            </w:pPr>
            <w:r>
              <w:rPr>
                <w:b/>
                <w:noProof/>
                <w:color w:val="000000"/>
                <w:sz w:val="20"/>
              </w:rPr>
              <w:t>AJONEUVON YLEISET RAKENNE- JA MUUT OMINAISUUDET</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Rekisterikilven tila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Peruutus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Ovien lukot ja saranat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Ovien askelmat, astinlaudat ja kädensijat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Ulkonevat osat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Hyötyajoneuvojen ohjaamon ulkonevat osat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61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Lakisääteiset kilvet ja ajoneuvon valmistenumero</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58"/>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Hinauslaitteet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Pyörien roiskesuojat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Roiskeenestojärjestelmät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Massat ja mitat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Mekaaniset kytkentälaitteet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55</w:t>
            </w:r>
          </w:p>
          <w:p>
            <w:pPr>
              <w:spacing w:before="0" w:after="0"/>
              <w:jc w:val="center"/>
              <w:rPr>
                <w:rFonts w:eastAsia="Times New Roman"/>
                <w:noProof/>
                <w:color w:val="000000"/>
                <w:sz w:val="20"/>
                <w:szCs w:val="20"/>
              </w:rPr>
            </w:pPr>
            <w:r>
              <w:rPr>
                <w:noProof/>
                <w:color w:val="000000"/>
                <w:sz w:val="20"/>
              </w:rPr>
              <w:t>E-sääntö nro 102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Vaarallisten aineiden kuljetukseen tarkoitetut ajoneuvot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105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Linja-auton yleinen rakenne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107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Linja-auton korirakenteen lujuus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66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Syttyvyys linja-autoissa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E-sääntö nro 118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bl>
    <w:p>
      <w:pPr>
        <w:jc w:val="left"/>
        <w:rPr>
          <w:b/>
          <w:noProof/>
        </w:rPr>
      </w:pPr>
    </w:p>
    <w:p>
      <w:pPr>
        <w:ind w:left="284"/>
        <w:jc w:val="center"/>
        <w:rPr>
          <w:noProof/>
        </w:rPr>
      </w:pPr>
      <w:r>
        <w:rPr>
          <w:noProof/>
        </w:rPr>
        <w:t>_______________________</w:t>
      </w:r>
    </w:p>
    <w:p>
      <w:pPr>
        <w:ind w:left="284"/>
        <w:jc w:val="center"/>
        <w:rPr>
          <w:i/>
          <w:noProof/>
        </w:rPr>
      </w:pPr>
      <w:r>
        <w:rPr>
          <w:i/>
          <w:noProof/>
        </w:rPr>
        <w:t>Taulukkoon liittyvät huomautukset:</w:t>
      </w:r>
    </w:p>
    <w:tbl>
      <w:tblPr>
        <w:tblW w:w="15139" w:type="dxa"/>
        <w:tblLayout w:type="fixed"/>
        <w:tblLook w:val="01E0" w:firstRow="1" w:lastRow="1" w:firstColumn="1" w:lastColumn="1" w:noHBand="0" w:noVBand="0"/>
      </w:tblPr>
      <w:tblGrid>
        <w:gridCol w:w="1101"/>
        <w:gridCol w:w="14038"/>
      </w:tblGrid>
      <w:tr>
        <w:tc>
          <w:tcPr>
            <w:tcW w:w="1101" w:type="dxa"/>
            <w:shd w:val="clear" w:color="auto" w:fill="auto"/>
          </w:tcPr>
          <w:p>
            <w:pPr>
              <w:ind w:left="284"/>
              <w:rPr>
                <w:noProof/>
              </w:rPr>
            </w:pPr>
            <w:r>
              <w:rPr>
                <w:noProof/>
              </w:rPr>
              <w:t>A:</w:t>
            </w:r>
          </w:p>
        </w:tc>
        <w:tc>
          <w:tcPr>
            <w:tcW w:w="14038" w:type="dxa"/>
            <w:shd w:val="clear" w:color="auto" w:fill="auto"/>
          </w:tcPr>
          <w:p>
            <w:pPr>
              <w:rPr>
                <w:noProof/>
              </w:rPr>
            </w:pPr>
            <w:r>
              <w:rPr>
                <w:noProof/>
              </w:rPr>
              <w:t>Päivämäärä, josta alkaen kielletään ajoneuvojen rekisteröinti sekä komponenttien ja erillisten teknisten yksiköiden saattaminen markkinoille ja käyttöönotto:</w:t>
            </w:r>
          </w:p>
          <w:p>
            <w:pPr>
              <w:rPr>
                <w:noProof/>
              </w:rPr>
            </w:pPr>
            <w:r>
              <w:rPr>
                <w:noProof/>
              </w:rPr>
              <w:t>[</w:t>
            </w:r>
            <w:r>
              <w:rPr>
                <w:i/>
                <w:noProof/>
              </w:rPr>
              <w:t>Julkaisutoimisto: lisätään tämän asetuksen soveltamisen alkamispäivä</w:t>
            </w:r>
            <w:r>
              <w:rPr>
                <w:noProof/>
              </w:rPr>
              <w:t>]</w:t>
            </w:r>
          </w:p>
        </w:tc>
      </w:tr>
      <w:tr>
        <w:tc>
          <w:tcPr>
            <w:tcW w:w="1101" w:type="dxa"/>
            <w:shd w:val="clear" w:color="auto" w:fill="auto"/>
          </w:tcPr>
          <w:p>
            <w:pPr>
              <w:ind w:left="284"/>
              <w:rPr>
                <w:noProof/>
              </w:rPr>
            </w:pPr>
            <w:r>
              <w:rPr>
                <w:noProof/>
              </w:rPr>
              <w:t>B:</w:t>
            </w:r>
          </w:p>
        </w:tc>
        <w:tc>
          <w:tcPr>
            <w:tcW w:w="14038" w:type="dxa"/>
            <w:shd w:val="clear" w:color="auto" w:fill="auto"/>
          </w:tcPr>
          <w:p>
            <w:pPr>
              <w:rPr>
                <w:noProof/>
              </w:rPr>
            </w:pPr>
            <w:r>
              <w:rPr>
                <w:noProof/>
              </w:rPr>
              <w:t>Päivämäärä, josta alkaen EU-tyyppihyväksyntää ei myönnetä:</w:t>
            </w:r>
          </w:p>
          <w:p>
            <w:pPr>
              <w:rPr>
                <w:noProof/>
              </w:rPr>
            </w:pPr>
            <w:r>
              <w:rPr>
                <w:noProof/>
              </w:rPr>
              <w:t>[Julkaisutoimisto:</w:t>
            </w:r>
            <w:r>
              <w:rPr>
                <w:i/>
                <w:noProof/>
              </w:rPr>
              <w:t xml:space="preserve"> lisätään tämän asetuksen soveltamisen alkamispäivä</w:t>
            </w:r>
            <w:r>
              <w:rPr>
                <w:noProof/>
              </w:rPr>
              <w:t>]</w:t>
            </w:r>
          </w:p>
          <w:p>
            <w:pPr>
              <w:rPr>
                <w:noProof/>
              </w:rPr>
            </w:pPr>
            <w:r>
              <w:rPr>
                <w:noProof/>
              </w:rPr>
              <w:t>Päivämäärä, josta alkaen kielletään ajoneuvojen rekisteröinti sekä komponenttien ja erillisten teknisten yksiköiden saattaminen markkinoille ja käyttöönotto:</w:t>
            </w:r>
          </w:p>
          <w:p>
            <w:pPr>
              <w:rPr>
                <w:noProof/>
              </w:rPr>
            </w:pPr>
            <w:r>
              <w:rPr>
                <w:noProof/>
              </w:rPr>
              <w:t>[</w:t>
            </w:r>
            <w:r>
              <w:rPr>
                <w:i/>
                <w:noProof/>
              </w:rPr>
              <w:t>Julkaisutoimisto: lisätään päivämäärä, joka on 24 kuukautta tämän asetuksen soveltamisen alkamispäivästä</w:t>
            </w:r>
            <w:r>
              <w:rPr>
                <w:noProof/>
              </w:rPr>
              <w:t>]</w:t>
            </w:r>
          </w:p>
        </w:tc>
      </w:tr>
      <w:tr>
        <w:tc>
          <w:tcPr>
            <w:tcW w:w="1101" w:type="dxa"/>
            <w:shd w:val="clear" w:color="auto" w:fill="auto"/>
          </w:tcPr>
          <w:p>
            <w:pPr>
              <w:ind w:left="284"/>
              <w:rPr>
                <w:noProof/>
              </w:rPr>
            </w:pPr>
            <w:r>
              <w:rPr>
                <w:noProof/>
              </w:rPr>
              <w:t>C:</w:t>
            </w:r>
          </w:p>
        </w:tc>
        <w:tc>
          <w:tcPr>
            <w:tcW w:w="14038" w:type="dxa"/>
            <w:shd w:val="clear" w:color="auto" w:fill="auto"/>
          </w:tcPr>
          <w:p>
            <w:pPr>
              <w:rPr>
                <w:noProof/>
              </w:rPr>
            </w:pPr>
            <w:r>
              <w:rPr>
                <w:noProof/>
              </w:rPr>
              <w:t>Päivämäärä, josta alkaen EU-tyyppihyväksyntää ei myönnetä:</w:t>
            </w:r>
          </w:p>
          <w:p>
            <w:pPr>
              <w:rPr>
                <w:noProof/>
              </w:rPr>
            </w:pPr>
            <w:r>
              <w:rPr>
                <w:noProof/>
              </w:rPr>
              <w:t>[Julkaisutoimisto:</w:t>
            </w:r>
            <w:r>
              <w:rPr>
                <w:i/>
                <w:noProof/>
              </w:rPr>
              <w:t xml:space="preserve"> lisätään päivämäärä, joka on 24 kuukautta tämän asetuksen soveltamisen alkamispäivästä</w:t>
            </w:r>
            <w:r>
              <w:rPr>
                <w:noProof/>
              </w:rPr>
              <w:t>]</w:t>
            </w:r>
          </w:p>
          <w:p>
            <w:pPr>
              <w:rPr>
                <w:noProof/>
              </w:rPr>
            </w:pPr>
            <w:r>
              <w:rPr>
                <w:noProof/>
              </w:rPr>
              <w:t>Päivämäärä, josta alkaen kielletään ajoneuvojen rekisteröinti sekä komponenttien ja erillisten teknisten yksiköiden saattaminen markkinoille ja käyttöönotto:</w:t>
            </w:r>
          </w:p>
          <w:p>
            <w:pPr>
              <w:rPr>
                <w:noProof/>
              </w:rPr>
            </w:pPr>
            <w:r>
              <w:rPr>
                <w:noProof/>
              </w:rPr>
              <w:t>[</w:t>
            </w:r>
            <w:r>
              <w:rPr>
                <w:i/>
                <w:noProof/>
              </w:rPr>
              <w:t>Julkaisutoimisto: lisätään päivämäärä, joka on 48 kuukautta tämän asetuksen soveltamisen alkamispäivästä</w:t>
            </w:r>
            <w:r>
              <w:rPr>
                <w:noProof/>
              </w:rPr>
              <w:t>]</w:t>
            </w:r>
          </w:p>
        </w:tc>
      </w:tr>
      <w:tr>
        <w:tc>
          <w:tcPr>
            <w:tcW w:w="1101" w:type="dxa"/>
            <w:shd w:val="clear" w:color="auto" w:fill="auto"/>
          </w:tcPr>
          <w:p>
            <w:pPr>
              <w:ind w:left="284"/>
              <w:rPr>
                <w:noProof/>
              </w:rPr>
            </w:pPr>
            <w:r>
              <w:rPr>
                <w:noProof/>
              </w:rPr>
              <w:t>D:</w:t>
            </w:r>
          </w:p>
        </w:tc>
        <w:tc>
          <w:tcPr>
            <w:tcW w:w="14038" w:type="dxa"/>
            <w:shd w:val="clear" w:color="auto" w:fill="auto"/>
          </w:tcPr>
          <w:p>
            <w:pPr>
              <w:rPr>
                <w:noProof/>
              </w:rPr>
            </w:pPr>
            <w:r>
              <w:rPr>
                <w:noProof/>
              </w:rPr>
              <w:t>Päivämäärä, josta alkaen EU-tyyppihyväksyntää ei myönnetä:</w:t>
            </w:r>
          </w:p>
          <w:p>
            <w:pPr>
              <w:rPr>
                <w:noProof/>
              </w:rPr>
            </w:pPr>
            <w:r>
              <w:rPr>
                <w:noProof/>
              </w:rPr>
              <w:t>[Julkaisutoimisto:</w:t>
            </w:r>
            <w:r>
              <w:rPr>
                <w:i/>
                <w:noProof/>
              </w:rPr>
              <w:t xml:space="preserve"> lisätään päivämäärä, joka on 48 kuukautta tämän asetuksen soveltamisen alkamispäivästä</w:t>
            </w:r>
            <w:r>
              <w:rPr>
                <w:noProof/>
              </w:rPr>
              <w:t>]</w:t>
            </w:r>
          </w:p>
          <w:p>
            <w:pPr>
              <w:rPr>
                <w:noProof/>
              </w:rPr>
            </w:pPr>
            <w:r>
              <w:rPr>
                <w:noProof/>
              </w:rPr>
              <w:t>Päivämäärä, josta alkaen kielletään ajoneuvojen rekisteröinti sekä komponenttien ja erillisten teknisten yksiköiden saattaminen markkinoille ja käyttöönotto:</w:t>
            </w:r>
          </w:p>
          <w:p>
            <w:pPr>
              <w:rPr>
                <w:noProof/>
              </w:rPr>
            </w:pPr>
            <w:r>
              <w:rPr>
                <w:noProof/>
              </w:rPr>
              <w:t>[</w:t>
            </w:r>
            <w:r>
              <w:rPr>
                <w:i/>
                <w:noProof/>
              </w:rPr>
              <w:t>Julkaisutoimisto: lisätään päivämäärä, joka on 84 kuukautta tämän asetuksen soveltamisen alkamispäivästä</w:t>
            </w:r>
            <w:r>
              <w:rPr>
                <w:noProof/>
              </w:rPr>
              <w:t>]</w:t>
            </w:r>
          </w:p>
        </w:tc>
      </w:tr>
      <w:tr>
        <w:tc>
          <w:tcPr>
            <w:tcW w:w="1101" w:type="dxa"/>
            <w:shd w:val="clear" w:color="auto" w:fill="auto"/>
          </w:tcPr>
          <w:p>
            <w:pPr>
              <w:ind w:left="284"/>
              <w:rPr>
                <w:noProof/>
              </w:rPr>
            </w:pPr>
            <w:r>
              <w:rPr>
                <w:noProof/>
              </w:rPr>
              <w:t>X:</w:t>
            </w:r>
          </w:p>
        </w:tc>
        <w:tc>
          <w:tcPr>
            <w:tcW w:w="14038" w:type="dxa"/>
            <w:shd w:val="clear" w:color="auto" w:fill="auto"/>
          </w:tcPr>
          <w:p>
            <w:pPr>
              <w:rPr>
                <w:noProof/>
              </w:rPr>
            </w:pPr>
            <w:r>
              <w:rPr>
                <w:noProof/>
              </w:rPr>
              <w:t>Kyseinen komponentti tai erillinen tekninen yksikkö oltava osoitetuissa ajoneuvoluokissa.</w:t>
            </w:r>
          </w:p>
        </w:tc>
      </w:tr>
      <w:tr>
        <w:tc>
          <w:tcPr>
            <w:tcW w:w="1101" w:type="dxa"/>
            <w:shd w:val="clear" w:color="auto" w:fill="auto"/>
          </w:tcPr>
          <w:p>
            <w:pPr>
              <w:ind w:left="284"/>
              <w:rPr>
                <w:noProof/>
              </w:rPr>
            </w:pPr>
            <w:r>
              <w:rPr>
                <w:noProof/>
                <w:vertAlign w:val="superscript"/>
              </w:rPr>
              <w:t>1</w:t>
            </w:r>
          </w:p>
        </w:tc>
        <w:tc>
          <w:tcPr>
            <w:tcW w:w="14038" w:type="dxa"/>
            <w:shd w:val="clear" w:color="auto" w:fill="auto"/>
          </w:tcPr>
          <w:p>
            <w:pPr>
              <w:rPr>
                <w:noProof/>
              </w:rPr>
            </w:pPr>
            <w:r>
              <w:rPr>
                <w:noProof/>
              </w:rPr>
              <w:t>Vaatimustenmukaisuutta edellytetään, jos asennettu.</w:t>
            </w:r>
          </w:p>
        </w:tc>
      </w:tr>
      <w:tr>
        <w:tc>
          <w:tcPr>
            <w:tcW w:w="1101" w:type="dxa"/>
            <w:shd w:val="clear" w:color="auto" w:fill="auto"/>
          </w:tcPr>
          <w:p>
            <w:pPr>
              <w:ind w:left="284"/>
              <w:rPr>
                <w:noProof/>
                <w:vertAlign w:val="superscript"/>
              </w:rPr>
            </w:pPr>
            <w:r>
              <w:rPr>
                <w:noProof/>
                <w:vertAlign w:val="superscript"/>
              </w:rPr>
              <w:t>2</w:t>
            </w:r>
          </w:p>
        </w:tc>
        <w:tc>
          <w:tcPr>
            <w:tcW w:w="14038" w:type="dxa"/>
            <w:shd w:val="clear" w:color="auto" w:fill="auto"/>
          </w:tcPr>
          <w:p>
            <w:pPr>
              <w:rPr>
                <w:noProof/>
              </w:rPr>
            </w:pPr>
            <w:r>
              <w:rPr>
                <w:noProof/>
              </w:rPr>
              <w:t>Tähän luokkaan kuuluvat ajoneuvot on varustettava asianmukaisella tuulilasin huurteen- ja huurunpoistolaitteella.</w:t>
            </w:r>
          </w:p>
        </w:tc>
      </w:tr>
      <w:tr>
        <w:tc>
          <w:tcPr>
            <w:tcW w:w="1101" w:type="dxa"/>
            <w:shd w:val="clear" w:color="auto" w:fill="auto"/>
          </w:tcPr>
          <w:p>
            <w:pPr>
              <w:ind w:left="284"/>
              <w:rPr>
                <w:noProof/>
                <w:vertAlign w:val="superscript"/>
              </w:rPr>
            </w:pPr>
            <w:r>
              <w:rPr>
                <w:noProof/>
                <w:vertAlign w:val="superscript"/>
              </w:rPr>
              <w:t>3</w:t>
            </w:r>
          </w:p>
        </w:tc>
        <w:tc>
          <w:tcPr>
            <w:tcW w:w="14038" w:type="dxa"/>
            <w:shd w:val="clear" w:color="auto" w:fill="auto"/>
          </w:tcPr>
          <w:p>
            <w:pPr>
              <w:rPr>
                <w:noProof/>
              </w:rPr>
            </w:pPr>
            <w:r>
              <w:rPr>
                <w:noProof/>
              </w:rPr>
              <w:t>Tähän luokkaan kuuluvat ajoneuvot on varustettava asianmukaisilla tuulilasin pesimillä ja pyyhkimillä.</w:t>
            </w:r>
          </w:p>
        </w:tc>
      </w:tr>
      <w:tr>
        <w:tc>
          <w:tcPr>
            <w:tcW w:w="1101" w:type="dxa"/>
            <w:shd w:val="clear" w:color="auto" w:fill="auto"/>
          </w:tcPr>
          <w:p>
            <w:pPr>
              <w:ind w:left="284"/>
              <w:rPr>
                <w:noProof/>
                <w:vertAlign w:val="superscript"/>
              </w:rPr>
            </w:pPr>
            <w:r>
              <w:rPr>
                <w:noProof/>
                <w:vertAlign w:val="superscript"/>
              </w:rPr>
              <w:t>4</w:t>
            </w:r>
          </w:p>
        </w:tc>
        <w:tc>
          <w:tcPr>
            <w:tcW w:w="14038" w:type="dxa"/>
            <w:shd w:val="clear" w:color="auto" w:fill="auto"/>
          </w:tcPr>
          <w:p>
            <w:pPr>
              <w:rPr>
                <w:noProof/>
              </w:rPr>
            </w:pPr>
            <w:r>
              <w:rPr>
                <w:noProof/>
              </w:rPr>
              <w:t>Ei sovelleta seuraaviin ajoneuvoihin:</w:t>
            </w:r>
          </w:p>
          <w:p>
            <w:pPr>
              <w:pStyle w:val="ListParagraph"/>
              <w:numPr>
                <w:ilvl w:val="0"/>
                <w:numId w:val="5"/>
              </w:numPr>
              <w:rPr>
                <w:noProof/>
              </w:rPr>
            </w:pPr>
            <w:r>
              <w:rPr>
                <w:noProof/>
              </w:rPr>
              <w:t>luokan N</w:t>
            </w:r>
            <w:r>
              <w:rPr>
                <w:noProof/>
                <w:vertAlign w:val="subscript"/>
              </w:rPr>
              <w:t>2</w:t>
            </w:r>
            <w:r>
              <w:rPr>
                <w:noProof/>
              </w:rPr>
              <w:t xml:space="preserve"> puoliperävaunun vetoajoneuvot, joiden suurin massa on yli 3,5 tonnia mutta enintään 8 tonnia</w:t>
            </w:r>
          </w:p>
          <w:p>
            <w:pPr>
              <w:pStyle w:val="ListParagraph"/>
              <w:numPr>
                <w:ilvl w:val="0"/>
                <w:numId w:val="5"/>
              </w:numPr>
              <w:rPr>
                <w:noProof/>
              </w:rPr>
            </w:pPr>
            <w:r>
              <w:rPr>
                <w:noProof/>
              </w:rPr>
              <w:t>alaluokkiin A, I ja II kuuluvat luokkien M</w:t>
            </w:r>
            <w:r>
              <w:rPr>
                <w:noProof/>
                <w:vertAlign w:val="subscript"/>
              </w:rPr>
              <w:t>2</w:t>
            </w:r>
            <w:r>
              <w:rPr>
                <w:noProof/>
              </w:rPr>
              <w:t xml:space="preserve"> ja M</w:t>
            </w:r>
            <w:r>
              <w:rPr>
                <w:noProof/>
                <w:vertAlign w:val="subscript"/>
              </w:rPr>
              <w:t>3</w:t>
            </w:r>
            <w:r>
              <w:rPr>
                <w:noProof/>
              </w:rPr>
              <w:t xml:space="preserve"> ajoneuvot siten kuin ne määritellään E-säännössä nro 107 olevassa 2.1 kohdassa</w:t>
            </w:r>
          </w:p>
          <w:p>
            <w:pPr>
              <w:pStyle w:val="ListParagraph"/>
              <w:numPr>
                <w:ilvl w:val="0"/>
                <w:numId w:val="5"/>
              </w:numPr>
              <w:rPr>
                <w:noProof/>
              </w:rPr>
            </w:pPr>
            <w:r>
              <w:rPr>
                <w:noProof/>
              </w:rPr>
              <w:t>alaluokkiin A, I ja II kuuluvat luokan M</w:t>
            </w:r>
            <w:r>
              <w:rPr>
                <w:noProof/>
                <w:vertAlign w:val="subscript"/>
              </w:rPr>
              <w:t>3</w:t>
            </w:r>
            <w:r>
              <w:rPr>
                <w:noProof/>
              </w:rPr>
              <w:t xml:space="preserve"> nivellinja-autot siten kuin ne määritellään E-säännössä nro 107 olevassa 2.1 kohdassa</w:t>
            </w:r>
          </w:p>
          <w:p>
            <w:pPr>
              <w:pStyle w:val="ListParagraph"/>
              <w:numPr>
                <w:ilvl w:val="0"/>
                <w:numId w:val="5"/>
              </w:numPr>
              <w:rPr>
                <w:noProof/>
              </w:rPr>
            </w:pPr>
            <w:r>
              <w:rPr>
                <w:noProof/>
              </w:rPr>
              <w:t>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maastoajoneuvot</w:t>
            </w:r>
          </w:p>
          <w:p>
            <w:pPr>
              <w:pStyle w:val="ListParagraph"/>
              <w:numPr>
                <w:ilvl w:val="0"/>
                <w:numId w:val="5"/>
              </w:numPr>
              <w:rPr>
                <w:noProof/>
              </w:rPr>
            </w:pPr>
            <w:r>
              <w:rPr>
                <w:noProof/>
              </w:rPr>
              <w:t>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erikoiskäyttöön tarkoitetut ajoneuvot ja</w:t>
            </w:r>
          </w:p>
          <w:p>
            <w:pPr>
              <w:pStyle w:val="ListParagraph"/>
              <w:numPr>
                <w:ilvl w:val="0"/>
                <w:numId w:val="5"/>
              </w:numPr>
              <w:rPr>
                <w:noProof/>
              </w:rPr>
            </w:pPr>
            <w:r>
              <w:rPr>
                <w:noProof/>
              </w:rPr>
              <w:t>luokkien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ja N</w:t>
            </w:r>
            <w:r>
              <w:rPr>
                <w:noProof/>
                <w:vertAlign w:val="subscript"/>
              </w:rPr>
              <w:t>3</w:t>
            </w:r>
            <w:r>
              <w:rPr>
                <w:noProof/>
              </w:rPr>
              <w:t xml:space="preserve"> ajoneuvot, joissa on enemmän kuin kolme akselia.</w:t>
            </w:r>
          </w:p>
        </w:tc>
      </w:tr>
      <w:tr>
        <w:tc>
          <w:tcPr>
            <w:tcW w:w="1101" w:type="dxa"/>
            <w:shd w:val="clear" w:color="auto" w:fill="auto"/>
          </w:tcPr>
          <w:p>
            <w:pPr>
              <w:ind w:left="284"/>
              <w:rPr>
                <w:noProof/>
                <w:vertAlign w:val="superscript"/>
              </w:rPr>
            </w:pPr>
            <w:r>
              <w:rPr>
                <w:noProof/>
                <w:vertAlign w:val="superscript"/>
              </w:rPr>
              <w:t>5</w:t>
            </w:r>
          </w:p>
        </w:tc>
        <w:tc>
          <w:tcPr>
            <w:tcW w:w="14038" w:type="dxa"/>
            <w:shd w:val="clear" w:color="auto" w:fill="auto"/>
          </w:tcPr>
          <w:p>
            <w:pPr>
              <w:rPr>
                <w:noProof/>
              </w:rPr>
            </w:pPr>
            <w:r>
              <w:rPr>
                <w:noProof/>
              </w:rPr>
              <w:t>Vaatimustenmukaisuutta edellytetään, jos kyseessä ovat automatisoidut ajoneuvot.</w:t>
            </w:r>
          </w:p>
        </w:tc>
      </w:tr>
    </w:tbl>
    <w:p>
      <w:pPr>
        <w:ind w:left="284"/>
        <w:jc w:val="center"/>
        <w:rPr>
          <w:b/>
          <w:noProof/>
        </w:rPr>
      </w:pPr>
    </w:p>
    <w:p>
      <w:pPr>
        <w:ind w:left="284"/>
        <w:jc w:val="left"/>
        <w:rPr>
          <w:b/>
          <w:noProof/>
        </w:rPr>
        <w:sectPr>
          <w:headerReference w:type="default" r:id="rId21"/>
          <w:footerReference w:type="default" r:id="rId22"/>
          <w:headerReference w:type="first" r:id="rId23"/>
          <w:footerReference w:type="first" r:id="rId24"/>
          <w:pgSz w:w="16839" w:h="11907" w:orient="landscape"/>
          <w:pgMar w:top="1417" w:right="1134" w:bottom="1417" w:left="567" w:header="709" w:footer="709" w:gutter="0"/>
          <w:cols w:space="720"/>
          <w:docGrid w:linePitch="360"/>
        </w:sectPr>
      </w:pPr>
      <w:r>
        <w:rPr>
          <w:b/>
          <w:noProof/>
        </w:rPr>
        <w:t xml:space="preserve"> </w:t>
      </w:r>
    </w:p>
    <w:p>
      <w:pPr>
        <w:pStyle w:val="Annexetitre"/>
        <w:rPr>
          <w:rStyle w:val="Marker"/>
          <w:noProof/>
        </w:rPr>
      </w:pPr>
      <w:r>
        <w:rPr>
          <w:noProof/>
        </w:rPr>
        <w:t>LIITE III</w:t>
      </w:r>
    </w:p>
    <w:p>
      <w:pPr>
        <w:rPr>
          <w:noProof/>
        </w:rPr>
      </w:pPr>
    </w:p>
    <w:p>
      <w:pPr>
        <w:jc w:val="center"/>
        <w:rPr>
          <w:b/>
          <w:noProof/>
          <w:szCs w:val="24"/>
        </w:rPr>
      </w:pPr>
      <w:r>
        <w:rPr>
          <w:b/>
          <w:noProof/>
        </w:rPr>
        <w:t>Asetuksen (EU) 2018/... liitteen II muuttaminen</w:t>
      </w:r>
    </w:p>
    <w:p>
      <w:pPr>
        <w:rPr>
          <w:noProof/>
          <w:szCs w:val="24"/>
        </w:rPr>
      </w:pPr>
    </w:p>
    <w:p>
      <w:pPr>
        <w:rPr>
          <w:noProof/>
          <w:szCs w:val="24"/>
        </w:rPr>
      </w:pPr>
      <w:r>
        <w:rPr>
          <w:noProof/>
        </w:rPr>
        <w:t>Muutetaan asetuksen (EU) 2018/... liite II seuraavasti:</w:t>
      </w:r>
    </w:p>
    <w:tbl>
      <w:tblPr>
        <w:tblW w:w="99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0"/>
        <w:gridCol w:w="34"/>
        <w:gridCol w:w="257"/>
        <w:gridCol w:w="121"/>
        <w:gridCol w:w="123"/>
        <w:gridCol w:w="8"/>
        <w:gridCol w:w="41"/>
        <w:gridCol w:w="25"/>
        <w:gridCol w:w="28"/>
        <w:gridCol w:w="10"/>
        <w:gridCol w:w="11"/>
        <w:gridCol w:w="31"/>
        <w:gridCol w:w="4"/>
        <w:gridCol w:w="123"/>
        <w:gridCol w:w="29"/>
        <w:gridCol w:w="71"/>
        <w:gridCol w:w="1863"/>
        <w:gridCol w:w="179"/>
        <w:gridCol w:w="20"/>
        <w:gridCol w:w="25"/>
        <w:gridCol w:w="6"/>
        <w:gridCol w:w="216"/>
        <w:gridCol w:w="335"/>
        <w:gridCol w:w="2"/>
        <w:gridCol w:w="474"/>
        <w:gridCol w:w="28"/>
        <w:gridCol w:w="70"/>
        <w:gridCol w:w="6"/>
        <w:gridCol w:w="32"/>
        <w:gridCol w:w="27"/>
        <w:gridCol w:w="47"/>
        <w:gridCol w:w="102"/>
        <w:gridCol w:w="36"/>
        <w:gridCol w:w="86"/>
        <w:gridCol w:w="146"/>
        <w:gridCol w:w="64"/>
        <w:gridCol w:w="23"/>
        <w:gridCol w:w="21"/>
        <w:gridCol w:w="40"/>
        <w:gridCol w:w="181"/>
        <w:gridCol w:w="77"/>
        <w:gridCol w:w="185"/>
        <w:gridCol w:w="8"/>
        <w:gridCol w:w="11"/>
        <w:gridCol w:w="71"/>
        <w:gridCol w:w="122"/>
        <w:gridCol w:w="96"/>
        <w:gridCol w:w="196"/>
        <w:gridCol w:w="6"/>
        <w:gridCol w:w="37"/>
        <w:gridCol w:w="23"/>
        <w:gridCol w:w="19"/>
        <w:gridCol w:w="171"/>
        <w:gridCol w:w="24"/>
        <w:gridCol w:w="223"/>
        <w:gridCol w:w="1"/>
        <w:gridCol w:w="21"/>
        <w:gridCol w:w="40"/>
        <w:gridCol w:w="26"/>
        <w:gridCol w:w="18"/>
        <w:gridCol w:w="85"/>
        <w:gridCol w:w="122"/>
        <w:gridCol w:w="213"/>
        <w:gridCol w:w="46"/>
        <w:gridCol w:w="70"/>
        <w:gridCol w:w="43"/>
        <w:gridCol w:w="2"/>
        <w:gridCol w:w="93"/>
        <w:gridCol w:w="127"/>
        <w:gridCol w:w="122"/>
        <w:gridCol w:w="38"/>
        <w:gridCol w:w="56"/>
        <w:gridCol w:w="81"/>
        <w:gridCol w:w="264"/>
        <w:gridCol w:w="24"/>
        <w:gridCol w:w="42"/>
        <w:gridCol w:w="24"/>
        <w:gridCol w:w="22"/>
        <w:gridCol w:w="34"/>
        <w:gridCol w:w="49"/>
        <w:gridCol w:w="228"/>
        <w:gridCol w:w="15"/>
        <w:gridCol w:w="131"/>
        <w:gridCol w:w="13"/>
        <w:gridCol w:w="56"/>
        <w:gridCol w:w="77"/>
        <w:gridCol w:w="178"/>
        <w:gridCol w:w="109"/>
        <w:gridCol w:w="71"/>
        <w:gridCol w:w="38"/>
        <w:gridCol w:w="7"/>
        <w:gridCol w:w="21"/>
        <w:gridCol w:w="11"/>
        <w:gridCol w:w="26"/>
        <w:gridCol w:w="19"/>
        <w:gridCol w:w="42"/>
        <w:gridCol w:w="176"/>
        <w:gridCol w:w="112"/>
        <w:gridCol w:w="51"/>
        <w:gridCol w:w="80"/>
        <w:gridCol w:w="34"/>
        <w:gridCol w:w="128"/>
        <w:gridCol w:w="137"/>
        <w:gridCol w:w="32"/>
        <w:gridCol w:w="38"/>
        <w:gridCol w:w="82"/>
        <w:gridCol w:w="30"/>
        <w:gridCol w:w="25"/>
        <w:gridCol w:w="26"/>
        <w:gridCol w:w="63"/>
        <w:gridCol w:w="40"/>
      </w:tblGrid>
      <w:tr>
        <w:trPr>
          <w:gridAfter w:val="8"/>
          <w:wAfter w:w="519" w:type="dxa"/>
        </w:trPr>
        <w:tc>
          <w:tcPr>
            <w:tcW w:w="9452" w:type="dxa"/>
            <w:gridSpan w:val="103"/>
            <w:tcBorders>
              <w:top w:val="nil"/>
              <w:left w:val="nil"/>
              <w:bottom w:val="nil"/>
              <w:right w:val="nil"/>
            </w:tcBorders>
            <w:shd w:val="clear" w:color="auto" w:fill="auto"/>
          </w:tcPr>
          <w:p>
            <w:pPr>
              <w:pStyle w:val="Point0"/>
              <w:ind w:left="444" w:hanging="444"/>
              <w:rPr>
                <w:noProof/>
                <w:szCs w:val="24"/>
              </w:rPr>
            </w:pPr>
            <w:r>
              <w:rPr>
                <w:noProof/>
              </w:rPr>
              <w:t>1) Korvataan I osassa olevan taulukon kohdan 3A kolmannessa sarakkeessa viittaus ”Asetus (EY) N:o 661/2009” seuraavasti:</w:t>
            </w:r>
          </w:p>
          <w:p>
            <w:pPr>
              <w:pStyle w:val="Point0"/>
              <w:ind w:hanging="406"/>
              <w:rPr>
                <w:noProof/>
                <w:szCs w:val="24"/>
              </w:rPr>
            </w:pPr>
            <w:r>
              <w:rPr>
                <w:noProof/>
              </w:rPr>
              <w:t>”Asetus (EU) 2019/…*</w:t>
            </w:r>
            <w:r>
              <w:rPr>
                <w:rStyle w:val="FootnoteReference"/>
                <w:noProof/>
              </w:rPr>
              <w:footnoteReference w:customMarkFollows="1" w:id="2"/>
              <w:t>+</w:t>
            </w:r>
          </w:p>
          <w:p>
            <w:pPr>
              <w:pStyle w:val="Point0"/>
              <w:rPr>
                <w:noProof/>
                <w:szCs w:val="24"/>
              </w:rPr>
            </w:pPr>
            <w:r>
              <w:rPr>
                <w:noProof/>
              </w:rPr>
              <w:t>_______________</w:t>
            </w:r>
          </w:p>
          <w:p>
            <w:pPr>
              <w:pStyle w:val="Point1"/>
              <w:ind w:left="1301" w:hanging="451"/>
              <w:rPr>
                <w:noProof/>
              </w:rPr>
            </w:pPr>
            <w:r>
              <w:rPr>
                <w:noProof/>
              </w:rPr>
              <w:t>*     Euroopan parlamentin ja neuvoston asetus (EU) 2019/…, annettu […], 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asetuksen (EU) 2018/... muuttamisesta ja asetusten (EY) N:o 78/2009, (EY) N:o 79/2009 ja (EY) N:o 661/2009 kumoamisesta [EUVL …, s. ..].”</w:t>
            </w:r>
          </w:p>
          <w:p>
            <w:pPr>
              <w:ind w:left="869"/>
              <w:rPr>
                <w:noProof/>
                <w:szCs w:val="24"/>
              </w:rPr>
            </w:pPr>
            <w:r>
              <w:rPr>
                <w:noProof/>
              </w:rPr>
              <w:t>ja korvataan tämän jälkeen jokainen liitteessä II oleva viittaus ”asetukseen (EY) N:o 661/2009” viittauksella ”asetukseen (EU) 2019/…”, ellei tämän liitteen seuraavissa säännöksissä toisin säädetä.</w:t>
            </w:r>
          </w:p>
          <w:p>
            <w:pPr>
              <w:pStyle w:val="Point0number"/>
              <w:numPr>
                <w:ilvl w:val="0"/>
                <w:numId w:val="0"/>
              </w:numPr>
              <w:rPr>
                <w:noProof/>
              </w:rPr>
            </w:pPr>
            <w:r>
              <w:rPr>
                <w:noProof/>
              </w:rPr>
              <w:t>2) Muutetaan I osa seuraavasti:</w:t>
            </w:r>
          </w:p>
          <w:p>
            <w:pPr>
              <w:pStyle w:val="Point1letter"/>
              <w:numPr>
                <w:ilvl w:val="3"/>
                <w:numId w:val="31"/>
              </w:numPr>
              <w:rPr>
                <w:noProof/>
              </w:rPr>
            </w:pPr>
            <w:r>
              <w:rPr>
                <w:noProof/>
              </w:rPr>
              <w:t>Muutetaan taulukko seuraavasti:</w:t>
            </w:r>
          </w:p>
          <w:p>
            <w:pPr>
              <w:pStyle w:val="Point2letter"/>
              <w:numPr>
                <w:ilvl w:val="5"/>
                <w:numId w:val="0"/>
              </w:numPr>
              <w:ind w:left="1868"/>
              <w:rPr>
                <w:noProof/>
              </w:rPr>
            </w:pPr>
            <w:r>
              <w:rPr>
                <w:noProof/>
              </w:rPr>
              <w:t>i) lisätään seuraava kohta asianmukaiseen luetelmakohdan numeron mukaiseen paikkaan:</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noProof/>
                <w:szCs w:val="24"/>
              </w:rPr>
            </w:pPr>
            <w:r>
              <w:rPr>
                <w:noProof/>
              </w:rPr>
              <w:t>”55A</w:t>
            </w:r>
          </w:p>
        </w:tc>
        <w:tc>
          <w:tcPr>
            <w:tcW w:w="1604" w:type="dxa"/>
            <w:gridSpan w:val="6"/>
          </w:tcPr>
          <w:p>
            <w:pPr>
              <w:spacing w:before="60" w:after="60"/>
              <w:jc w:val="left"/>
              <w:rPr>
                <w:noProof/>
                <w:szCs w:val="24"/>
              </w:rPr>
            </w:pPr>
            <w:r>
              <w:rPr>
                <w:noProof/>
              </w:rPr>
              <w:t>Pylvässivutörmäys</w:t>
            </w:r>
          </w:p>
        </w:tc>
        <w:tc>
          <w:tcPr>
            <w:tcW w:w="1122" w:type="dxa"/>
            <w:gridSpan w:val="8"/>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135</w:t>
            </w:r>
          </w:p>
        </w:tc>
        <w:tc>
          <w:tcPr>
            <w:tcW w:w="533" w:type="dxa"/>
            <w:gridSpan w:val="7"/>
          </w:tcPr>
          <w:p>
            <w:pPr>
              <w:spacing w:before="60" w:after="60"/>
              <w:rPr>
                <w:noProof/>
                <w:szCs w:val="24"/>
              </w:rPr>
            </w:pPr>
            <w:r>
              <w:rPr>
                <w:noProof/>
              </w:rPr>
              <w:t>X</w:t>
            </w:r>
          </w:p>
        </w:tc>
        <w:tc>
          <w:tcPr>
            <w:tcW w:w="532" w:type="dxa"/>
            <w:gridSpan w:val="5"/>
          </w:tcPr>
          <w:p>
            <w:pPr>
              <w:spacing w:before="60" w:after="60"/>
              <w:rPr>
                <w:noProof/>
                <w:szCs w:val="24"/>
              </w:rPr>
            </w:pPr>
          </w:p>
        </w:tc>
        <w:tc>
          <w:tcPr>
            <w:tcW w:w="532" w:type="dxa"/>
            <w:gridSpan w:val="6"/>
          </w:tcPr>
          <w:p>
            <w:pPr>
              <w:spacing w:before="60" w:after="60"/>
              <w:rPr>
                <w:noProof/>
                <w:szCs w:val="24"/>
              </w:rPr>
            </w:pPr>
          </w:p>
        </w:tc>
        <w:tc>
          <w:tcPr>
            <w:tcW w:w="532" w:type="dxa"/>
            <w:gridSpan w:val="8"/>
          </w:tcPr>
          <w:p>
            <w:pPr>
              <w:spacing w:before="60" w:after="60"/>
              <w:rPr>
                <w:noProof/>
                <w:szCs w:val="24"/>
              </w:rPr>
            </w:pPr>
            <w:r>
              <w:rPr>
                <w:noProof/>
              </w:rPr>
              <w:t>X”</w:t>
            </w:r>
          </w:p>
        </w:tc>
        <w:tc>
          <w:tcPr>
            <w:tcW w:w="531" w:type="dxa"/>
            <w:gridSpan w:val="7"/>
          </w:tcPr>
          <w:p>
            <w:pPr>
              <w:spacing w:before="60" w:after="60"/>
              <w:rPr>
                <w:noProof/>
                <w:szCs w:val="24"/>
              </w:rPr>
            </w:pPr>
          </w:p>
        </w:tc>
        <w:tc>
          <w:tcPr>
            <w:tcW w:w="532" w:type="dxa"/>
            <w:gridSpan w:val="7"/>
          </w:tcPr>
          <w:p>
            <w:pPr>
              <w:spacing w:before="60" w:after="60"/>
              <w:rPr>
                <w:noProof/>
                <w:szCs w:val="24"/>
              </w:rPr>
            </w:pPr>
          </w:p>
        </w:tc>
        <w:tc>
          <w:tcPr>
            <w:tcW w:w="538" w:type="dxa"/>
            <w:gridSpan w:val="6"/>
          </w:tcPr>
          <w:p>
            <w:pPr>
              <w:spacing w:before="60" w:after="60"/>
              <w:rPr>
                <w:noProof/>
                <w:szCs w:val="24"/>
              </w:rPr>
            </w:pPr>
          </w:p>
        </w:tc>
        <w:tc>
          <w:tcPr>
            <w:tcW w:w="532" w:type="dxa"/>
            <w:gridSpan w:val="7"/>
          </w:tcPr>
          <w:p>
            <w:pPr>
              <w:spacing w:before="60" w:after="60"/>
              <w:rPr>
                <w:noProof/>
                <w:szCs w:val="24"/>
              </w:rPr>
            </w:pPr>
          </w:p>
        </w:tc>
        <w:tc>
          <w:tcPr>
            <w:tcW w:w="532" w:type="dxa"/>
            <w:gridSpan w:val="6"/>
          </w:tcPr>
          <w:p>
            <w:pPr>
              <w:spacing w:before="60" w:after="60"/>
              <w:rPr>
                <w:noProof/>
                <w:szCs w:val="24"/>
              </w:rPr>
            </w:pPr>
          </w:p>
        </w:tc>
        <w:tc>
          <w:tcPr>
            <w:tcW w:w="532" w:type="dxa"/>
            <w:gridSpan w:val="10"/>
          </w:tcPr>
          <w:p>
            <w:pPr>
              <w:spacing w:before="60" w:after="60"/>
              <w:rPr>
                <w:noProof/>
                <w:szCs w:val="24"/>
                <w:highlight w:val="lightGray"/>
              </w:rPr>
            </w:pPr>
          </w:p>
        </w:tc>
        <w:tc>
          <w:tcPr>
            <w:tcW w:w="930" w:type="dxa"/>
            <w:gridSpan w:val="11"/>
          </w:tcPr>
          <w:p>
            <w:pPr>
              <w:spacing w:before="60" w:after="60"/>
              <w:rPr>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tcPr>
          <w:p>
            <w:pPr>
              <w:pStyle w:val="Point2letter"/>
              <w:numPr>
                <w:ilvl w:val="5"/>
                <w:numId w:val="0"/>
              </w:numPr>
              <w:ind w:left="1984" w:hanging="567"/>
              <w:rPr>
                <w:noProof/>
              </w:rPr>
            </w:pPr>
            <w:r>
              <w:rPr>
                <w:noProof/>
              </w:rPr>
              <w:t>ii) korvataan 58 kohta seuraavasti:</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”58</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Jalankulkijoiden suojelu</w:t>
            </w:r>
          </w:p>
        </w:tc>
        <w:tc>
          <w:tcPr>
            <w:tcW w:w="1122" w:type="dxa"/>
            <w:gridSpan w:val="8"/>
            <w:tcBorders>
              <w:top w:val="single" w:sz="6" w:space="0" w:color="auto"/>
              <w:bottom w:val="single" w:sz="6" w:space="0" w:color="auto"/>
            </w:tcBorders>
            <w:shd w:val="clear" w:color="auto" w:fill="auto"/>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noProof/>
                <w:szCs w:val="24"/>
                <w:vertAlign w:val="superscript"/>
              </w:rPr>
            </w:pPr>
            <w:r>
              <w:rPr>
                <w:noProof/>
              </w:rPr>
              <w:t>E-sääntö nro 127</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1"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8"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10"/>
            <w:tcBorders>
              <w:top w:val="single" w:sz="6" w:space="0" w:color="auto"/>
              <w:bottom w:val="single" w:sz="6" w:space="0" w:color="auto"/>
            </w:tcBorders>
            <w:shd w:val="clear" w:color="auto" w:fill="auto"/>
          </w:tcPr>
          <w:p>
            <w:pPr>
              <w:spacing w:before="60" w:after="60"/>
              <w:rPr>
                <w:rFonts w:eastAsia="Arial Unicode MS"/>
                <w:noProof/>
                <w:szCs w:val="24"/>
              </w:rPr>
            </w:pP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tcPr>
          <w:p>
            <w:pPr>
              <w:pStyle w:val="Point0"/>
              <w:jc w:val="left"/>
              <w:rPr>
                <w:noProof/>
                <w:szCs w:val="24"/>
              </w:rPr>
            </w:pPr>
            <w:r>
              <w:rPr>
                <w:noProof/>
              </w:rPr>
              <w:tab/>
            </w:r>
            <w:r>
              <w:rPr>
                <w:noProof/>
              </w:rPr>
              <w:tab/>
              <w:t>iii) korvataan 62 ja 63 kohta seuraavasti:</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”62</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Vetyjärjestelmä</w:t>
            </w:r>
          </w:p>
        </w:tc>
        <w:tc>
          <w:tcPr>
            <w:tcW w:w="1122" w:type="dxa"/>
            <w:gridSpan w:val="8"/>
            <w:tcBorders>
              <w:top w:val="single" w:sz="6" w:space="0" w:color="auto"/>
              <w:bottom w:val="single" w:sz="6" w:space="0" w:color="auto"/>
            </w:tcBorders>
            <w:shd w:val="clear" w:color="auto" w:fill="auto"/>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134</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1"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8"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10"/>
            <w:tcBorders>
              <w:top w:val="single" w:sz="6" w:space="0" w:color="auto"/>
              <w:bottom w:val="single" w:sz="6" w:space="0" w:color="auto"/>
            </w:tcBorders>
            <w:shd w:val="clear" w:color="auto" w:fill="auto"/>
          </w:tcPr>
          <w:p>
            <w:pPr>
              <w:spacing w:before="60" w:after="60"/>
              <w:rPr>
                <w:rFonts w:eastAsia="Arial Unicode MS"/>
                <w:noProof/>
                <w:szCs w:val="24"/>
              </w:rPr>
            </w:pP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63</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 xml:space="preserve">Yleinen turvallisuus </w:t>
            </w:r>
          </w:p>
        </w:tc>
        <w:tc>
          <w:tcPr>
            <w:tcW w:w="1122" w:type="dxa"/>
            <w:gridSpan w:val="8"/>
            <w:tcBorders>
              <w:top w:val="single" w:sz="6" w:space="0" w:color="auto"/>
              <w:bottom w:val="single" w:sz="6" w:space="0" w:color="auto"/>
            </w:tcBorders>
            <w:shd w:val="clear" w:color="auto" w:fill="auto"/>
          </w:tcPr>
          <w:p>
            <w:pPr>
              <w:spacing w:before="60" w:after="60"/>
              <w:jc w:val="left"/>
              <w:rPr>
                <w:noProof/>
                <w:szCs w:val="24"/>
              </w:rPr>
            </w:pPr>
            <w:r>
              <w:rPr>
                <w:noProof/>
              </w:rPr>
              <w:t>Asetus (EU) 2019/…</w:t>
            </w:r>
            <w:r>
              <w:rPr>
                <w:noProof/>
                <w:vertAlign w:val="superscript"/>
              </w:rPr>
              <w:t>+</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5"/>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1"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8"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10"/>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r>
              <w:rPr>
                <w:noProof/>
                <w:vertAlign w:val="superscript"/>
              </w:rPr>
              <w:t>(15)</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br w:type="page"/>
            </w:r>
          </w:p>
        </w:tc>
        <w:tc>
          <w:tcPr>
            <w:tcW w:w="8996" w:type="dxa"/>
            <w:gridSpan w:val="99"/>
            <w:tcBorders>
              <w:top w:val="nil"/>
              <w:left w:val="nil"/>
              <w:bottom w:val="nil"/>
              <w:right w:val="nil"/>
            </w:tcBorders>
          </w:tcPr>
          <w:p>
            <w:pPr>
              <w:pStyle w:val="Point0"/>
              <w:ind w:left="0" w:firstLine="0"/>
              <w:jc w:val="left"/>
              <w:rPr>
                <w:noProof/>
                <w:szCs w:val="24"/>
              </w:rPr>
            </w:pPr>
            <w:r>
              <w:rPr>
                <w:noProof/>
              </w:rPr>
              <w:tab/>
            </w:r>
            <w:r>
              <w:rPr>
                <w:noProof/>
              </w:rPr>
              <w:tab/>
              <w:t>iv) korvataan 65 ja 66 kohta seuraavasti:</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rFonts w:eastAsia="Arial Unicode MS"/>
                <w:noProof/>
                <w:szCs w:val="24"/>
              </w:rPr>
            </w:pPr>
            <w:r>
              <w:rPr>
                <w:noProof/>
              </w:rPr>
              <w:t>”65</w:t>
            </w:r>
          </w:p>
        </w:tc>
        <w:tc>
          <w:tcPr>
            <w:tcW w:w="1604" w:type="dxa"/>
            <w:gridSpan w:val="6"/>
          </w:tcPr>
          <w:p>
            <w:pPr>
              <w:spacing w:before="60" w:after="60"/>
              <w:jc w:val="left"/>
              <w:rPr>
                <w:rFonts w:eastAsia="Arial Unicode MS"/>
                <w:noProof/>
                <w:szCs w:val="24"/>
              </w:rPr>
            </w:pPr>
            <w:r>
              <w:rPr>
                <w:noProof/>
              </w:rPr>
              <w:t>Kehittyneet hätäjarrutusjärjestelmät</w:t>
            </w:r>
          </w:p>
        </w:tc>
        <w:tc>
          <w:tcPr>
            <w:tcW w:w="1122" w:type="dxa"/>
            <w:gridSpan w:val="8"/>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noProof/>
                <w:szCs w:val="24"/>
                <w:vertAlign w:val="superscript"/>
              </w:rPr>
            </w:pPr>
            <w:r>
              <w:rPr>
                <w:noProof/>
              </w:rPr>
              <w:t>E-sääntö nro 131</w:t>
            </w:r>
          </w:p>
        </w:tc>
        <w:tc>
          <w:tcPr>
            <w:tcW w:w="533" w:type="dxa"/>
            <w:gridSpan w:val="7"/>
          </w:tcPr>
          <w:p>
            <w:pPr>
              <w:spacing w:before="60" w:after="60"/>
              <w:rPr>
                <w:rFonts w:eastAsia="Arial Unicode MS"/>
                <w:noProof/>
                <w:szCs w:val="24"/>
              </w:rPr>
            </w:pPr>
          </w:p>
        </w:tc>
        <w:tc>
          <w:tcPr>
            <w:tcW w:w="532" w:type="dxa"/>
            <w:gridSpan w:val="5"/>
          </w:tcPr>
          <w:p>
            <w:pPr>
              <w:spacing w:before="60" w:after="60"/>
              <w:rPr>
                <w:rFonts w:eastAsia="Arial Unicode MS"/>
                <w:noProof/>
                <w:szCs w:val="24"/>
              </w:rPr>
            </w:pPr>
            <w:r>
              <w:rPr>
                <w:noProof/>
              </w:rPr>
              <w:t>X</w:t>
            </w:r>
          </w:p>
        </w:tc>
        <w:tc>
          <w:tcPr>
            <w:tcW w:w="532" w:type="dxa"/>
            <w:gridSpan w:val="6"/>
          </w:tcPr>
          <w:p>
            <w:pPr>
              <w:spacing w:before="60" w:after="60"/>
              <w:rPr>
                <w:rFonts w:eastAsia="Arial Unicode MS"/>
                <w:noProof/>
                <w:szCs w:val="24"/>
              </w:rPr>
            </w:pPr>
            <w:r>
              <w:rPr>
                <w:noProof/>
              </w:rPr>
              <w:t>X</w:t>
            </w:r>
          </w:p>
        </w:tc>
        <w:tc>
          <w:tcPr>
            <w:tcW w:w="532" w:type="dxa"/>
            <w:gridSpan w:val="8"/>
          </w:tcPr>
          <w:p>
            <w:pPr>
              <w:spacing w:before="60" w:after="60"/>
              <w:rPr>
                <w:rFonts w:eastAsia="Arial Unicode MS"/>
                <w:noProof/>
                <w:szCs w:val="24"/>
              </w:rPr>
            </w:pPr>
          </w:p>
        </w:tc>
        <w:tc>
          <w:tcPr>
            <w:tcW w:w="531" w:type="dxa"/>
            <w:gridSpan w:val="7"/>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r>
              <w:rPr>
                <w:noProof/>
              </w:rPr>
              <w:t>X</w:t>
            </w:r>
          </w:p>
        </w:tc>
        <w:tc>
          <w:tcPr>
            <w:tcW w:w="538" w:type="dxa"/>
            <w:gridSpan w:val="6"/>
          </w:tcPr>
          <w:p>
            <w:pPr>
              <w:spacing w:before="60" w:after="60"/>
              <w:rPr>
                <w:rFonts w:eastAsia="Arial Unicode MS"/>
                <w:noProof/>
                <w:szCs w:val="24"/>
              </w:rPr>
            </w:pPr>
          </w:p>
        </w:tc>
        <w:tc>
          <w:tcPr>
            <w:tcW w:w="532"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532" w:type="dxa"/>
            <w:gridSpan w:val="10"/>
          </w:tcPr>
          <w:p>
            <w:pPr>
              <w:spacing w:before="60" w:after="60"/>
              <w:rPr>
                <w:rFonts w:eastAsia="Arial Unicode MS"/>
                <w:noProof/>
                <w:szCs w:val="24"/>
              </w:rPr>
            </w:pPr>
          </w:p>
        </w:tc>
        <w:tc>
          <w:tcPr>
            <w:tcW w:w="930" w:type="dxa"/>
            <w:gridSpan w:val="11"/>
          </w:tcPr>
          <w:p>
            <w:pPr>
              <w:spacing w:before="60" w:after="60"/>
              <w:rPr>
                <w:rFonts w:eastAsia="Arial Unicode MS"/>
                <w:noProof/>
                <w:szCs w:val="24"/>
              </w:rPr>
            </w:pP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rFonts w:eastAsia="Arial Unicode MS"/>
                <w:noProof/>
                <w:szCs w:val="24"/>
              </w:rPr>
            </w:pPr>
            <w:r>
              <w:rPr>
                <w:noProof/>
              </w:rPr>
              <w:t>66</w:t>
            </w:r>
          </w:p>
        </w:tc>
        <w:tc>
          <w:tcPr>
            <w:tcW w:w="1604" w:type="dxa"/>
            <w:gridSpan w:val="6"/>
          </w:tcPr>
          <w:p>
            <w:pPr>
              <w:spacing w:before="60" w:after="60"/>
              <w:jc w:val="left"/>
              <w:rPr>
                <w:rFonts w:eastAsia="Arial Unicode MS"/>
                <w:noProof/>
                <w:szCs w:val="24"/>
              </w:rPr>
            </w:pPr>
            <w:r>
              <w:rPr>
                <w:noProof/>
              </w:rPr>
              <w:t>Kaistavahtijärjestelmä</w:t>
            </w:r>
          </w:p>
        </w:tc>
        <w:tc>
          <w:tcPr>
            <w:tcW w:w="1122" w:type="dxa"/>
            <w:gridSpan w:val="8"/>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noProof/>
                <w:szCs w:val="24"/>
                <w:vertAlign w:val="superscript"/>
              </w:rPr>
            </w:pPr>
            <w:r>
              <w:rPr>
                <w:noProof/>
              </w:rPr>
              <w:t>E-sääntö nro 130</w:t>
            </w:r>
          </w:p>
        </w:tc>
        <w:tc>
          <w:tcPr>
            <w:tcW w:w="533" w:type="dxa"/>
            <w:gridSpan w:val="7"/>
          </w:tcPr>
          <w:p>
            <w:pPr>
              <w:spacing w:before="60" w:after="60"/>
              <w:rPr>
                <w:rFonts w:eastAsia="Arial Unicode MS"/>
                <w:noProof/>
                <w:szCs w:val="24"/>
              </w:rPr>
            </w:pPr>
          </w:p>
        </w:tc>
        <w:tc>
          <w:tcPr>
            <w:tcW w:w="532" w:type="dxa"/>
            <w:gridSpan w:val="5"/>
          </w:tcPr>
          <w:p>
            <w:pPr>
              <w:spacing w:before="60" w:after="60"/>
              <w:rPr>
                <w:rFonts w:eastAsia="Arial Unicode MS"/>
                <w:noProof/>
                <w:szCs w:val="24"/>
              </w:rPr>
            </w:pPr>
            <w:r>
              <w:rPr>
                <w:noProof/>
              </w:rPr>
              <w:t>X</w:t>
            </w:r>
          </w:p>
        </w:tc>
        <w:tc>
          <w:tcPr>
            <w:tcW w:w="532" w:type="dxa"/>
            <w:gridSpan w:val="6"/>
          </w:tcPr>
          <w:p>
            <w:pPr>
              <w:spacing w:before="60" w:after="60"/>
              <w:rPr>
                <w:rFonts w:eastAsia="Arial Unicode MS"/>
                <w:noProof/>
                <w:szCs w:val="24"/>
              </w:rPr>
            </w:pPr>
            <w:r>
              <w:rPr>
                <w:noProof/>
              </w:rPr>
              <w:t>X</w:t>
            </w:r>
          </w:p>
        </w:tc>
        <w:tc>
          <w:tcPr>
            <w:tcW w:w="532" w:type="dxa"/>
            <w:gridSpan w:val="8"/>
          </w:tcPr>
          <w:p>
            <w:pPr>
              <w:spacing w:before="60" w:after="60"/>
              <w:rPr>
                <w:rFonts w:eastAsia="Arial Unicode MS"/>
                <w:noProof/>
                <w:szCs w:val="24"/>
              </w:rPr>
            </w:pPr>
          </w:p>
        </w:tc>
        <w:tc>
          <w:tcPr>
            <w:tcW w:w="531" w:type="dxa"/>
            <w:gridSpan w:val="7"/>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r>
              <w:rPr>
                <w:noProof/>
              </w:rPr>
              <w:t>X”</w:t>
            </w:r>
          </w:p>
        </w:tc>
        <w:tc>
          <w:tcPr>
            <w:tcW w:w="538" w:type="dxa"/>
            <w:gridSpan w:val="6"/>
          </w:tcPr>
          <w:p>
            <w:pPr>
              <w:spacing w:before="60" w:after="60"/>
              <w:rPr>
                <w:rFonts w:eastAsia="Arial Unicode MS"/>
                <w:noProof/>
                <w:szCs w:val="24"/>
              </w:rPr>
            </w:pPr>
          </w:p>
        </w:tc>
        <w:tc>
          <w:tcPr>
            <w:tcW w:w="532"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532" w:type="dxa"/>
            <w:gridSpan w:val="10"/>
          </w:tcPr>
          <w:p>
            <w:pPr>
              <w:spacing w:before="60" w:after="60"/>
              <w:rPr>
                <w:rFonts w:eastAsia="Arial Unicode MS"/>
                <w:noProof/>
                <w:szCs w:val="24"/>
              </w:rPr>
            </w:pPr>
          </w:p>
        </w:tc>
        <w:tc>
          <w:tcPr>
            <w:tcW w:w="930" w:type="dxa"/>
            <w:gridSpan w:val="11"/>
          </w:tcPr>
          <w:p>
            <w:pPr>
              <w:spacing w:before="60" w:after="60"/>
              <w:rPr>
                <w:rFonts w:eastAsia="Arial Unicode MS"/>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vMerge w:val="restart"/>
            <w:tcBorders>
              <w:top w:val="nil"/>
              <w:left w:val="nil"/>
              <w:right w:val="nil"/>
            </w:tcBorders>
          </w:tcPr>
          <w:p>
            <w:pPr>
              <w:pStyle w:val="Point0"/>
              <w:ind w:left="531" w:hanging="531"/>
              <w:rPr>
                <w:noProof/>
                <w:szCs w:val="24"/>
              </w:rPr>
            </w:pPr>
            <w:r>
              <w:rPr>
                <w:noProof/>
              </w:rPr>
              <w:tab/>
              <w:t>b) muutetaan selittävät huomautukset seuraavasti:</w:t>
            </w:r>
          </w:p>
          <w:p>
            <w:pPr>
              <w:pStyle w:val="Point0"/>
              <w:rPr>
                <w:noProof/>
                <w:szCs w:val="24"/>
              </w:rPr>
            </w:pPr>
            <w:r>
              <w:rPr>
                <w:noProof/>
              </w:rPr>
              <w:tab/>
              <w:t>i) korvataan selittävät huomautukset 3 ja 4 seuraavasti:</w:t>
            </w:r>
          </w:p>
          <w:p>
            <w:pPr>
              <w:pStyle w:val="Point0"/>
              <w:ind w:left="1948" w:hanging="425"/>
              <w:rPr>
                <w:noProof/>
                <w:szCs w:val="24"/>
              </w:rPr>
            </w:pPr>
            <w:r>
              <w:rPr>
                <w:noProof/>
              </w:rPr>
              <w:t>”(</w:t>
            </w:r>
            <w:r>
              <w:rPr>
                <w:noProof/>
                <w:vertAlign w:val="superscript"/>
              </w:rPr>
              <w:t>3</w:t>
            </w:r>
            <w:r>
              <w:rPr>
                <w:noProof/>
              </w:rPr>
              <w:t>) Ajoneuvot on asetuksen (EU) 2019/…</w:t>
            </w:r>
            <w:r>
              <w:rPr>
                <w:noProof/>
                <w:vertAlign w:val="superscript"/>
              </w:rPr>
              <w:t>+</w:t>
            </w:r>
            <w:r>
              <w:rPr>
                <w:noProof/>
              </w:rPr>
              <w:t xml:space="preserve"> 4 artiklan 5 kohdan mukaisesti varustettava ajonvakautustoiminnolla.</w:t>
            </w:r>
          </w:p>
          <w:p>
            <w:pPr>
              <w:pStyle w:val="Point0"/>
              <w:ind w:left="1948" w:hanging="424"/>
              <w:rPr>
                <w:noProof/>
                <w:szCs w:val="24"/>
                <w:vertAlign w:val="superscript"/>
              </w:rPr>
            </w:pPr>
            <w:r>
              <w:rPr>
                <w:noProof/>
              </w:rPr>
              <w:t>(</w:t>
            </w:r>
            <w:r>
              <w:rPr>
                <w:noProof/>
                <w:vertAlign w:val="superscript"/>
              </w:rPr>
              <w:t>4</w:t>
            </w:r>
            <w:r>
              <w:rPr>
                <w:noProof/>
              </w:rPr>
              <w:t>) Ajoneuvot on asetuksen (EU) 2019/…</w:t>
            </w:r>
            <w:r>
              <w:rPr>
                <w:noProof/>
                <w:vertAlign w:val="superscript"/>
              </w:rPr>
              <w:t>+</w:t>
            </w:r>
            <w:r>
              <w:rPr>
                <w:noProof/>
              </w:rPr>
              <w:t xml:space="preserve"> 4 artiklan 5 kohdan mukaisesti varustettava elektronisella ajonvakautusjärjestelmällä.</w:t>
            </w:r>
          </w:p>
          <w:p>
            <w:pPr>
              <w:pStyle w:val="Point1"/>
              <w:rPr>
                <w:noProof/>
                <w:vertAlign w:val="superscript"/>
              </w:rPr>
            </w:pPr>
            <w:r>
              <w:rPr>
                <w:noProof/>
              </w:rPr>
              <w:t>ii) korvataan selittävä huomautus 9A seuraavasti:</w:t>
            </w:r>
          </w:p>
          <w:p>
            <w:pPr>
              <w:pStyle w:val="Point0"/>
              <w:ind w:left="1948" w:hanging="424"/>
              <w:rPr>
                <w:noProof/>
                <w:szCs w:val="24"/>
              </w:rPr>
            </w:pPr>
            <w:r>
              <w:rPr>
                <w:noProof/>
              </w:rPr>
              <w:t>(</w:t>
            </w:r>
            <w:r>
              <w:rPr>
                <w:noProof/>
                <w:vertAlign w:val="superscript"/>
              </w:rPr>
              <w:t>9A</w:t>
            </w:r>
            <w:r>
              <w:rPr>
                <w:noProof/>
              </w:rPr>
              <w:t>)</w:t>
            </w:r>
            <w:r>
              <w:rPr>
                <w:noProof/>
              </w:rPr>
              <w:tab/>
              <w:t>Ajoneuvot on asetuksen (EU) 2019/…</w:t>
            </w:r>
            <w:r>
              <w:rPr>
                <w:noProof/>
                <w:vertAlign w:val="superscript"/>
              </w:rPr>
              <w:t>+</w:t>
            </w:r>
            <w:r>
              <w:rPr>
                <w:noProof/>
              </w:rPr>
              <w:t xml:space="preserve"> 5 artiklan 1 kohdan mukaisesti varustettava rengaspaineen seurantajärjestelmällä.”</w:t>
            </w:r>
          </w:p>
          <w:p>
            <w:pPr>
              <w:pStyle w:val="Point0"/>
              <w:rPr>
                <w:noProof/>
                <w:szCs w:val="24"/>
              </w:rPr>
            </w:pPr>
            <w:r>
              <w:rPr>
                <w:noProof/>
              </w:rPr>
              <w:tab/>
              <w:t>iii) korvataan selittävä huomautus 15 seuraavasti:</w:t>
            </w:r>
          </w:p>
          <w:p>
            <w:pPr>
              <w:pStyle w:val="Point0"/>
              <w:ind w:left="1948" w:hanging="425"/>
              <w:rPr>
                <w:noProof/>
                <w:szCs w:val="24"/>
              </w:rPr>
            </w:pPr>
            <w:r>
              <w:rPr>
                <w:noProof/>
              </w:rPr>
              <w:t>”(</w:t>
            </w:r>
            <w:r>
              <w:rPr>
                <w:noProof/>
                <w:vertAlign w:val="superscript"/>
              </w:rPr>
              <w:t>15</w:t>
            </w:r>
            <w:r>
              <w:rPr>
                <w:noProof/>
              </w:rPr>
              <w:t>)</w:t>
            </w:r>
            <w:r>
              <w:rPr>
                <w:noProof/>
              </w:rPr>
              <w:tab/>
              <w:t>Asetuksen (EU) 2019/…</w:t>
            </w:r>
            <w:r>
              <w:rPr>
                <w:noProof/>
                <w:vertAlign w:val="superscript"/>
              </w:rPr>
              <w:t>+</w:t>
            </w:r>
            <w:r>
              <w:rPr>
                <w:noProof/>
              </w:rPr>
              <w:t xml:space="preserve"> noudattaminen on pakollista. Tyyppihyväksynnän ei kuitenkaan ole tarkoitus perustua tähän kohtaan, koska kohta edustaa muualla tässä taulukossa lueteltujen yksittäisten kohtien yhdistelmää, ja näissä kohdissa viitataan asetukseen (EU) 2019/...</w:t>
            </w:r>
            <w:r>
              <w:rPr>
                <w:noProof/>
                <w:vertAlign w:val="superscript"/>
              </w:rPr>
              <w:t>+</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vMerge/>
            <w:tcBorders>
              <w:left w:val="nil"/>
              <w:bottom w:val="nil"/>
              <w:right w:val="nil"/>
            </w:tcBorders>
          </w:tcPr>
          <w:p>
            <w:pPr>
              <w:pStyle w:val="Point0"/>
              <w:ind w:left="596" w:hanging="596"/>
              <w:rPr>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3)</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Muutetaan lisäyksessä 1 olevan I osan taulukko 1 seuraavasti:</w:t>
            </w:r>
          </w:p>
          <w:p>
            <w:pPr>
              <w:pStyle w:val="Point0"/>
              <w:ind w:left="596" w:hanging="596"/>
              <w:rPr>
                <w:noProof/>
                <w:szCs w:val="24"/>
              </w:rPr>
            </w:pPr>
            <w:r>
              <w:rPr>
                <w:noProof/>
              </w:rPr>
              <w:t>a) korvataan 46A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”46A</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Renkaiden asennus</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142</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B”</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 xml:space="preserve"> b) korvataan 58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Jalankulkijoiden suojelu</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127</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 xml:space="preserve"> c) korvataan 62 ja 63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Vetyjärjestelmä</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134</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1747" w:type="dxa"/>
            <w:gridSpan w:val="11"/>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 xml:space="preserve">Yleinen turvallisuus </w:t>
            </w:r>
          </w:p>
        </w:tc>
        <w:tc>
          <w:tcPr>
            <w:tcW w:w="1266" w:type="dxa"/>
            <w:gridSpan w:val="9"/>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tc>
        <w:tc>
          <w:tcPr>
            <w:tcW w:w="2576" w:type="dxa"/>
            <w:gridSpan w:val="36"/>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Asetuksen (EU) 2019/…</w:t>
            </w:r>
            <w:r>
              <w:rPr>
                <w:noProof/>
                <w:vertAlign w:val="superscript"/>
              </w:rPr>
              <w:t>+</w:t>
            </w:r>
            <w:r>
              <w:rPr>
                <w:noProof/>
              </w:rPr>
              <w:t xml:space="preserve"> noudattaminen on pakollista. Tyyppihyväksynnän ei kuitenkaan ole tarkoitus perustua tähän kohtaan, koska kohta edustaa muualla tässä taulukossa lueteltujen yksittäisten kohtien yhdistelmää, ja näissä kohdissa viitataan asetukseen (EU) 2019/...</w:t>
            </w:r>
            <w:r>
              <w:rPr>
                <w:noProof/>
                <w:vertAlign w:val="superscript"/>
              </w:rPr>
              <w:t>+</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4)</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 xml:space="preserve"> Poistetaan lisäyksessä 1 olevan taulukon 1 selittävien huomautusten viimeinen kappale.</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5)</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Muutetaan lisäyksessä 1 olevan I osan taulukko 2 seuraavasti:</w:t>
            </w:r>
          </w:p>
          <w:p>
            <w:pPr>
              <w:pStyle w:val="Point0"/>
              <w:ind w:left="596" w:hanging="596"/>
              <w:rPr>
                <w:noProof/>
                <w:szCs w:val="24"/>
              </w:rPr>
            </w:pPr>
            <w:r>
              <w:rPr>
                <w:noProof/>
              </w:rPr>
              <w:t>a) korvataan 46A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”46A</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Renkaiden asennus</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142</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B”</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b) korvataan 58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Jalankulkijoiden suojelu</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127</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 xml:space="preserve"> c) korvataan 62 ja 63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Vetyjärjestelmä</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134</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1747" w:type="dxa"/>
            <w:gridSpan w:val="11"/>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Yleinen turvallisuus</w:t>
            </w:r>
          </w:p>
        </w:tc>
        <w:tc>
          <w:tcPr>
            <w:tcW w:w="1266" w:type="dxa"/>
            <w:gridSpan w:val="9"/>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tc>
        <w:tc>
          <w:tcPr>
            <w:tcW w:w="2576" w:type="dxa"/>
            <w:gridSpan w:val="36"/>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Asetuksen (EU) 2019/…</w:t>
            </w:r>
            <w:r>
              <w:rPr>
                <w:noProof/>
                <w:vertAlign w:val="superscript"/>
              </w:rPr>
              <w:t>+</w:t>
            </w:r>
            <w:r>
              <w:rPr>
                <w:noProof/>
              </w:rPr>
              <w:t xml:space="preserve"> noudattaminen on pakollista. Tyyppihyväksynnän ei kuitenkaan ole tarkoitus perustua tähän kohtaan, koska kohta edustaa muualla tässä taulukossa lueteltujen yksittäisten kohtien yhdistelmää, ja näissä kohdissa viitataan asetukseen (EU) 2019/...</w:t>
            </w:r>
            <w:r>
              <w:rPr>
                <w:noProof/>
                <w:vertAlign w:val="superscript"/>
              </w:rPr>
              <w:t>+</w:t>
            </w:r>
            <w:r>
              <w:rPr>
                <w:noProof/>
              </w:rPr>
              <w:t>.”</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6)</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Muutetaan lisäyksessä 2 olevan 4 kohdan I osa seuraavasti:</w:t>
            </w:r>
          </w:p>
          <w:p>
            <w:pPr>
              <w:pStyle w:val="Point0"/>
              <w:ind w:left="596" w:hanging="596"/>
              <w:rPr>
                <w:noProof/>
                <w:szCs w:val="24"/>
              </w:rPr>
            </w:pPr>
            <w:r>
              <w:rPr>
                <w:noProof/>
              </w:rPr>
              <w:t>a) muutetaan taulukko, jonka otsikko on ”I osa: M</w:t>
            </w:r>
            <w:r>
              <w:rPr>
                <w:noProof/>
                <w:vertAlign w:val="subscript"/>
              </w:rPr>
              <w:t>1</w:t>
            </w:r>
            <w:r>
              <w:rPr>
                <w:noProof/>
              </w:rPr>
              <w:t>-luokkaan kuuluvat ajoneuvot”, seuraavasti:</w:t>
            </w:r>
          </w:p>
          <w:p>
            <w:pPr>
              <w:pStyle w:val="Point0"/>
              <w:ind w:left="596" w:firstLine="8"/>
              <w:rPr>
                <w:noProof/>
                <w:szCs w:val="24"/>
              </w:rPr>
            </w:pPr>
            <w:r>
              <w:rPr>
                <w:noProof/>
              </w:rPr>
              <w:t>i) korvataan 58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582"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E-sääntö nro 127</w:t>
            </w:r>
          </w:p>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(Jalankulkijoiden suojelu)</w:t>
            </w:r>
          </w:p>
        </w:tc>
        <w:tc>
          <w:tcPr>
            <w:tcW w:w="5301" w:type="dxa"/>
            <w:gridSpan w:val="6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Ajoneuvot on varustettava kaikkiin pyöriin vaikuttavalla elektronisella lukkiutumattomalla jarrujärjestelmällä.</w:t>
            </w:r>
          </w:p>
          <w:p>
            <w:pPr>
              <w:spacing w:before="60" w:after="60"/>
              <w:rPr>
                <w:rFonts w:eastAsia="Arial Unicode MS"/>
                <w:bCs/>
                <w:noProof/>
                <w:szCs w:val="24"/>
              </w:rPr>
            </w:pPr>
            <w:r>
              <w:rPr>
                <w:noProof/>
              </w:rPr>
              <w:t>Sovelletaan E-säännön nro 127 vaatimuksia.</w:t>
            </w:r>
          </w:p>
          <w:p>
            <w:pPr>
              <w:spacing w:before="60" w:after="60"/>
              <w:rPr>
                <w:rFonts w:eastAsia="Arial Unicode MS"/>
                <w:bCs/>
                <w:noProof/>
                <w:szCs w:val="24"/>
              </w:rPr>
            </w:pPr>
            <w:r>
              <w:rPr>
                <w:noProof/>
              </w:rPr>
              <w:t>Etusuojajärjestelmän on oltava joko erottamaton osa ajoneuvoa, jolloin sen on oltava E-säännön nro 127 mukainen, tai tyyppihyväksytty erillisenä teknisenä yksikkönä.”</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firstLine="8"/>
              <w:rPr>
                <w:noProof/>
                <w:szCs w:val="24"/>
              </w:rPr>
            </w:pPr>
            <w:r>
              <w:rPr>
                <w:noProof/>
              </w:rPr>
              <w:t>ii) lisätään seuraava kohta asianmukaiseen luetelmakohdan numeron mukaiseen paikkaan: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582"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E-sääntö nro 134</w:t>
            </w:r>
          </w:p>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(Vetyjärjestelmä)</w:t>
            </w:r>
          </w:p>
        </w:tc>
        <w:tc>
          <w:tcPr>
            <w:tcW w:w="5301" w:type="dxa"/>
            <w:gridSpan w:val="6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Sovelletaan E-säännön nro 134 vaatimuksia.</w:t>
            </w:r>
          </w:p>
          <w:p>
            <w:pPr>
              <w:spacing w:before="60" w:after="60"/>
              <w:rPr>
                <w:rFonts w:eastAsia="Arial Unicode MS"/>
                <w:bCs/>
                <w:noProof/>
                <w:szCs w:val="24"/>
              </w:rPr>
            </w:pPr>
            <w:r>
              <w:rPr>
                <w:noProof/>
              </w:rPr>
              <w:t>Vaihtoehtoisesti on osoitettava, että ajoneuvo on seuraavien mukainen:</w:t>
            </w:r>
          </w:p>
          <w:p>
            <w:pPr>
              <w:pStyle w:val="ListParagraph"/>
              <w:numPr>
                <w:ilvl w:val="0"/>
                <w:numId w:val="30"/>
              </w:numPr>
              <w:spacing w:before="60" w:after="60"/>
              <w:ind w:left="420"/>
              <w:rPr>
                <w:rFonts w:eastAsia="Arial Unicode MS"/>
                <w:bCs/>
                <w:noProof/>
                <w:szCs w:val="24"/>
              </w:rPr>
            </w:pPr>
            <w:r>
              <w:rPr>
                <w:noProof/>
              </w:rPr>
              <w:t>asetuksen (EY) N:o 79/2009 aineelliset vaatimukset, sellaisena kuin asetusta sovelletaan [</w:t>
            </w:r>
            <w:r>
              <w:rPr>
                <w:i/>
                <w:noProof/>
              </w:rPr>
              <w:t>Julkaisutoimisto: lisätään tämän asetuksen voimaantulopäivää edeltävä päivä</w:t>
            </w:r>
            <w:r>
              <w:rPr>
                <w:noProof/>
              </w:rPr>
              <w:t>]</w:t>
            </w:r>
          </w:p>
          <w:p>
            <w:pPr>
              <w:pStyle w:val="ListParagraph"/>
              <w:numPr>
                <w:ilvl w:val="0"/>
                <w:numId w:val="30"/>
              </w:numPr>
              <w:spacing w:before="60" w:after="60"/>
              <w:ind w:left="420"/>
              <w:rPr>
                <w:rFonts w:eastAsia="Arial Unicode MS"/>
                <w:bCs/>
                <w:noProof/>
                <w:szCs w:val="24"/>
              </w:rPr>
            </w:pPr>
            <w:r>
              <w:rPr>
                <w:noProof/>
              </w:rPr>
              <w:t>Attachment 100 – Technical Standard For Fuel Systems Of Motor Vehicle Fueled By Compressed Hydrogen Gas (Japani) (Liite 100 – polttoaineenaan paineistettua vetykaasua käyttävien moottoriajoneuvojen polttoainejärjestelmiä koskeva tekninen standardi)</w:t>
            </w:r>
          </w:p>
          <w:p>
            <w:pPr>
              <w:pStyle w:val="ListParagraph"/>
              <w:numPr>
                <w:ilvl w:val="0"/>
                <w:numId w:val="30"/>
              </w:numPr>
              <w:spacing w:before="60" w:after="60"/>
              <w:ind w:left="420"/>
              <w:rPr>
                <w:rFonts w:eastAsia="Arial Unicode MS"/>
                <w:bCs/>
                <w:noProof/>
                <w:szCs w:val="24"/>
              </w:rPr>
            </w:pPr>
            <w:r>
              <w:rPr>
                <w:noProof/>
              </w:rPr>
              <w:t>GB/T 24549-2009 Fuel cell electric vehicles – safety requirements (Kiina) (polttokennokäyttöiset sähköajoneuvot – turvallisuusvaatimukset)</w:t>
            </w:r>
          </w:p>
          <w:p>
            <w:pPr>
              <w:pStyle w:val="ListParagraph"/>
              <w:numPr>
                <w:ilvl w:val="0"/>
                <w:numId w:val="30"/>
              </w:numPr>
              <w:spacing w:before="60" w:after="60"/>
              <w:ind w:left="420"/>
              <w:rPr>
                <w:rFonts w:eastAsia="Arial Unicode MS"/>
                <w:bCs/>
                <w:noProof/>
                <w:szCs w:val="24"/>
              </w:rPr>
            </w:pPr>
            <w:r>
              <w:rPr>
                <w:noProof/>
              </w:rPr>
              <w:t>kansainvälinen standardi ISO 23273:2013, osa 1: Vehicle functional safety (ajoneuvon toimintaturvallisuus) ja osa 2: Protection against hydrogen hazards for vehicles fuelled with compressed hydrogen (polttoaineenaan paineistettua vetykaasua käyttävien ajoneuvojen suojaaminen vetykaasun aiheuttamilta vaaroilta) tai</w:t>
            </w:r>
          </w:p>
          <w:p>
            <w:pPr>
              <w:pStyle w:val="ListParagraph"/>
              <w:numPr>
                <w:ilvl w:val="0"/>
                <w:numId w:val="30"/>
              </w:numPr>
              <w:spacing w:before="60" w:after="60"/>
              <w:ind w:left="420"/>
              <w:rPr>
                <w:rFonts w:eastAsia="Arial Unicode MS"/>
                <w:bCs/>
                <w:noProof/>
                <w:szCs w:val="24"/>
              </w:rPr>
            </w:pPr>
            <w:r>
              <w:rPr>
                <w:noProof/>
              </w:rPr>
              <w:t>SAE J2578 – General Fuel Cell Vehicle Safety (polttokennokäyttöisten ajoneuvojen yleinen turvallisuus)”</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b) muutetaan taulukko, jonka otsikko on ”II osa: N</w:t>
            </w:r>
            <w:r>
              <w:rPr>
                <w:noProof/>
                <w:vertAlign w:val="subscript"/>
              </w:rPr>
              <w:t>1</w:t>
            </w:r>
            <w:r>
              <w:rPr>
                <w:noProof/>
              </w:rPr>
              <w:t>-luokkaan kuuluvat ajoneuvot”, seuraavasti:</w:t>
            </w:r>
          </w:p>
          <w:p>
            <w:pPr>
              <w:pStyle w:val="Point0"/>
              <w:ind w:left="596" w:firstLine="8"/>
              <w:rPr>
                <w:noProof/>
                <w:szCs w:val="24"/>
              </w:rPr>
            </w:pPr>
            <w:r>
              <w:rPr>
                <w:noProof/>
              </w:rPr>
              <w:t>i) korvataan 58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582"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E-sääntö nro 127</w:t>
            </w:r>
          </w:p>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(Jalankulkijoiden suojelu)</w:t>
            </w:r>
          </w:p>
        </w:tc>
        <w:tc>
          <w:tcPr>
            <w:tcW w:w="5301" w:type="dxa"/>
            <w:gridSpan w:val="6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Ajoneuvot on varustettava kaikkiin pyöriin vaikuttavalla elektronisella lukkiutumattomalla jarrujärjestelmällä.</w:t>
            </w:r>
          </w:p>
          <w:p>
            <w:pPr>
              <w:spacing w:before="60" w:after="60"/>
              <w:rPr>
                <w:rFonts w:eastAsia="Arial Unicode MS"/>
                <w:bCs/>
                <w:noProof/>
                <w:szCs w:val="24"/>
              </w:rPr>
            </w:pPr>
            <w:r>
              <w:rPr>
                <w:noProof/>
              </w:rPr>
              <w:t>E-säännön nro 127 vaatimuksia sovelletaan.</w:t>
            </w:r>
          </w:p>
          <w:p>
            <w:pPr>
              <w:spacing w:before="60" w:after="60"/>
              <w:rPr>
                <w:rFonts w:eastAsia="Arial Unicode MS"/>
                <w:bCs/>
                <w:noProof/>
                <w:szCs w:val="24"/>
              </w:rPr>
            </w:pPr>
            <w:r>
              <w:rPr>
                <w:noProof/>
              </w:rPr>
              <w:t>Etusuojajärjestelmän on oltava joko erottamaton osa ajoneuvoa, jolloin sen on oltava E-säännön nro 127 mukainen, tai tyyppihyväksytty erillisenä teknisenä yksikkönä.”</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firstLine="8"/>
              <w:rPr>
                <w:noProof/>
                <w:szCs w:val="24"/>
              </w:rPr>
            </w:pPr>
            <w:r>
              <w:rPr>
                <w:noProof/>
              </w:rPr>
              <w:t>ii) lisätään seuraava kohta asianmukaiseen luetelmakohdan numeron mukaiseen paikkaan: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582" w:type="dxa"/>
            <w:gridSpan w:val="2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E-sääntö nro 134</w:t>
            </w:r>
          </w:p>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(Vetyjärjestelmä)</w:t>
            </w:r>
          </w:p>
        </w:tc>
        <w:tc>
          <w:tcPr>
            <w:tcW w:w="5301" w:type="dxa"/>
            <w:gridSpan w:val="68"/>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Sovelletaan E-säännön nro 134 vaatimuksia.</w:t>
            </w:r>
          </w:p>
          <w:p>
            <w:pPr>
              <w:spacing w:before="60" w:after="60"/>
              <w:rPr>
                <w:rFonts w:eastAsia="Arial Unicode MS"/>
                <w:bCs/>
                <w:noProof/>
                <w:szCs w:val="24"/>
              </w:rPr>
            </w:pPr>
            <w:r>
              <w:rPr>
                <w:noProof/>
              </w:rPr>
              <w:t>Vaihtoehtoisesti on osoitettava, että ajoneuvo on seuraavien mukainen:</w:t>
            </w:r>
          </w:p>
          <w:p>
            <w:pPr>
              <w:pStyle w:val="ListParagraph"/>
              <w:numPr>
                <w:ilvl w:val="0"/>
                <w:numId w:val="30"/>
              </w:numPr>
              <w:spacing w:before="60" w:after="60"/>
              <w:ind w:left="420"/>
              <w:rPr>
                <w:rFonts w:eastAsia="Arial Unicode MS"/>
                <w:bCs/>
                <w:noProof/>
                <w:szCs w:val="24"/>
              </w:rPr>
            </w:pPr>
            <w:r>
              <w:rPr>
                <w:noProof/>
              </w:rPr>
              <w:t>asetuksen (EY) N:o 79/2009 aineelliset vaatimukset, sellaisena kuin asetusta sovelletaan [</w:t>
            </w:r>
            <w:r>
              <w:rPr>
                <w:i/>
                <w:noProof/>
              </w:rPr>
              <w:t>Julkaisutoimisto: lisätään tämän asetuksen voimaantulopäivää edeltävä päivä</w:t>
            </w:r>
            <w:r>
              <w:rPr>
                <w:noProof/>
              </w:rPr>
              <w:t>]</w:t>
            </w:r>
          </w:p>
          <w:p>
            <w:pPr>
              <w:pStyle w:val="ListParagraph"/>
              <w:numPr>
                <w:ilvl w:val="0"/>
                <w:numId w:val="30"/>
              </w:numPr>
              <w:spacing w:before="60" w:after="60"/>
              <w:ind w:left="420"/>
              <w:rPr>
                <w:rFonts w:eastAsia="Arial Unicode MS"/>
                <w:bCs/>
                <w:noProof/>
                <w:szCs w:val="24"/>
              </w:rPr>
            </w:pPr>
            <w:r>
              <w:rPr>
                <w:noProof/>
              </w:rPr>
              <w:t>Attachment 100 – Technical Standard For Fuel Systems Of Motor Vehicle Fueled By Compressed Hydrogen Gas (Japani) (Liite 100 – polttoaineenaan paineistettua vetykaasua käyttävien moottoriajoneuvojen polttoainejärjestelmiä koskeva tekninen standardi)</w:t>
            </w:r>
          </w:p>
          <w:p>
            <w:pPr>
              <w:pStyle w:val="ListParagraph"/>
              <w:numPr>
                <w:ilvl w:val="0"/>
                <w:numId w:val="30"/>
              </w:numPr>
              <w:spacing w:before="60" w:after="60"/>
              <w:ind w:left="420"/>
              <w:rPr>
                <w:rFonts w:eastAsia="Arial Unicode MS"/>
                <w:bCs/>
                <w:noProof/>
                <w:szCs w:val="24"/>
              </w:rPr>
            </w:pPr>
            <w:r>
              <w:rPr>
                <w:noProof/>
              </w:rPr>
              <w:t>GB/T 24549-2009 Fuel cell electric vehicles – safety requirements (Kiina) (polttokennokäyttöiset sähköajoneuvot – turvallisuusvaatimukset)</w:t>
            </w:r>
          </w:p>
          <w:p>
            <w:pPr>
              <w:pStyle w:val="ListParagraph"/>
              <w:numPr>
                <w:ilvl w:val="0"/>
                <w:numId w:val="30"/>
              </w:numPr>
              <w:spacing w:before="60" w:after="60"/>
              <w:ind w:left="420"/>
              <w:rPr>
                <w:rFonts w:eastAsia="Arial Unicode MS"/>
                <w:bCs/>
                <w:noProof/>
                <w:szCs w:val="24"/>
              </w:rPr>
            </w:pPr>
            <w:r>
              <w:rPr>
                <w:noProof/>
              </w:rPr>
              <w:t>kansainvälinen standardi ISO 23273:2013, osa 1: Vehicle functional safety (ajoneuvon toimintaturvallisuus) ja osa 2: Protection against hydrogen hazards for vehicles fuelled with compressed hydrogen (polttoaineenaan paineistettua vetykaasua käyttävien ajoneuvojen suojaaminen vetykaasun aiheuttamilta vaaroilta) tai</w:t>
            </w:r>
          </w:p>
          <w:p>
            <w:pPr>
              <w:pStyle w:val="ListParagraph"/>
              <w:numPr>
                <w:ilvl w:val="0"/>
                <w:numId w:val="30"/>
              </w:numPr>
              <w:spacing w:before="60" w:after="60"/>
              <w:ind w:left="420"/>
              <w:rPr>
                <w:rFonts w:eastAsia="Arial Unicode MS"/>
                <w:bCs/>
                <w:noProof/>
                <w:szCs w:val="24"/>
              </w:rPr>
            </w:pPr>
            <w:r>
              <w:rPr>
                <w:noProof/>
              </w:rPr>
              <w:t>SAE J2578 – General Fuel Cell Vehicle Safety (polttokennokäyttöisten ajoneuvojen yleinen turvallisuus)”</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7)</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Poistetaan II osassa olevasta taulukosta 58, 65 ja 66 kohta.</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8)</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Muutetaan III osa seuraavasti:</w:t>
            </w:r>
          </w:p>
          <w:p>
            <w:pPr>
              <w:pStyle w:val="Point0"/>
              <w:ind w:left="596" w:hanging="596"/>
              <w:rPr>
                <w:noProof/>
                <w:szCs w:val="24"/>
              </w:rPr>
            </w:pPr>
            <w:r>
              <w:rPr>
                <w:noProof/>
              </w:rPr>
              <w:t>a) muutetaan lisäyksessä 1 oleva taulukko seuraavasti:</w:t>
            </w:r>
          </w:p>
          <w:p>
            <w:pPr>
              <w:pStyle w:val="Point0"/>
              <w:ind w:left="596" w:firstLine="8"/>
              <w:rPr>
                <w:noProof/>
                <w:szCs w:val="24"/>
              </w:rPr>
            </w:pPr>
            <w:r>
              <w:rPr>
                <w:noProof/>
              </w:rPr>
              <w:t>i) korvataan 58 kohta seuraavasti:</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br w:type="page"/>
              <w:t>”58</w:t>
            </w:r>
          </w:p>
        </w:tc>
        <w:tc>
          <w:tcPr>
            <w:tcW w:w="2992" w:type="dxa"/>
            <w:gridSpan w:val="20"/>
            <w:hideMark/>
          </w:tcPr>
          <w:p>
            <w:pPr>
              <w:spacing w:before="60" w:after="60"/>
              <w:rPr>
                <w:rFonts w:eastAsia="Arial Unicode MS"/>
                <w:noProof/>
                <w:szCs w:val="24"/>
              </w:rPr>
            </w:pPr>
            <w:r>
              <w:rPr>
                <w:noProof/>
              </w:rPr>
              <w:t>Jalankulkijoiden suojelu</w:t>
            </w:r>
          </w:p>
        </w:tc>
        <w:tc>
          <w:tcPr>
            <w:tcW w:w="2016" w:type="dxa"/>
            <w:gridSpan w:val="28"/>
            <w:hideMark/>
          </w:tcPr>
          <w:p>
            <w:pPr>
              <w:spacing w:before="60" w:after="60"/>
              <w:jc w:val="left"/>
              <w:rPr>
                <w:noProof/>
                <w:szCs w:val="24"/>
              </w:rPr>
            </w:pPr>
            <w:r>
              <w:rPr>
                <w:noProof/>
              </w:rPr>
              <w:t>Asetus (EU) 2019/…</w:t>
            </w:r>
            <w:r>
              <w:rPr>
                <w:noProof/>
                <w:vertAlign w:val="superscript"/>
              </w:rPr>
              <w:t>+</w:t>
            </w:r>
          </w:p>
          <w:p>
            <w:pPr>
              <w:spacing w:before="60" w:after="60"/>
              <w:rPr>
                <w:rFonts w:eastAsia="Arial Unicode MS"/>
                <w:noProof/>
                <w:szCs w:val="24"/>
              </w:rPr>
            </w:pPr>
            <w:r>
              <w:rPr>
                <w:noProof/>
              </w:rPr>
              <w:t>E-sääntö nro 127</w:t>
            </w:r>
          </w:p>
        </w:tc>
        <w:tc>
          <w:tcPr>
            <w:tcW w:w="1197" w:type="dxa"/>
            <w:gridSpan w:val="16"/>
            <w:hideMark/>
          </w:tcPr>
          <w:p>
            <w:pPr>
              <w:spacing w:before="60" w:after="60"/>
              <w:jc w:val="center"/>
              <w:rPr>
                <w:rFonts w:eastAsia="Arial Unicode MS"/>
                <w:noProof/>
                <w:szCs w:val="24"/>
              </w:rPr>
            </w:pPr>
            <w:r>
              <w:rPr>
                <w:noProof/>
              </w:rPr>
              <w:t>X</w:t>
            </w:r>
          </w:p>
        </w:tc>
        <w:tc>
          <w:tcPr>
            <w:tcW w:w="1054" w:type="dxa"/>
            <w:gridSpan w:val="12"/>
            <w:hideMark/>
          </w:tcPr>
          <w:p>
            <w:pPr>
              <w:spacing w:before="60" w:after="60"/>
              <w:jc w:val="center"/>
              <w:rPr>
                <w:rFonts w:eastAsia="Arial Unicode MS"/>
                <w:noProof/>
                <w:szCs w:val="24"/>
              </w:rPr>
            </w:pPr>
            <w:r>
              <w:rPr>
                <w:noProof/>
              </w:rPr>
              <w:t>X”</w:t>
            </w:r>
          </w:p>
        </w:tc>
        <w:tc>
          <w:tcPr>
            <w:tcW w:w="1055" w:type="dxa"/>
            <w:gridSpan w:val="16"/>
            <w:hideMark/>
          </w:tcPr>
          <w:p>
            <w:pPr>
              <w:spacing w:before="60" w:after="60"/>
              <w:jc w:val="center"/>
              <w:rPr>
                <w:rFonts w:eastAsia="Arial Unicode MS"/>
                <w:noProof/>
                <w:szCs w:val="24"/>
              </w:rPr>
            </w:pPr>
          </w:p>
        </w:tc>
        <w:tc>
          <w:tcPr>
            <w:tcW w:w="857" w:type="dxa"/>
            <w:gridSpan w:val="9"/>
            <w:hideMark/>
          </w:tcPr>
          <w:p>
            <w:pPr>
              <w:spacing w:before="60" w:after="60"/>
              <w:jc w:val="center"/>
              <w:rPr>
                <w:rFonts w:eastAsia="Arial Unicode MS"/>
                <w:noProof/>
                <w:szCs w:val="24"/>
              </w:rPr>
            </w:pPr>
          </w:p>
        </w:tc>
      </w:tr>
      <w:tr>
        <w:trPr>
          <w:gridAfter w:val="1"/>
        </w:trPr>
        <w:tc>
          <w:tcPr>
            <w:tcW w:w="745" w:type="dxa"/>
            <w:gridSpan w:val="13"/>
            <w:tcBorders>
              <w:top w:val="nil"/>
              <w:left w:val="nil"/>
              <w:bottom w:val="nil"/>
              <w:right w:val="nil"/>
            </w:tcBorders>
            <w:shd w:val="clear" w:color="auto" w:fill="auto"/>
          </w:tcPr>
          <w:p>
            <w:pPr>
              <w:rPr>
                <w:noProof/>
                <w:szCs w:val="24"/>
              </w:rPr>
            </w:pPr>
          </w:p>
        </w:tc>
        <w:tc>
          <w:tcPr>
            <w:tcW w:w="9226" w:type="dxa"/>
            <w:gridSpan w:val="97"/>
            <w:tcBorders>
              <w:top w:val="nil"/>
              <w:left w:val="nil"/>
              <w:bottom w:val="nil"/>
              <w:right w:val="nil"/>
            </w:tcBorders>
            <w:shd w:val="clear" w:color="auto" w:fill="auto"/>
          </w:tcPr>
          <w:p>
            <w:pPr>
              <w:pStyle w:val="Point0"/>
              <w:ind w:left="596" w:hanging="176"/>
              <w:rPr>
                <w:noProof/>
                <w:szCs w:val="24"/>
              </w:rPr>
            </w:pPr>
            <w:r>
              <w:rPr>
                <w:noProof/>
              </w:rPr>
              <w:t>ii) korvataan 62 ja 63 kohta seuraavasti:</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t>”62</w:t>
            </w:r>
          </w:p>
        </w:tc>
        <w:tc>
          <w:tcPr>
            <w:tcW w:w="2992" w:type="dxa"/>
            <w:gridSpan w:val="20"/>
            <w:hideMark/>
          </w:tcPr>
          <w:p>
            <w:pPr>
              <w:spacing w:before="60" w:after="60"/>
              <w:rPr>
                <w:rFonts w:eastAsia="Arial Unicode MS"/>
                <w:noProof/>
                <w:szCs w:val="24"/>
              </w:rPr>
            </w:pPr>
            <w:r>
              <w:rPr>
                <w:noProof/>
              </w:rPr>
              <w:t>Vetyjärjestelmä</w:t>
            </w:r>
          </w:p>
        </w:tc>
        <w:tc>
          <w:tcPr>
            <w:tcW w:w="2016" w:type="dxa"/>
            <w:gridSpan w:val="28"/>
            <w:hideMark/>
          </w:tcPr>
          <w:p>
            <w:pPr>
              <w:spacing w:before="60" w:after="60"/>
              <w:jc w:val="left"/>
              <w:rPr>
                <w:noProof/>
                <w:szCs w:val="24"/>
              </w:rPr>
            </w:pPr>
            <w:r>
              <w:rPr>
                <w:noProof/>
              </w:rPr>
              <w:t>Asetus (EU) 2019/…</w:t>
            </w:r>
            <w:r>
              <w:rPr>
                <w:noProof/>
                <w:vertAlign w:val="superscript"/>
              </w:rPr>
              <w:t>+</w:t>
            </w:r>
          </w:p>
          <w:p>
            <w:pPr>
              <w:spacing w:before="60" w:after="60"/>
              <w:rPr>
                <w:rFonts w:eastAsia="Arial Unicode MS"/>
                <w:noProof/>
                <w:szCs w:val="24"/>
              </w:rPr>
            </w:pPr>
            <w:r>
              <w:rPr>
                <w:noProof/>
              </w:rPr>
              <w:t>E-sääntö nro 134</w:t>
            </w:r>
          </w:p>
        </w:tc>
        <w:tc>
          <w:tcPr>
            <w:tcW w:w="1197" w:type="dxa"/>
            <w:gridSpan w:val="16"/>
            <w:hideMark/>
          </w:tcPr>
          <w:p>
            <w:pPr>
              <w:spacing w:before="60" w:after="60"/>
              <w:jc w:val="center"/>
              <w:rPr>
                <w:rFonts w:eastAsia="Arial Unicode MS"/>
                <w:noProof/>
                <w:szCs w:val="24"/>
              </w:rPr>
            </w:pPr>
            <w:r>
              <w:rPr>
                <w:noProof/>
              </w:rPr>
              <w:t>X</w:t>
            </w:r>
          </w:p>
        </w:tc>
        <w:tc>
          <w:tcPr>
            <w:tcW w:w="1054" w:type="dxa"/>
            <w:gridSpan w:val="12"/>
            <w:hideMark/>
          </w:tcPr>
          <w:p>
            <w:pPr>
              <w:spacing w:before="60" w:after="60"/>
              <w:jc w:val="center"/>
              <w:rPr>
                <w:rFonts w:eastAsia="Arial Unicode MS"/>
                <w:noProof/>
                <w:szCs w:val="24"/>
              </w:rPr>
            </w:pPr>
            <w:r>
              <w:rPr>
                <w:noProof/>
              </w:rPr>
              <w:t>X</w:t>
            </w:r>
          </w:p>
        </w:tc>
        <w:tc>
          <w:tcPr>
            <w:tcW w:w="1055" w:type="dxa"/>
            <w:gridSpan w:val="16"/>
            <w:hideMark/>
          </w:tcPr>
          <w:p>
            <w:pPr>
              <w:spacing w:before="60" w:after="60"/>
              <w:jc w:val="center"/>
              <w:rPr>
                <w:rFonts w:eastAsia="Arial Unicode MS"/>
                <w:noProof/>
                <w:szCs w:val="24"/>
              </w:rPr>
            </w:pPr>
            <w:r>
              <w:rPr>
                <w:noProof/>
              </w:rPr>
              <w:t>X</w:t>
            </w:r>
          </w:p>
        </w:tc>
        <w:tc>
          <w:tcPr>
            <w:tcW w:w="857" w:type="dxa"/>
            <w:gridSpan w:val="9"/>
            <w:hideMark/>
          </w:tcPr>
          <w:p>
            <w:pPr>
              <w:spacing w:before="60" w:after="60"/>
              <w:jc w:val="center"/>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Pr>
          <w:p>
            <w:pPr>
              <w:spacing w:before="60" w:after="60"/>
              <w:rPr>
                <w:rFonts w:eastAsia="Arial Unicode MS"/>
                <w:noProof/>
                <w:szCs w:val="24"/>
              </w:rPr>
            </w:pPr>
            <w:r>
              <w:rPr>
                <w:noProof/>
              </w:rPr>
              <w:t>63</w:t>
            </w:r>
          </w:p>
        </w:tc>
        <w:tc>
          <w:tcPr>
            <w:tcW w:w="2992" w:type="dxa"/>
            <w:gridSpan w:val="20"/>
          </w:tcPr>
          <w:p>
            <w:pPr>
              <w:spacing w:before="60" w:after="60"/>
              <w:jc w:val="left"/>
              <w:rPr>
                <w:rFonts w:eastAsia="Arial Unicode MS"/>
                <w:noProof/>
                <w:szCs w:val="24"/>
              </w:rPr>
            </w:pPr>
            <w:r>
              <w:rPr>
                <w:noProof/>
              </w:rPr>
              <w:t>Yleinen turvallisuus</w:t>
            </w:r>
          </w:p>
        </w:tc>
        <w:tc>
          <w:tcPr>
            <w:tcW w:w="2016" w:type="dxa"/>
            <w:gridSpan w:val="28"/>
          </w:tcPr>
          <w:p>
            <w:pPr>
              <w:spacing w:before="60" w:after="60"/>
              <w:jc w:val="left"/>
              <w:rPr>
                <w:noProof/>
                <w:szCs w:val="24"/>
              </w:rPr>
            </w:pPr>
            <w:r>
              <w:rPr>
                <w:noProof/>
              </w:rPr>
              <w:t>Asetus (EU) 2019/…</w:t>
            </w:r>
            <w:r>
              <w:rPr>
                <w:noProof/>
                <w:vertAlign w:val="superscript"/>
              </w:rPr>
              <w:t>+</w:t>
            </w:r>
          </w:p>
        </w:tc>
        <w:tc>
          <w:tcPr>
            <w:tcW w:w="1197" w:type="dxa"/>
            <w:gridSpan w:val="16"/>
          </w:tcPr>
          <w:p>
            <w:pPr>
              <w:spacing w:before="60" w:after="60"/>
              <w:jc w:val="center"/>
              <w:rPr>
                <w:rFonts w:eastAsia="Arial Unicode MS"/>
                <w:noProof/>
                <w:szCs w:val="24"/>
              </w:rPr>
            </w:pPr>
            <w:r>
              <w:rPr>
                <w:noProof/>
                <w:color w:val="000000"/>
                <w:sz w:val="20"/>
              </w:rPr>
              <w:t>X</w:t>
            </w:r>
            <w:r>
              <w:rPr>
                <w:noProof/>
                <w:color w:val="000000"/>
                <w:sz w:val="20"/>
                <w:vertAlign w:val="superscript"/>
              </w:rPr>
              <w:t>(15)</w:t>
            </w:r>
          </w:p>
        </w:tc>
        <w:tc>
          <w:tcPr>
            <w:tcW w:w="1054" w:type="dxa"/>
            <w:gridSpan w:val="12"/>
          </w:tcPr>
          <w:p>
            <w:pPr>
              <w:spacing w:before="60" w:after="60"/>
              <w:jc w:val="center"/>
              <w:rPr>
                <w:rFonts w:eastAsia="Arial Unicode MS"/>
                <w:noProof/>
                <w:szCs w:val="24"/>
              </w:rPr>
            </w:pPr>
            <w:r>
              <w:rPr>
                <w:noProof/>
                <w:color w:val="000000"/>
                <w:sz w:val="20"/>
              </w:rPr>
              <w:t>X</w:t>
            </w:r>
            <w:r>
              <w:rPr>
                <w:noProof/>
                <w:color w:val="000000"/>
                <w:sz w:val="20"/>
                <w:vertAlign w:val="superscript"/>
              </w:rPr>
              <w:t>(15)</w:t>
            </w:r>
          </w:p>
        </w:tc>
        <w:tc>
          <w:tcPr>
            <w:tcW w:w="1055" w:type="dxa"/>
            <w:gridSpan w:val="16"/>
          </w:tcPr>
          <w:p>
            <w:pPr>
              <w:spacing w:before="60" w:after="60"/>
              <w:jc w:val="center"/>
              <w:rPr>
                <w:rFonts w:eastAsia="Arial Unicode MS"/>
                <w:noProof/>
                <w:szCs w:val="24"/>
              </w:rPr>
            </w:pPr>
            <w:r>
              <w:rPr>
                <w:noProof/>
                <w:color w:val="000000"/>
                <w:sz w:val="20"/>
              </w:rPr>
              <w:t>X</w:t>
            </w:r>
            <w:r>
              <w:rPr>
                <w:noProof/>
                <w:color w:val="000000"/>
                <w:sz w:val="20"/>
                <w:vertAlign w:val="superscript"/>
              </w:rPr>
              <w:t>(15)</w:t>
            </w:r>
          </w:p>
        </w:tc>
        <w:tc>
          <w:tcPr>
            <w:tcW w:w="857" w:type="dxa"/>
            <w:gridSpan w:val="9"/>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r>
      <w:tr>
        <w:trPr>
          <w:gridAfter w:val="1"/>
        </w:trPr>
        <w:tc>
          <w:tcPr>
            <w:tcW w:w="745" w:type="dxa"/>
            <w:gridSpan w:val="13"/>
            <w:tcBorders>
              <w:top w:val="nil"/>
              <w:left w:val="nil"/>
              <w:bottom w:val="nil"/>
              <w:right w:val="nil"/>
            </w:tcBorders>
            <w:shd w:val="clear" w:color="auto" w:fill="auto"/>
          </w:tcPr>
          <w:p>
            <w:pPr>
              <w:rPr>
                <w:noProof/>
                <w:szCs w:val="24"/>
              </w:rPr>
            </w:pPr>
          </w:p>
        </w:tc>
        <w:tc>
          <w:tcPr>
            <w:tcW w:w="9226" w:type="dxa"/>
            <w:gridSpan w:val="97"/>
            <w:tcBorders>
              <w:top w:val="nil"/>
              <w:left w:val="nil"/>
              <w:bottom w:val="nil"/>
              <w:right w:val="nil"/>
            </w:tcBorders>
            <w:shd w:val="clear" w:color="auto" w:fill="auto"/>
          </w:tcPr>
          <w:p>
            <w:pPr>
              <w:pStyle w:val="Point0"/>
              <w:ind w:left="596" w:hanging="176"/>
              <w:rPr>
                <w:noProof/>
                <w:szCs w:val="24"/>
              </w:rPr>
            </w:pPr>
            <w:r>
              <w:rPr>
                <w:noProof/>
              </w:rPr>
              <w:t>iii) korvataan 65 ja 66 kohta seuraavasti:</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t>”65</w:t>
            </w:r>
          </w:p>
        </w:tc>
        <w:tc>
          <w:tcPr>
            <w:tcW w:w="2992" w:type="dxa"/>
            <w:gridSpan w:val="20"/>
            <w:hideMark/>
          </w:tcPr>
          <w:p>
            <w:pPr>
              <w:spacing w:before="60" w:after="60"/>
              <w:rPr>
                <w:rFonts w:eastAsia="Arial Unicode MS"/>
                <w:noProof/>
                <w:szCs w:val="24"/>
              </w:rPr>
            </w:pPr>
            <w:r>
              <w:rPr>
                <w:noProof/>
              </w:rPr>
              <w:t>Kehittyneet hätäjarrutusjärjestelmät</w:t>
            </w:r>
          </w:p>
        </w:tc>
        <w:tc>
          <w:tcPr>
            <w:tcW w:w="2016" w:type="dxa"/>
            <w:gridSpan w:val="28"/>
            <w:hideMark/>
          </w:tcPr>
          <w:p>
            <w:pPr>
              <w:spacing w:before="60" w:after="60"/>
              <w:jc w:val="left"/>
              <w:rPr>
                <w:noProof/>
                <w:szCs w:val="24"/>
              </w:rPr>
            </w:pPr>
            <w:r>
              <w:rPr>
                <w:noProof/>
              </w:rPr>
              <w:t>Asetus (EU) 2019/…</w:t>
            </w:r>
            <w:r>
              <w:rPr>
                <w:noProof/>
                <w:vertAlign w:val="superscript"/>
              </w:rPr>
              <w:t>+</w:t>
            </w:r>
          </w:p>
          <w:p>
            <w:pPr>
              <w:spacing w:before="60" w:after="60"/>
              <w:rPr>
                <w:rFonts w:eastAsia="Arial Unicode MS"/>
                <w:noProof/>
                <w:szCs w:val="24"/>
              </w:rPr>
            </w:pPr>
            <w:r>
              <w:rPr>
                <w:noProof/>
              </w:rPr>
              <w:t>E-sääntö nro 131</w:t>
            </w:r>
          </w:p>
        </w:tc>
        <w:tc>
          <w:tcPr>
            <w:tcW w:w="1197" w:type="dxa"/>
            <w:gridSpan w:val="16"/>
          </w:tcPr>
          <w:p>
            <w:pPr>
              <w:spacing w:before="60" w:after="60"/>
              <w:jc w:val="center"/>
              <w:rPr>
                <w:rFonts w:eastAsia="Arial Unicode MS"/>
                <w:noProof/>
                <w:szCs w:val="24"/>
              </w:rPr>
            </w:pPr>
          </w:p>
        </w:tc>
        <w:tc>
          <w:tcPr>
            <w:tcW w:w="1054" w:type="dxa"/>
            <w:gridSpan w:val="12"/>
          </w:tcPr>
          <w:p>
            <w:pPr>
              <w:spacing w:before="60" w:after="60"/>
              <w:jc w:val="center"/>
              <w:rPr>
                <w:rFonts w:eastAsia="Arial Unicode MS"/>
                <w:noProof/>
                <w:szCs w:val="24"/>
              </w:rPr>
            </w:pPr>
          </w:p>
        </w:tc>
        <w:tc>
          <w:tcPr>
            <w:tcW w:w="1055" w:type="dxa"/>
            <w:gridSpan w:val="16"/>
          </w:tcPr>
          <w:p>
            <w:pPr>
              <w:spacing w:before="60" w:after="60"/>
              <w:jc w:val="center"/>
              <w:rPr>
                <w:rFonts w:eastAsia="Arial Unicode MS"/>
                <w:noProof/>
                <w:szCs w:val="24"/>
              </w:rPr>
            </w:pPr>
            <w:r>
              <w:rPr>
                <w:noProof/>
              </w:rPr>
              <w:t>N/A</w:t>
            </w:r>
          </w:p>
        </w:tc>
        <w:tc>
          <w:tcPr>
            <w:tcW w:w="857" w:type="dxa"/>
            <w:gridSpan w:val="9"/>
          </w:tcPr>
          <w:p>
            <w:pPr>
              <w:spacing w:before="60" w:after="60"/>
              <w:jc w:val="center"/>
              <w:rPr>
                <w:rFonts w:eastAsia="Arial Unicode MS"/>
                <w:noProof/>
                <w:szCs w:val="24"/>
              </w:rPr>
            </w:pPr>
            <w:r>
              <w:rPr>
                <w:noProof/>
              </w:rPr>
              <w:t>N/A</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Borders>
              <w:top w:val="single" w:sz="12" w:space="0" w:color="auto"/>
              <w:left w:val="single" w:sz="12" w:space="0" w:color="auto"/>
              <w:bottom w:val="single" w:sz="12" w:space="0" w:color="auto"/>
              <w:right w:val="single" w:sz="12" w:space="0" w:color="auto"/>
            </w:tcBorders>
            <w:hideMark/>
          </w:tcPr>
          <w:p>
            <w:pPr>
              <w:spacing w:before="60" w:after="60"/>
              <w:rPr>
                <w:rFonts w:eastAsia="Arial Unicode MS"/>
                <w:noProof/>
                <w:szCs w:val="24"/>
              </w:rPr>
            </w:pPr>
            <w:r>
              <w:rPr>
                <w:noProof/>
              </w:rPr>
              <w:t>66</w:t>
            </w:r>
          </w:p>
        </w:tc>
        <w:tc>
          <w:tcPr>
            <w:tcW w:w="2992" w:type="dxa"/>
            <w:gridSpan w:val="20"/>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noProof/>
                <w:szCs w:val="24"/>
              </w:rPr>
            </w:pPr>
            <w:r>
              <w:rPr>
                <w:noProof/>
              </w:rPr>
              <w:t>Kaistavahtijärjestelmä</w:t>
            </w:r>
          </w:p>
        </w:tc>
        <w:tc>
          <w:tcPr>
            <w:tcW w:w="2016" w:type="dxa"/>
            <w:gridSpan w:val="28"/>
            <w:tcBorders>
              <w:top w:val="single" w:sz="12" w:space="0" w:color="auto"/>
              <w:left w:val="single" w:sz="2" w:space="0" w:color="auto"/>
              <w:bottom w:val="single" w:sz="12" w:space="0" w:color="auto"/>
              <w:right w:val="single" w:sz="1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130</w:t>
            </w:r>
          </w:p>
        </w:tc>
        <w:tc>
          <w:tcPr>
            <w:tcW w:w="1197"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p>
        </w:tc>
        <w:tc>
          <w:tcPr>
            <w:tcW w:w="1054" w:type="dxa"/>
            <w:gridSpan w:val="12"/>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p>
        </w:tc>
        <w:tc>
          <w:tcPr>
            <w:tcW w:w="1055"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N/A</w:t>
            </w:r>
          </w:p>
        </w:tc>
        <w:tc>
          <w:tcPr>
            <w:tcW w:w="857"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N/A”</w:t>
            </w:r>
          </w:p>
        </w:tc>
      </w:tr>
      <w:tr>
        <w:trPr>
          <w:gridAfter w:val="2"/>
          <w:wAfter w:w="142" w:type="dxa"/>
        </w:trPr>
        <w:tc>
          <w:tcPr>
            <w:tcW w:w="745" w:type="dxa"/>
            <w:gridSpan w:val="13"/>
            <w:tcBorders>
              <w:top w:val="nil"/>
              <w:left w:val="nil"/>
              <w:bottom w:val="nil"/>
              <w:right w:val="nil"/>
            </w:tcBorders>
            <w:shd w:val="clear" w:color="auto" w:fill="auto"/>
          </w:tcPr>
          <w:p>
            <w:pPr>
              <w:rPr>
                <w:noProof/>
                <w:szCs w:val="24"/>
              </w:rPr>
            </w:pPr>
          </w:p>
        </w:tc>
        <w:tc>
          <w:tcPr>
            <w:tcW w:w="9084" w:type="dxa"/>
            <w:gridSpan w:val="96"/>
            <w:tcBorders>
              <w:top w:val="nil"/>
              <w:left w:val="nil"/>
              <w:bottom w:val="nil"/>
              <w:right w:val="nil"/>
            </w:tcBorders>
            <w:shd w:val="clear" w:color="auto" w:fill="auto"/>
          </w:tcPr>
          <w:p>
            <w:pPr>
              <w:pStyle w:val="Point0"/>
              <w:ind w:left="596" w:hanging="596"/>
              <w:rPr>
                <w:noProof/>
                <w:szCs w:val="24"/>
              </w:rPr>
            </w:pPr>
            <w:r>
              <w:rPr>
                <w:noProof/>
              </w:rPr>
              <w:t>b) muutetaan lisäyksessä 2 oleva taulukko seuraavasti:</w:t>
            </w:r>
          </w:p>
          <w:p>
            <w:pPr>
              <w:pStyle w:val="Point0"/>
              <w:ind w:left="596" w:hanging="176"/>
              <w:rPr>
                <w:noProof/>
                <w:szCs w:val="24"/>
              </w:rPr>
            </w:pPr>
            <w:r>
              <w:rPr>
                <w:noProof/>
              </w:rPr>
              <w:t>i) lisätään seuraava kohta asianmukaiseen luetelmakohdan numeron mukaiseen paikkaan:</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6"/>
          <w:wAfter w:w="423" w:type="dxa"/>
        </w:trPr>
        <w:tc>
          <w:tcPr>
            <w:tcW w:w="745" w:type="dxa"/>
            <w:gridSpan w:val="13"/>
          </w:tcPr>
          <w:p>
            <w:pPr>
              <w:spacing w:before="60" w:after="60"/>
              <w:jc w:val="center"/>
              <w:rPr>
                <w:noProof/>
                <w:szCs w:val="24"/>
              </w:rPr>
            </w:pPr>
            <w:r>
              <w:rPr>
                <w:noProof/>
              </w:rPr>
              <w:t>”55A</w:t>
            </w:r>
          </w:p>
        </w:tc>
        <w:tc>
          <w:tcPr>
            <w:tcW w:w="2192" w:type="dxa"/>
            <w:gridSpan w:val="11"/>
          </w:tcPr>
          <w:p>
            <w:pPr>
              <w:spacing w:before="60" w:after="60"/>
              <w:jc w:val="left"/>
              <w:rPr>
                <w:noProof/>
                <w:szCs w:val="24"/>
              </w:rPr>
            </w:pPr>
            <w:r>
              <w:rPr>
                <w:noProof/>
              </w:rPr>
              <w:t>Pylvässivutörmäys</w:t>
            </w:r>
          </w:p>
        </w:tc>
        <w:tc>
          <w:tcPr>
            <w:tcW w:w="1632" w:type="dxa"/>
            <w:gridSpan w:val="17"/>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135</w:t>
            </w:r>
          </w:p>
        </w:tc>
        <w:tc>
          <w:tcPr>
            <w:tcW w:w="521" w:type="dxa"/>
            <w:gridSpan w:val="6"/>
          </w:tcPr>
          <w:p>
            <w:pPr>
              <w:spacing w:before="60" w:after="60"/>
              <w:jc w:val="center"/>
              <w:rPr>
                <w:noProof/>
                <w:szCs w:val="24"/>
              </w:rPr>
            </w:pPr>
            <w:r>
              <w:rPr>
                <w:noProof/>
              </w:rPr>
              <w:t>N/A</w:t>
            </w:r>
          </w:p>
        </w:tc>
        <w:tc>
          <w:tcPr>
            <w:tcW w:w="504" w:type="dxa"/>
            <w:gridSpan w:val="7"/>
          </w:tcPr>
          <w:p>
            <w:pPr>
              <w:spacing w:before="60" w:after="60"/>
              <w:jc w:val="center"/>
              <w:rPr>
                <w:noProof/>
                <w:szCs w:val="24"/>
              </w:rPr>
            </w:pPr>
          </w:p>
        </w:tc>
        <w:tc>
          <w:tcPr>
            <w:tcW w:w="357" w:type="dxa"/>
            <w:gridSpan w:val="6"/>
          </w:tcPr>
          <w:p>
            <w:pPr>
              <w:spacing w:before="60" w:after="60"/>
              <w:jc w:val="center"/>
              <w:rPr>
                <w:noProof/>
                <w:szCs w:val="24"/>
              </w:rPr>
            </w:pPr>
          </w:p>
        </w:tc>
        <w:tc>
          <w:tcPr>
            <w:tcW w:w="680" w:type="dxa"/>
            <w:gridSpan w:val="8"/>
            <w:shd w:val="clear" w:color="auto" w:fill="auto"/>
          </w:tcPr>
          <w:p>
            <w:pPr>
              <w:spacing w:before="60" w:after="60"/>
              <w:jc w:val="center"/>
              <w:rPr>
                <w:noProof/>
                <w:szCs w:val="24"/>
              </w:rPr>
            </w:pPr>
            <w:r>
              <w:rPr>
                <w:noProof/>
              </w:rPr>
              <w:t>N/A”</w:t>
            </w:r>
          </w:p>
        </w:tc>
        <w:tc>
          <w:tcPr>
            <w:tcW w:w="451" w:type="dxa"/>
            <w:gridSpan w:val="5"/>
          </w:tcPr>
          <w:p>
            <w:pPr>
              <w:spacing w:before="60" w:after="60"/>
              <w:jc w:val="center"/>
              <w:rPr>
                <w:noProof/>
                <w:szCs w:val="24"/>
              </w:rPr>
            </w:pP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550" w:type="dxa"/>
            <w:gridSpan w:val="10"/>
          </w:tcPr>
          <w:p>
            <w:pPr>
              <w:spacing w:before="60" w:after="60"/>
              <w:jc w:val="center"/>
              <w:rPr>
                <w:noProof/>
                <w:szCs w:val="24"/>
              </w:rPr>
            </w:pPr>
          </w:p>
        </w:tc>
        <w:tc>
          <w:tcPr>
            <w:tcW w:w="482" w:type="dxa"/>
            <w:gridSpan w:val="5"/>
          </w:tcPr>
          <w:p>
            <w:pPr>
              <w:spacing w:before="60" w:after="60"/>
              <w:jc w:val="center"/>
              <w:rPr>
                <w:noProof/>
                <w:szCs w:val="24"/>
              </w:rPr>
            </w:pPr>
          </w:p>
        </w:tc>
        <w:tc>
          <w:tcPr>
            <w:tcW w:w="393" w:type="dxa"/>
            <w:gridSpan w:val="4"/>
          </w:tcPr>
          <w:p>
            <w:pPr>
              <w:spacing w:before="60" w:after="60"/>
              <w:jc w:val="center"/>
              <w:rPr>
                <w:noProof/>
                <w:szCs w:val="24"/>
              </w:rPr>
            </w:pPr>
          </w:p>
        </w:tc>
      </w:tr>
      <w:tr>
        <w:trPr>
          <w:gridAfter w:val="3"/>
          <w:wAfter w:w="172" w:type="dxa"/>
        </w:trPr>
        <w:tc>
          <w:tcPr>
            <w:tcW w:w="745" w:type="dxa"/>
            <w:gridSpan w:val="13"/>
            <w:tcBorders>
              <w:top w:val="nil"/>
              <w:left w:val="nil"/>
              <w:bottom w:val="nil"/>
              <w:right w:val="nil"/>
            </w:tcBorders>
            <w:shd w:val="clear" w:color="auto" w:fill="auto"/>
          </w:tcPr>
          <w:p>
            <w:pPr>
              <w:rPr>
                <w:noProof/>
                <w:szCs w:val="24"/>
              </w:rPr>
            </w:pPr>
          </w:p>
        </w:tc>
        <w:tc>
          <w:tcPr>
            <w:tcW w:w="9054" w:type="dxa"/>
            <w:gridSpan w:val="95"/>
            <w:tcBorders>
              <w:top w:val="nil"/>
              <w:left w:val="nil"/>
              <w:bottom w:val="nil"/>
              <w:right w:val="nil"/>
            </w:tcBorders>
            <w:shd w:val="clear" w:color="auto" w:fill="auto"/>
          </w:tcPr>
          <w:p>
            <w:pPr>
              <w:pStyle w:val="Point0"/>
              <w:ind w:left="596" w:hanging="176"/>
              <w:rPr>
                <w:noProof/>
                <w:szCs w:val="24"/>
              </w:rPr>
            </w:pPr>
            <w:r>
              <w:rPr>
                <w:noProof/>
              </w:rPr>
              <w:t>ii) korvataan 58 kohta seuraavasti:</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7"/>
          <w:wAfter w:w="481" w:type="dxa"/>
        </w:trPr>
        <w:tc>
          <w:tcPr>
            <w:tcW w:w="745" w:type="dxa"/>
            <w:gridSpan w:val="13"/>
          </w:tcPr>
          <w:p>
            <w:pPr>
              <w:spacing w:before="60" w:after="60"/>
              <w:jc w:val="center"/>
              <w:rPr>
                <w:noProof/>
                <w:szCs w:val="24"/>
              </w:rPr>
            </w:pPr>
            <w:r>
              <w:rPr>
                <w:noProof/>
              </w:rPr>
              <w:t>”58</w:t>
            </w:r>
          </w:p>
        </w:tc>
        <w:tc>
          <w:tcPr>
            <w:tcW w:w="2192" w:type="dxa"/>
            <w:gridSpan w:val="11"/>
          </w:tcPr>
          <w:p>
            <w:pPr>
              <w:spacing w:before="60" w:after="60"/>
              <w:jc w:val="left"/>
              <w:rPr>
                <w:noProof/>
                <w:szCs w:val="24"/>
              </w:rPr>
            </w:pPr>
            <w:r>
              <w:rPr>
                <w:noProof/>
              </w:rPr>
              <w:t>Jalankulkijoiden suojelu</w:t>
            </w:r>
          </w:p>
          <w:p>
            <w:pPr>
              <w:spacing w:before="60" w:after="60"/>
              <w:jc w:val="left"/>
              <w:rPr>
                <w:noProof/>
                <w:szCs w:val="24"/>
              </w:rPr>
            </w:pPr>
          </w:p>
        </w:tc>
        <w:tc>
          <w:tcPr>
            <w:tcW w:w="1632" w:type="dxa"/>
            <w:gridSpan w:val="17"/>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127</w:t>
            </w:r>
          </w:p>
        </w:tc>
        <w:tc>
          <w:tcPr>
            <w:tcW w:w="521" w:type="dxa"/>
            <w:gridSpan w:val="6"/>
          </w:tcPr>
          <w:p>
            <w:pPr>
              <w:spacing w:before="60" w:after="60"/>
              <w:jc w:val="center"/>
              <w:rPr>
                <w:noProof/>
                <w:szCs w:val="24"/>
              </w:rPr>
            </w:pPr>
            <w:r>
              <w:rPr>
                <w:noProof/>
              </w:rPr>
              <w:t>N/A</w:t>
            </w:r>
          </w:p>
        </w:tc>
        <w:tc>
          <w:tcPr>
            <w:tcW w:w="504" w:type="dxa"/>
            <w:gridSpan w:val="7"/>
          </w:tcPr>
          <w:p>
            <w:pPr>
              <w:spacing w:before="60" w:after="60"/>
              <w:jc w:val="center"/>
              <w:rPr>
                <w:noProof/>
                <w:szCs w:val="24"/>
              </w:rPr>
            </w:pPr>
          </w:p>
        </w:tc>
        <w:tc>
          <w:tcPr>
            <w:tcW w:w="357" w:type="dxa"/>
            <w:gridSpan w:val="6"/>
          </w:tcPr>
          <w:p>
            <w:pPr>
              <w:spacing w:before="60" w:after="60"/>
              <w:jc w:val="center"/>
              <w:rPr>
                <w:noProof/>
                <w:szCs w:val="24"/>
              </w:rPr>
            </w:pPr>
          </w:p>
        </w:tc>
        <w:tc>
          <w:tcPr>
            <w:tcW w:w="585" w:type="dxa"/>
            <w:gridSpan w:val="7"/>
            <w:shd w:val="clear" w:color="auto" w:fill="auto"/>
          </w:tcPr>
          <w:p>
            <w:pPr>
              <w:spacing w:before="60" w:after="60"/>
              <w:jc w:val="center"/>
              <w:rPr>
                <w:noProof/>
                <w:szCs w:val="24"/>
              </w:rPr>
            </w:pPr>
            <w:r>
              <w:rPr>
                <w:noProof/>
              </w:rPr>
              <w:t>N/A”</w:t>
            </w:r>
          </w:p>
        </w:tc>
        <w:tc>
          <w:tcPr>
            <w:tcW w:w="546" w:type="dxa"/>
            <w:gridSpan w:val="6"/>
          </w:tcPr>
          <w:p>
            <w:pPr>
              <w:spacing w:before="60" w:after="60"/>
              <w:jc w:val="center"/>
              <w:rPr>
                <w:noProof/>
                <w:szCs w:val="24"/>
              </w:rPr>
            </w:pP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431" w:type="dxa"/>
            <w:gridSpan w:val="5"/>
          </w:tcPr>
          <w:p>
            <w:pPr>
              <w:spacing w:before="60" w:after="60"/>
              <w:jc w:val="center"/>
              <w:rPr>
                <w:noProof/>
                <w:szCs w:val="24"/>
              </w:rPr>
            </w:pPr>
          </w:p>
        </w:tc>
        <w:tc>
          <w:tcPr>
            <w:tcW w:w="436" w:type="dxa"/>
            <w:gridSpan w:val="7"/>
          </w:tcPr>
          <w:p>
            <w:pPr>
              <w:spacing w:before="60" w:after="60"/>
              <w:jc w:val="center"/>
              <w:rPr>
                <w:noProof/>
                <w:szCs w:val="24"/>
              </w:rPr>
            </w:pPr>
          </w:p>
        </w:tc>
        <w:tc>
          <w:tcPr>
            <w:tcW w:w="500" w:type="dxa"/>
            <w:gridSpan w:val="6"/>
          </w:tcPr>
          <w:p>
            <w:pPr>
              <w:spacing w:before="60" w:after="60"/>
              <w:jc w:val="center"/>
              <w:rPr>
                <w:noProof/>
                <w:szCs w:val="24"/>
              </w:rPr>
            </w:pPr>
          </w:p>
        </w:tc>
      </w:tr>
      <w:tr>
        <w:trPr>
          <w:gridAfter w:val="4"/>
          <w:wAfter w:w="199" w:type="dxa"/>
        </w:trPr>
        <w:tc>
          <w:tcPr>
            <w:tcW w:w="745" w:type="dxa"/>
            <w:gridSpan w:val="13"/>
            <w:tcBorders>
              <w:top w:val="nil"/>
              <w:left w:val="nil"/>
              <w:bottom w:val="nil"/>
              <w:right w:val="nil"/>
            </w:tcBorders>
            <w:shd w:val="clear" w:color="auto" w:fill="auto"/>
          </w:tcPr>
          <w:p>
            <w:pPr>
              <w:rPr>
                <w:noProof/>
                <w:szCs w:val="24"/>
              </w:rPr>
            </w:pPr>
          </w:p>
        </w:tc>
        <w:tc>
          <w:tcPr>
            <w:tcW w:w="9027" w:type="dxa"/>
            <w:gridSpan w:val="94"/>
            <w:tcBorders>
              <w:top w:val="nil"/>
              <w:left w:val="nil"/>
              <w:bottom w:val="nil"/>
              <w:right w:val="nil"/>
            </w:tcBorders>
            <w:shd w:val="clear" w:color="auto" w:fill="auto"/>
          </w:tcPr>
          <w:p>
            <w:pPr>
              <w:pStyle w:val="Point0"/>
              <w:ind w:left="596" w:hanging="176"/>
              <w:rPr>
                <w:noProof/>
                <w:szCs w:val="24"/>
              </w:rPr>
            </w:pPr>
            <w:r>
              <w:rPr>
                <w:noProof/>
              </w:rPr>
              <w:t>iii) korvataan 62 ja 63 kohta seuraavasti:</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9"/>
          <w:wAfter w:w="685" w:type="dxa"/>
        </w:trPr>
        <w:tc>
          <w:tcPr>
            <w:tcW w:w="745" w:type="dxa"/>
            <w:gridSpan w:val="13"/>
          </w:tcPr>
          <w:p>
            <w:pPr>
              <w:spacing w:before="60" w:after="60"/>
              <w:jc w:val="center"/>
              <w:rPr>
                <w:noProof/>
                <w:szCs w:val="24"/>
              </w:rPr>
            </w:pPr>
            <w:r>
              <w:rPr>
                <w:noProof/>
              </w:rPr>
              <w:t>”62</w:t>
            </w:r>
          </w:p>
        </w:tc>
        <w:tc>
          <w:tcPr>
            <w:tcW w:w="1692" w:type="dxa"/>
            <w:gridSpan w:val="6"/>
          </w:tcPr>
          <w:p>
            <w:pPr>
              <w:spacing w:before="60" w:after="60"/>
              <w:jc w:val="left"/>
              <w:rPr>
                <w:noProof/>
                <w:szCs w:val="24"/>
              </w:rPr>
            </w:pPr>
            <w:r>
              <w:rPr>
                <w:noProof/>
              </w:rPr>
              <w:t>Vetyjärjestelmä</w:t>
            </w:r>
          </w:p>
        </w:tc>
        <w:tc>
          <w:tcPr>
            <w:tcW w:w="1278" w:type="dxa"/>
            <w:gridSpan w:val="11"/>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134</w:t>
            </w:r>
          </w:p>
        </w:tc>
        <w:tc>
          <w:tcPr>
            <w:tcW w:w="554" w:type="dxa"/>
            <w:gridSpan w:val="8"/>
          </w:tcPr>
          <w:p>
            <w:pPr>
              <w:spacing w:before="60" w:after="60"/>
              <w:jc w:val="center"/>
              <w:rPr>
                <w:noProof/>
                <w:szCs w:val="24"/>
              </w:rPr>
            </w:pPr>
            <w:r>
              <w:rPr>
                <w:noProof/>
              </w:rPr>
              <w:t>X</w:t>
            </w:r>
          </w:p>
        </w:tc>
        <w:tc>
          <w:tcPr>
            <w:tcW w:w="519" w:type="dxa"/>
            <w:gridSpan w:val="5"/>
          </w:tcPr>
          <w:p>
            <w:pPr>
              <w:spacing w:before="60" w:after="60"/>
              <w:jc w:val="center"/>
              <w:rPr>
                <w:noProof/>
                <w:szCs w:val="24"/>
              </w:rPr>
            </w:pPr>
            <w:r>
              <w:rPr>
                <w:noProof/>
              </w:rPr>
              <w:t>X</w:t>
            </w:r>
          </w:p>
        </w:tc>
        <w:tc>
          <w:tcPr>
            <w:tcW w:w="567" w:type="dxa"/>
            <w:gridSpan w:val="7"/>
          </w:tcPr>
          <w:p>
            <w:pPr>
              <w:spacing w:before="60" w:after="60"/>
              <w:jc w:val="center"/>
              <w:rPr>
                <w:noProof/>
                <w:szCs w:val="24"/>
              </w:rPr>
            </w:pPr>
            <w:r>
              <w:rPr>
                <w:noProof/>
              </w:rPr>
              <w:t>X</w:t>
            </w:r>
          </w:p>
        </w:tc>
        <w:tc>
          <w:tcPr>
            <w:tcW w:w="510" w:type="dxa"/>
            <w:gridSpan w:val="7"/>
            <w:shd w:val="clear" w:color="auto" w:fill="auto"/>
          </w:tcPr>
          <w:p>
            <w:pPr>
              <w:spacing w:before="60" w:after="60"/>
              <w:jc w:val="center"/>
              <w:rPr>
                <w:noProof/>
                <w:szCs w:val="24"/>
              </w:rPr>
            </w:pPr>
            <w:r>
              <w:rPr>
                <w:noProof/>
              </w:rPr>
              <w:t>X</w:t>
            </w:r>
          </w:p>
        </w:tc>
        <w:tc>
          <w:tcPr>
            <w:tcW w:w="671" w:type="dxa"/>
            <w:gridSpan w:val="10"/>
          </w:tcPr>
          <w:p>
            <w:pPr>
              <w:spacing w:before="60" w:after="60"/>
              <w:jc w:val="center"/>
              <w:rPr>
                <w:noProof/>
                <w:szCs w:val="24"/>
              </w:rPr>
            </w:pPr>
            <w:r>
              <w:rPr>
                <w:noProof/>
              </w:rPr>
              <w:t>X</w:t>
            </w:r>
          </w:p>
        </w:tc>
        <w:tc>
          <w:tcPr>
            <w:tcW w:w="546" w:type="dxa"/>
            <w:gridSpan w:val="6"/>
          </w:tcPr>
          <w:p>
            <w:pPr>
              <w:spacing w:before="60" w:after="60"/>
              <w:jc w:val="center"/>
              <w:rPr>
                <w:noProof/>
                <w:szCs w:val="24"/>
              </w:rPr>
            </w:pPr>
            <w:r>
              <w:rPr>
                <w:noProof/>
              </w:rPr>
              <w:t>X</w:t>
            </w: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550" w:type="dxa"/>
            <w:gridSpan w:val="10"/>
          </w:tcPr>
          <w:p>
            <w:pPr>
              <w:spacing w:before="60" w:after="60"/>
              <w:jc w:val="center"/>
              <w:rPr>
                <w:noProof/>
                <w:szCs w:val="24"/>
              </w:rPr>
            </w:pPr>
          </w:p>
        </w:tc>
        <w:tc>
          <w:tcPr>
            <w:tcW w:w="613" w:type="dxa"/>
            <w:gridSpan w:val="6"/>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9"/>
          <w:wAfter w:w="685" w:type="dxa"/>
        </w:trPr>
        <w:tc>
          <w:tcPr>
            <w:tcW w:w="745" w:type="dxa"/>
            <w:gridSpan w:val="13"/>
          </w:tcPr>
          <w:p>
            <w:pPr>
              <w:spacing w:before="60" w:after="60"/>
              <w:jc w:val="center"/>
              <w:rPr>
                <w:noProof/>
                <w:szCs w:val="24"/>
              </w:rPr>
            </w:pPr>
            <w:r>
              <w:rPr>
                <w:noProof/>
              </w:rPr>
              <w:t>63</w:t>
            </w:r>
          </w:p>
        </w:tc>
        <w:tc>
          <w:tcPr>
            <w:tcW w:w="1692" w:type="dxa"/>
            <w:gridSpan w:val="6"/>
          </w:tcPr>
          <w:p>
            <w:pPr>
              <w:spacing w:before="60" w:after="60"/>
              <w:jc w:val="left"/>
              <w:rPr>
                <w:noProof/>
                <w:szCs w:val="24"/>
              </w:rPr>
            </w:pPr>
            <w:r>
              <w:rPr>
                <w:noProof/>
              </w:rPr>
              <w:t xml:space="preserve">Yleinen turvallisuus </w:t>
            </w:r>
          </w:p>
        </w:tc>
        <w:tc>
          <w:tcPr>
            <w:tcW w:w="1278" w:type="dxa"/>
            <w:gridSpan w:val="11"/>
          </w:tcPr>
          <w:p>
            <w:pPr>
              <w:spacing w:before="60" w:after="60"/>
              <w:jc w:val="left"/>
              <w:rPr>
                <w:noProof/>
                <w:szCs w:val="24"/>
              </w:rPr>
            </w:pPr>
            <w:r>
              <w:rPr>
                <w:noProof/>
              </w:rPr>
              <w:t>Asetus (EU) 2019/…</w:t>
            </w:r>
            <w:r>
              <w:rPr>
                <w:noProof/>
                <w:vertAlign w:val="superscript"/>
              </w:rPr>
              <w:t>+</w:t>
            </w:r>
          </w:p>
        </w:tc>
        <w:tc>
          <w:tcPr>
            <w:tcW w:w="554" w:type="dxa"/>
            <w:gridSpan w:val="8"/>
          </w:tcPr>
          <w:p>
            <w:pPr>
              <w:spacing w:before="60" w:after="60"/>
              <w:jc w:val="center"/>
              <w:rPr>
                <w:noProof/>
                <w:szCs w:val="24"/>
              </w:rPr>
            </w:pPr>
            <w:r>
              <w:rPr>
                <w:noProof/>
                <w:color w:val="000000"/>
                <w:sz w:val="20"/>
              </w:rPr>
              <w:t>X</w:t>
            </w:r>
            <w:r>
              <w:rPr>
                <w:noProof/>
                <w:color w:val="000000"/>
                <w:sz w:val="20"/>
                <w:vertAlign w:val="superscript"/>
              </w:rPr>
              <w:t>(15)</w:t>
            </w:r>
          </w:p>
        </w:tc>
        <w:tc>
          <w:tcPr>
            <w:tcW w:w="519" w:type="dxa"/>
            <w:gridSpan w:val="5"/>
          </w:tcPr>
          <w:p>
            <w:pPr>
              <w:spacing w:before="60" w:after="60"/>
              <w:jc w:val="center"/>
              <w:rPr>
                <w:noProof/>
                <w:szCs w:val="24"/>
              </w:rPr>
            </w:pPr>
            <w:r>
              <w:rPr>
                <w:noProof/>
                <w:color w:val="000000"/>
                <w:sz w:val="20"/>
              </w:rPr>
              <w:t>X</w:t>
            </w:r>
            <w:r>
              <w:rPr>
                <w:noProof/>
                <w:color w:val="000000"/>
                <w:sz w:val="20"/>
                <w:vertAlign w:val="superscript"/>
              </w:rPr>
              <w:t>(15)</w:t>
            </w:r>
          </w:p>
        </w:tc>
        <w:tc>
          <w:tcPr>
            <w:tcW w:w="567" w:type="dxa"/>
            <w:gridSpan w:val="7"/>
          </w:tcPr>
          <w:p>
            <w:pPr>
              <w:spacing w:before="60" w:after="60"/>
              <w:jc w:val="center"/>
              <w:rPr>
                <w:noProof/>
                <w:szCs w:val="24"/>
              </w:rPr>
            </w:pPr>
            <w:r>
              <w:rPr>
                <w:noProof/>
                <w:color w:val="000000"/>
                <w:sz w:val="20"/>
              </w:rPr>
              <w:t>X</w:t>
            </w:r>
            <w:r>
              <w:rPr>
                <w:noProof/>
                <w:color w:val="000000"/>
                <w:sz w:val="20"/>
                <w:vertAlign w:val="superscript"/>
              </w:rPr>
              <w:t>(15)</w:t>
            </w:r>
          </w:p>
        </w:tc>
        <w:tc>
          <w:tcPr>
            <w:tcW w:w="510" w:type="dxa"/>
            <w:gridSpan w:val="7"/>
            <w:shd w:val="clear" w:color="auto" w:fill="auto"/>
          </w:tcPr>
          <w:p>
            <w:pPr>
              <w:spacing w:before="60" w:after="60"/>
              <w:jc w:val="center"/>
              <w:rPr>
                <w:noProof/>
                <w:szCs w:val="24"/>
              </w:rPr>
            </w:pPr>
            <w:r>
              <w:rPr>
                <w:noProof/>
                <w:color w:val="000000"/>
                <w:sz w:val="20"/>
              </w:rPr>
              <w:t>X</w:t>
            </w:r>
            <w:r>
              <w:rPr>
                <w:noProof/>
                <w:color w:val="000000"/>
                <w:sz w:val="20"/>
                <w:vertAlign w:val="superscript"/>
              </w:rPr>
              <w:t>(15)</w:t>
            </w:r>
          </w:p>
        </w:tc>
        <w:tc>
          <w:tcPr>
            <w:tcW w:w="671" w:type="dxa"/>
            <w:gridSpan w:val="10"/>
          </w:tcPr>
          <w:p>
            <w:pPr>
              <w:spacing w:before="60" w:after="60"/>
              <w:jc w:val="center"/>
              <w:rPr>
                <w:noProof/>
                <w:szCs w:val="24"/>
              </w:rPr>
            </w:pPr>
            <w:r>
              <w:rPr>
                <w:noProof/>
                <w:color w:val="000000"/>
                <w:sz w:val="20"/>
              </w:rPr>
              <w:t>X</w:t>
            </w:r>
            <w:r>
              <w:rPr>
                <w:noProof/>
                <w:color w:val="000000"/>
                <w:sz w:val="20"/>
                <w:vertAlign w:val="superscript"/>
              </w:rPr>
              <w:t>(15)</w:t>
            </w:r>
          </w:p>
        </w:tc>
        <w:tc>
          <w:tcPr>
            <w:tcW w:w="546" w:type="dxa"/>
            <w:gridSpan w:val="6"/>
          </w:tcPr>
          <w:p>
            <w:pPr>
              <w:spacing w:before="60" w:after="60"/>
              <w:jc w:val="center"/>
              <w:rPr>
                <w:noProof/>
                <w:szCs w:val="24"/>
              </w:rPr>
            </w:pPr>
            <w:r>
              <w:rPr>
                <w:noProof/>
                <w:color w:val="000000"/>
                <w:sz w:val="20"/>
              </w:rPr>
              <w:t>X</w:t>
            </w:r>
            <w:r>
              <w:rPr>
                <w:noProof/>
                <w:color w:val="000000"/>
                <w:sz w:val="20"/>
                <w:vertAlign w:val="superscript"/>
              </w:rPr>
              <w:t>(15)</w:t>
            </w:r>
          </w:p>
        </w:tc>
        <w:tc>
          <w:tcPr>
            <w:tcW w:w="492" w:type="dxa"/>
            <w:gridSpan w:val="7"/>
          </w:tcPr>
          <w:p>
            <w:pPr>
              <w:spacing w:before="60" w:after="60"/>
              <w:jc w:val="center"/>
              <w:rPr>
                <w:noProof/>
                <w:szCs w:val="24"/>
              </w:rPr>
            </w:pPr>
            <w:r>
              <w:rPr>
                <w:noProof/>
                <w:color w:val="000000"/>
                <w:sz w:val="20"/>
              </w:rPr>
              <w:t>X</w:t>
            </w:r>
            <w:r>
              <w:rPr>
                <w:noProof/>
                <w:color w:val="000000"/>
                <w:sz w:val="20"/>
                <w:vertAlign w:val="superscript"/>
              </w:rPr>
              <w:t>(15)</w:t>
            </w:r>
          </w:p>
        </w:tc>
        <w:tc>
          <w:tcPr>
            <w:tcW w:w="549" w:type="dxa"/>
            <w:gridSpan w:val="6"/>
          </w:tcPr>
          <w:p>
            <w:pPr>
              <w:spacing w:before="60" w:after="60"/>
              <w:jc w:val="center"/>
              <w:rPr>
                <w:noProof/>
                <w:szCs w:val="24"/>
              </w:rPr>
            </w:pPr>
            <w:r>
              <w:rPr>
                <w:noProof/>
                <w:color w:val="000000"/>
                <w:sz w:val="20"/>
              </w:rPr>
              <w:t>X</w:t>
            </w:r>
            <w:r>
              <w:rPr>
                <w:noProof/>
                <w:color w:val="000000"/>
                <w:sz w:val="20"/>
                <w:vertAlign w:val="superscript"/>
              </w:rPr>
              <w:t>(15)</w:t>
            </w:r>
          </w:p>
        </w:tc>
        <w:tc>
          <w:tcPr>
            <w:tcW w:w="550" w:type="dxa"/>
            <w:gridSpan w:val="10"/>
          </w:tcPr>
          <w:p>
            <w:pPr>
              <w:spacing w:before="60" w:after="60"/>
              <w:jc w:val="center"/>
              <w:rPr>
                <w:noProof/>
                <w:szCs w:val="24"/>
              </w:rPr>
            </w:pPr>
            <w:r>
              <w:rPr>
                <w:noProof/>
                <w:color w:val="000000"/>
                <w:sz w:val="20"/>
              </w:rPr>
              <w:t>X</w:t>
            </w:r>
            <w:r>
              <w:rPr>
                <w:noProof/>
                <w:color w:val="000000"/>
                <w:sz w:val="20"/>
                <w:vertAlign w:val="superscript"/>
              </w:rPr>
              <w:t>(15)</w:t>
            </w:r>
          </w:p>
        </w:tc>
        <w:tc>
          <w:tcPr>
            <w:tcW w:w="613" w:type="dxa"/>
            <w:gridSpan w:val="6"/>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r>
      <w:tr>
        <w:trPr>
          <w:gridAfter w:val="9"/>
          <w:wAfter w:w="685" w:type="dxa"/>
        </w:trPr>
        <w:tc>
          <w:tcPr>
            <w:tcW w:w="885" w:type="dxa"/>
            <w:gridSpan w:val="14"/>
            <w:tcBorders>
              <w:top w:val="nil"/>
              <w:left w:val="nil"/>
              <w:bottom w:val="nil"/>
              <w:right w:val="nil"/>
            </w:tcBorders>
            <w:shd w:val="clear" w:color="auto" w:fill="auto"/>
          </w:tcPr>
          <w:p>
            <w:pPr>
              <w:rPr>
                <w:noProof/>
                <w:szCs w:val="24"/>
              </w:rPr>
            </w:pPr>
          </w:p>
        </w:tc>
        <w:tc>
          <w:tcPr>
            <w:tcW w:w="8401" w:type="dxa"/>
            <w:gridSpan w:val="88"/>
            <w:tcBorders>
              <w:top w:val="nil"/>
              <w:left w:val="nil"/>
              <w:bottom w:val="nil"/>
              <w:right w:val="nil"/>
            </w:tcBorders>
            <w:shd w:val="clear" w:color="auto" w:fill="auto"/>
          </w:tcPr>
          <w:p>
            <w:pPr>
              <w:pStyle w:val="Point0"/>
              <w:ind w:left="596" w:hanging="312"/>
              <w:rPr>
                <w:noProof/>
                <w:szCs w:val="24"/>
              </w:rPr>
            </w:pPr>
            <w:r>
              <w:rPr>
                <w:noProof/>
              </w:rPr>
              <w:t>iv) korvataan 65 ja 66 kohta seuraavasti:</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4"/>
          <w:wAfter w:w="1883" w:type="dxa"/>
        </w:trPr>
        <w:tc>
          <w:tcPr>
            <w:tcW w:w="726" w:type="dxa"/>
            <w:gridSpan w:val="11"/>
          </w:tcPr>
          <w:p>
            <w:pPr>
              <w:spacing w:before="60" w:after="60"/>
              <w:jc w:val="center"/>
              <w:rPr>
                <w:noProof/>
                <w:szCs w:val="24"/>
              </w:rPr>
            </w:pPr>
            <w:r>
              <w:rPr>
                <w:noProof/>
              </w:rPr>
              <w:t>”65</w:t>
            </w:r>
          </w:p>
        </w:tc>
        <w:tc>
          <w:tcPr>
            <w:tcW w:w="1590" w:type="dxa"/>
            <w:gridSpan w:val="8"/>
          </w:tcPr>
          <w:p>
            <w:pPr>
              <w:spacing w:before="60" w:after="60"/>
              <w:jc w:val="left"/>
              <w:rPr>
                <w:noProof/>
                <w:szCs w:val="24"/>
              </w:rPr>
            </w:pPr>
            <w:r>
              <w:rPr>
                <w:noProof/>
              </w:rPr>
              <w:t xml:space="preserve">Kehittyneet hätäjarrutusjärjestelmät </w:t>
            </w:r>
          </w:p>
        </w:tc>
        <w:tc>
          <w:tcPr>
            <w:tcW w:w="1217" w:type="dxa"/>
            <w:gridSpan w:val="8"/>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131</w:t>
            </w:r>
          </w:p>
        </w:tc>
        <w:tc>
          <w:tcPr>
            <w:tcW w:w="355" w:type="dxa"/>
            <w:gridSpan w:val="6"/>
          </w:tcPr>
          <w:p>
            <w:pPr>
              <w:spacing w:before="60" w:after="60"/>
              <w:jc w:val="center"/>
              <w:rPr>
                <w:noProof/>
                <w:szCs w:val="24"/>
              </w:rPr>
            </w:pPr>
          </w:p>
        </w:tc>
        <w:tc>
          <w:tcPr>
            <w:tcW w:w="475" w:type="dxa"/>
            <w:gridSpan w:val="6"/>
          </w:tcPr>
          <w:p>
            <w:pPr>
              <w:spacing w:before="60" w:after="60"/>
              <w:jc w:val="left"/>
              <w:rPr>
                <w:noProof/>
                <w:szCs w:val="24"/>
              </w:rPr>
            </w:pPr>
            <w:r>
              <w:rPr>
                <w:noProof/>
              </w:rPr>
              <w:t>N/A</w:t>
            </w:r>
          </w:p>
        </w:tc>
        <w:tc>
          <w:tcPr>
            <w:tcW w:w="474" w:type="dxa"/>
            <w:gridSpan w:val="6"/>
          </w:tcPr>
          <w:p>
            <w:pPr>
              <w:spacing w:before="60" w:after="60"/>
              <w:jc w:val="left"/>
              <w:rPr>
                <w:noProof/>
                <w:szCs w:val="24"/>
              </w:rPr>
            </w:pPr>
            <w:r>
              <w:rPr>
                <w:noProof/>
              </w:rPr>
              <w:t>N/A</w:t>
            </w:r>
          </w:p>
        </w:tc>
        <w:tc>
          <w:tcPr>
            <w:tcW w:w="408" w:type="dxa"/>
            <w:gridSpan w:val="6"/>
            <w:shd w:val="clear" w:color="auto" w:fill="auto"/>
          </w:tcPr>
          <w:p>
            <w:pPr>
              <w:spacing w:before="60" w:after="60"/>
              <w:jc w:val="center"/>
              <w:rPr>
                <w:noProof/>
                <w:szCs w:val="24"/>
              </w:rPr>
            </w:pPr>
          </w:p>
        </w:tc>
        <w:tc>
          <w:tcPr>
            <w:tcW w:w="514" w:type="dxa"/>
            <w:gridSpan w:val="7"/>
          </w:tcPr>
          <w:p>
            <w:pPr>
              <w:spacing w:before="60" w:after="60"/>
              <w:jc w:val="center"/>
              <w:rPr>
                <w:noProof/>
                <w:szCs w:val="24"/>
              </w:rPr>
            </w:pPr>
            <w:r>
              <w:rPr>
                <w:noProof/>
              </w:rPr>
              <w:t>N/A</w:t>
            </w:r>
          </w:p>
        </w:tc>
        <w:tc>
          <w:tcPr>
            <w:tcW w:w="592" w:type="dxa"/>
            <w:gridSpan w:val="7"/>
          </w:tcPr>
          <w:p>
            <w:pPr>
              <w:spacing w:before="60" w:after="60"/>
              <w:jc w:val="center"/>
              <w:rPr>
                <w:noProof/>
                <w:szCs w:val="24"/>
              </w:rPr>
            </w:pPr>
            <w:r>
              <w:rPr>
                <w:noProof/>
              </w:rPr>
              <w:t>N/A</w:t>
            </w:r>
          </w:p>
        </w:tc>
        <w:tc>
          <w:tcPr>
            <w:tcW w:w="399" w:type="dxa"/>
            <w:gridSpan w:val="5"/>
          </w:tcPr>
          <w:p>
            <w:pPr>
              <w:spacing w:before="60" w:after="60"/>
              <w:jc w:val="center"/>
              <w:rPr>
                <w:noProof/>
                <w:szCs w:val="24"/>
              </w:rPr>
            </w:pPr>
          </w:p>
        </w:tc>
        <w:tc>
          <w:tcPr>
            <w:tcW w:w="417" w:type="dxa"/>
            <w:gridSpan w:val="3"/>
          </w:tcPr>
          <w:p>
            <w:pPr>
              <w:spacing w:before="60" w:after="60"/>
              <w:jc w:val="center"/>
              <w:rPr>
                <w:noProof/>
                <w:szCs w:val="24"/>
              </w:rPr>
            </w:pPr>
          </w:p>
        </w:tc>
        <w:tc>
          <w:tcPr>
            <w:tcW w:w="446" w:type="dxa"/>
            <w:gridSpan w:val="8"/>
          </w:tcPr>
          <w:p>
            <w:pPr>
              <w:spacing w:before="60" w:after="60"/>
              <w:jc w:val="center"/>
              <w:rPr>
                <w:noProof/>
                <w:szCs w:val="24"/>
              </w:rPr>
            </w:pPr>
          </w:p>
        </w:tc>
        <w:tc>
          <w:tcPr>
            <w:tcW w:w="477" w:type="dxa"/>
            <w:gridSpan w:val="5"/>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4"/>
          <w:wAfter w:w="1883" w:type="dxa"/>
        </w:trPr>
        <w:tc>
          <w:tcPr>
            <w:tcW w:w="726" w:type="dxa"/>
            <w:gridSpan w:val="11"/>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1590" w:type="dxa"/>
            <w:gridSpan w:val="8"/>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Kaistavahtijärjestelmä </w:t>
            </w:r>
          </w:p>
        </w:tc>
        <w:tc>
          <w:tcPr>
            <w:tcW w:w="1217" w:type="dxa"/>
            <w:gridSpan w:val="8"/>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130</w:t>
            </w:r>
          </w:p>
        </w:tc>
        <w:tc>
          <w:tcPr>
            <w:tcW w:w="355"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5" w:type="dxa"/>
            <w:gridSpan w:val="6"/>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N/A</w:t>
            </w:r>
          </w:p>
        </w:tc>
        <w:tc>
          <w:tcPr>
            <w:tcW w:w="474" w:type="dxa"/>
            <w:gridSpan w:val="6"/>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N/A</w:t>
            </w:r>
          </w:p>
        </w:tc>
        <w:tc>
          <w:tcPr>
            <w:tcW w:w="408"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514"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92"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399" w:type="dxa"/>
            <w:gridSpan w:val="5"/>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17" w:type="dxa"/>
            <w:gridSpan w:val="3"/>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46" w:type="dxa"/>
            <w:gridSpan w:val="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7" w:type="dxa"/>
            <w:gridSpan w:val="5"/>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6"/>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3"/>
            <w:tcBorders>
              <w:top w:val="nil"/>
              <w:left w:val="nil"/>
              <w:bottom w:val="nil"/>
              <w:right w:val="nil"/>
            </w:tcBorders>
            <w:shd w:val="clear" w:color="auto" w:fill="auto"/>
          </w:tcPr>
          <w:p>
            <w:pPr>
              <w:pStyle w:val="Point0"/>
              <w:ind w:left="596" w:hanging="596"/>
              <w:rPr>
                <w:noProof/>
                <w:szCs w:val="24"/>
              </w:rPr>
            </w:pPr>
            <w:r>
              <w:rPr>
                <w:noProof/>
              </w:rPr>
              <w:t>c) muutetaan lisäys 3 seuraavasti:</w:t>
            </w:r>
          </w:p>
          <w:p>
            <w:pPr>
              <w:pStyle w:val="Point0"/>
              <w:ind w:left="596" w:hanging="176"/>
              <w:rPr>
                <w:noProof/>
                <w:szCs w:val="24"/>
              </w:rPr>
            </w:pPr>
            <w:r>
              <w:rPr>
                <w:noProof/>
              </w:rPr>
              <w:t>i) lisätään taulukkoon seuraava kohta asianmukaiseen luetelmakohdan numeron mukaiseen paikkaan: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1"/>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”55A</w:t>
            </w:r>
          </w:p>
        </w:tc>
        <w:tc>
          <w:tcPr>
            <w:tcW w:w="3133" w:type="dxa"/>
            <w:gridSpan w:val="24"/>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Pylvässivutörmäys</w:t>
            </w:r>
          </w:p>
        </w:tc>
        <w:tc>
          <w:tcPr>
            <w:tcW w:w="3412" w:type="dxa"/>
            <w:gridSpan w:val="4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135</w:t>
            </w:r>
          </w:p>
        </w:tc>
        <w:tc>
          <w:tcPr>
            <w:tcW w:w="1165"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N/A”</w:t>
            </w:r>
          </w:p>
        </w:tc>
      </w:tr>
      <w:tr>
        <w:trPr>
          <w:gridBefore w:val="1"/>
          <w:gridAfter w:val="16"/>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3"/>
            <w:tcBorders>
              <w:top w:val="nil"/>
              <w:left w:val="nil"/>
              <w:bottom w:val="nil"/>
              <w:right w:val="nil"/>
            </w:tcBorders>
            <w:shd w:val="clear" w:color="auto" w:fill="auto"/>
          </w:tcPr>
          <w:p>
            <w:pPr>
              <w:pStyle w:val="Point0"/>
              <w:ind w:left="596" w:hanging="176"/>
              <w:rPr>
                <w:noProof/>
                <w:szCs w:val="24"/>
              </w:rPr>
            </w:pPr>
            <w:r>
              <w:rPr>
                <w:noProof/>
              </w:rPr>
              <w:t>ii) korvataan 58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1"/>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169" w:type="dxa"/>
            <w:gridSpan w:val="25"/>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Jalankulkijoiden suojelu</w:t>
            </w:r>
          </w:p>
        </w:tc>
        <w:tc>
          <w:tcPr>
            <w:tcW w:w="3376" w:type="dxa"/>
            <w:gridSpan w:val="4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127</w:t>
            </w:r>
          </w:p>
        </w:tc>
        <w:tc>
          <w:tcPr>
            <w:tcW w:w="1165"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G”</w:t>
            </w:r>
          </w:p>
        </w:tc>
      </w:tr>
      <w:tr>
        <w:trPr>
          <w:gridBefore w:val="1"/>
          <w:gridAfter w:val="16"/>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3"/>
            <w:tcBorders>
              <w:top w:val="nil"/>
              <w:left w:val="nil"/>
              <w:bottom w:val="nil"/>
              <w:right w:val="nil"/>
            </w:tcBorders>
            <w:shd w:val="clear" w:color="auto" w:fill="auto"/>
          </w:tcPr>
          <w:p>
            <w:pPr>
              <w:pStyle w:val="Point0"/>
              <w:ind w:left="596" w:hanging="176"/>
              <w:rPr>
                <w:noProof/>
                <w:szCs w:val="24"/>
              </w:rPr>
            </w:pPr>
            <w:r>
              <w:rPr>
                <w:noProof/>
              </w:rPr>
              <w:t>iii) korvataan taulukon 62 ja 63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1"/>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169" w:type="dxa"/>
            <w:gridSpan w:val="25"/>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Vetyjärjestelmä</w:t>
            </w:r>
          </w:p>
        </w:tc>
        <w:tc>
          <w:tcPr>
            <w:tcW w:w="3376" w:type="dxa"/>
            <w:gridSpan w:val="4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134</w:t>
            </w:r>
          </w:p>
        </w:tc>
        <w:tc>
          <w:tcPr>
            <w:tcW w:w="1165"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1"/>
          <w:wAfter w:w="1641" w:type="dxa"/>
        </w:trPr>
        <w:tc>
          <w:tcPr>
            <w:tcW w:w="622" w:type="dxa"/>
            <w:gridSpan w:val="7"/>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3169" w:type="dxa"/>
            <w:gridSpan w:val="25"/>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Yleinen turvallisuus </w:t>
            </w:r>
          </w:p>
        </w:tc>
        <w:tc>
          <w:tcPr>
            <w:tcW w:w="3376" w:type="dxa"/>
            <w:gridSpan w:val="4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tc>
        <w:tc>
          <w:tcPr>
            <w:tcW w:w="1165"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w:t>
            </w:r>
            <w:r>
              <w:rPr>
                <w:noProof/>
                <w:color w:val="000000"/>
                <w:vertAlign w:val="superscript"/>
              </w:rPr>
              <w:t>15</w:t>
            </w:r>
            <w:r>
              <w:rPr>
                <w:noProof/>
                <w:color w:val="000000"/>
              </w:rPr>
              <w:t>)”</w:t>
            </w:r>
          </w:p>
        </w:tc>
      </w:tr>
      <w:tr>
        <w:trPr>
          <w:gridBefore w:val="1"/>
          <w:gridAfter w:val="16"/>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3"/>
            <w:tcBorders>
              <w:top w:val="nil"/>
              <w:left w:val="nil"/>
              <w:bottom w:val="nil"/>
              <w:right w:val="nil"/>
            </w:tcBorders>
            <w:shd w:val="clear" w:color="auto" w:fill="auto"/>
          </w:tcPr>
          <w:p>
            <w:pPr>
              <w:pStyle w:val="Point0"/>
              <w:ind w:left="439" w:hanging="19"/>
              <w:rPr>
                <w:noProof/>
                <w:szCs w:val="24"/>
              </w:rPr>
            </w:pPr>
            <w:r>
              <w:rPr>
                <w:noProof/>
              </w:rPr>
              <w:t>iv) lisätään kohta seuraavasti:</w:t>
            </w:r>
          </w:p>
          <w:p>
            <w:pPr>
              <w:pStyle w:val="Point0"/>
              <w:ind w:left="871" w:hanging="439"/>
              <w:rPr>
                <w:noProof/>
                <w:szCs w:val="24"/>
              </w:rPr>
            </w:pPr>
            <w:r>
              <w:rPr>
                <w:noProof/>
              </w:rPr>
              <w:t xml:space="preserve">”5. </w:t>
            </w:r>
            <w:r>
              <w:rPr>
                <w:noProof/>
              </w:rPr>
              <w:tab/>
              <w:t>Edellä olevia 1–4.2 kohtaa sovelletaan myös niihin luokan M</w:t>
            </w:r>
            <w:r>
              <w:rPr>
                <w:noProof/>
                <w:vertAlign w:val="subscript"/>
              </w:rPr>
              <w:t>1</w:t>
            </w:r>
            <w:r>
              <w:rPr>
                <w:noProof/>
              </w:rPr>
              <w:t xml:space="preserve"> ajoneuvoihin, joita ei ole luokiteltu erikoiskäyttöön tarkoitetuiksi ajoneuvoiksi mutta jotka on suunniteltu pyörätuolin käyttäjille.”</w:t>
            </w:r>
          </w:p>
        </w:tc>
      </w:tr>
      <w:tr>
        <w:trPr>
          <w:gridBefore w:val="1"/>
          <w:gridAfter w:val="11"/>
          <w:wAfter w:w="890" w:type="dxa"/>
        </w:trPr>
        <w:tc>
          <w:tcPr>
            <w:tcW w:w="726" w:type="dxa"/>
            <w:gridSpan w:val="11"/>
            <w:tcBorders>
              <w:top w:val="nil"/>
              <w:left w:val="nil"/>
              <w:bottom w:val="nil"/>
              <w:right w:val="nil"/>
            </w:tcBorders>
            <w:shd w:val="clear" w:color="auto" w:fill="auto"/>
          </w:tcPr>
          <w:p>
            <w:pPr>
              <w:rPr>
                <w:noProof/>
                <w:szCs w:val="24"/>
              </w:rPr>
            </w:pPr>
          </w:p>
        </w:tc>
        <w:tc>
          <w:tcPr>
            <w:tcW w:w="8357" w:type="dxa"/>
            <w:gridSpan w:val="88"/>
            <w:tcBorders>
              <w:top w:val="nil"/>
              <w:left w:val="nil"/>
              <w:bottom w:val="nil"/>
              <w:right w:val="nil"/>
            </w:tcBorders>
            <w:shd w:val="clear" w:color="auto" w:fill="auto"/>
          </w:tcPr>
          <w:p>
            <w:pPr>
              <w:pStyle w:val="Point0"/>
              <w:ind w:left="596" w:hanging="596"/>
              <w:rPr>
                <w:noProof/>
                <w:szCs w:val="24"/>
              </w:rPr>
            </w:pPr>
            <w:r>
              <w:rPr>
                <w:noProof/>
              </w:rPr>
              <w:t>d) muutetaan lisäyksessä 4 oleva taulukko seuraavasti:</w:t>
            </w:r>
          </w:p>
          <w:p>
            <w:pPr>
              <w:pStyle w:val="Point0"/>
              <w:ind w:left="596" w:hanging="176"/>
              <w:rPr>
                <w:noProof/>
                <w:szCs w:val="24"/>
              </w:rPr>
            </w:pPr>
            <w:r>
              <w:rPr>
                <w:noProof/>
              </w:rPr>
              <w:t>i) lisätään seuraava kohta asianmukaiseen luetelmakohdan numeron mukaiseen paikkaan:</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85" w:type="dxa"/>
            <w:gridSpan w:val="10"/>
          </w:tcPr>
          <w:p>
            <w:pPr>
              <w:spacing w:before="60" w:after="60"/>
              <w:jc w:val="center"/>
              <w:rPr>
                <w:noProof/>
                <w:szCs w:val="24"/>
              </w:rPr>
            </w:pPr>
            <w:r>
              <w:rPr>
                <w:noProof/>
              </w:rPr>
              <w:t>”55A</w:t>
            </w:r>
          </w:p>
        </w:tc>
        <w:tc>
          <w:tcPr>
            <w:tcW w:w="1605" w:type="dxa"/>
            <w:gridSpan w:val="7"/>
          </w:tcPr>
          <w:p>
            <w:pPr>
              <w:spacing w:before="60" w:after="60"/>
              <w:jc w:val="left"/>
              <w:rPr>
                <w:noProof/>
                <w:szCs w:val="24"/>
              </w:rPr>
            </w:pPr>
            <w:r>
              <w:rPr>
                <w:noProof/>
              </w:rPr>
              <w:t>Pylvässivutörmäys</w:t>
            </w:r>
          </w:p>
        </w:tc>
        <w:tc>
          <w:tcPr>
            <w:tcW w:w="1283" w:type="dxa"/>
            <w:gridSpan w:val="11"/>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135</w:t>
            </w:r>
          </w:p>
        </w:tc>
        <w:tc>
          <w:tcPr>
            <w:tcW w:w="525" w:type="dxa"/>
            <w:gridSpan w:val="7"/>
          </w:tcPr>
          <w:p>
            <w:pPr>
              <w:spacing w:before="60" w:after="60"/>
              <w:rPr>
                <w:noProof/>
                <w:szCs w:val="24"/>
              </w:rPr>
            </w:pPr>
          </w:p>
        </w:tc>
        <w:tc>
          <w:tcPr>
            <w:tcW w:w="546" w:type="dxa"/>
            <w:gridSpan w:val="8"/>
          </w:tcPr>
          <w:p>
            <w:pPr>
              <w:spacing w:before="60" w:after="60"/>
              <w:rPr>
                <w:noProof/>
                <w:szCs w:val="24"/>
              </w:rPr>
            </w:pPr>
          </w:p>
        </w:tc>
        <w:tc>
          <w:tcPr>
            <w:tcW w:w="507" w:type="dxa"/>
            <w:gridSpan w:val="5"/>
            <w:shd w:val="clear" w:color="auto" w:fill="auto"/>
          </w:tcPr>
          <w:p>
            <w:pPr>
              <w:spacing w:before="60" w:after="60"/>
              <w:jc w:val="center"/>
              <w:rPr>
                <w:noProof/>
                <w:szCs w:val="24"/>
              </w:rPr>
            </w:pPr>
            <w:r>
              <w:rPr>
                <w:noProof/>
              </w:rPr>
              <w:t>A”</w:t>
            </w:r>
          </w:p>
        </w:tc>
        <w:tc>
          <w:tcPr>
            <w:tcW w:w="513" w:type="dxa"/>
            <w:gridSpan w:val="6"/>
          </w:tcPr>
          <w:p>
            <w:pPr>
              <w:spacing w:before="60" w:after="60"/>
              <w:rPr>
                <w:noProof/>
                <w:szCs w:val="24"/>
              </w:rPr>
            </w:pPr>
          </w:p>
        </w:tc>
        <w:tc>
          <w:tcPr>
            <w:tcW w:w="575" w:type="dxa"/>
            <w:gridSpan w:val="9"/>
          </w:tcPr>
          <w:p>
            <w:pPr>
              <w:spacing w:before="60" w:after="60"/>
              <w:rPr>
                <w:noProof/>
                <w:szCs w:val="24"/>
              </w:rPr>
            </w:pPr>
          </w:p>
        </w:tc>
        <w:tc>
          <w:tcPr>
            <w:tcW w:w="511" w:type="dxa"/>
            <w:gridSpan w:val="7"/>
          </w:tcPr>
          <w:p>
            <w:pPr>
              <w:spacing w:before="60" w:after="60"/>
              <w:rPr>
                <w:noProof/>
                <w:szCs w:val="24"/>
              </w:rPr>
            </w:pPr>
          </w:p>
        </w:tc>
        <w:tc>
          <w:tcPr>
            <w:tcW w:w="507" w:type="dxa"/>
            <w:gridSpan w:val="6"/>
          </w:tcPr>
          <w:p>
            <w:pPr>
              <w:spacing w:before="60" w:after="60"/>
              <w:rPr>
                <w:noProof/>
                <w:szCs w:val="24"/>
              </w:rPr>
            </w:pPr>
          </w:p>
        </w:tc>
        <w:tc>
          <w:tcPr>
            <w:tcW w:w="507" w:type="dxa"/>
            <w:gridSpan w:val="7"/>
          </w:tcPr>
          <w:p>
            <w:pPr>
              <w:spacing w:before="60" w:after="60"/>
              <w:rPr>
                <w:noProof/>
                <w:szCs w:val="24"/>
              </w:rPr>
            </w:pPr>
          </w:p>
        </w:tc>
        <w:tc>
          <w:tcPr>
            <w:tcW w:w="599" w:type="dxa"/>
            <w:gridSpan w:val="8"/>
          </w:tcPr>
          <w:p>
            <w:pPr>
              <w:spacing w:before="60" w:after="60"/>
              <w:rPr>
                <w:noProof/>
                <w:szCs w:val="24"/>
              </w:rPr>
            </w:pPr>
          </w:p>
        </w:tc>
      </w:tr>
      <w:tr>
        <w:trPr>
          <w:gridBefore w:val="1"/>
          <w:gridAfter w:val="16"/>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6"/>
            <w:tcBorders>
              <w:top w:val="nil"/>
              <w:left w:val="nil"/>
              <w:bottom w:val="nil"/>
              <w:right w:val="nil"/>
            </w:tcBorders>
            <w:shd w:val="clear" w:color="auto" w:fill="auto"/>
          </w:tcPr>
          <w:p>
            <w:pPr>
              <w:pStyle w:val="Point0"/>
              <w:ind w:left="596" w:hanging="102"/>
              <w:rPr>
                <w:noProof/>
                <w:szCs w:val="24"/>
              </w:rPr>
            </w:pPr>
            <w:r>
              <w:rPr>
                <w:noProof/>
              </w:rPr>
              <w:t>ii) korvataan 58 kohta seuraavasti:</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71" w:type="dxa"/>
            <w:gridSpan w:val="9"/>
          </w:tcPr>
          <w:p>
            <w:pPr>
              <w:spacing w:before="60" w:after="60"/>
              <w:jc w:val="center"/>
              <w:rPr>
                <w:noProof/>
                <w:szCs w:val="24"/>
              </w:rPr>
            </w:pPr>
            <w:r>
              <w:rPr>
                <w:noProof/>
              </w:rPr>
              <w:t>”58</w:t>
            </w:r>
          </w:p>
        </w:tc>
        <w:tc>
          <w:tcPr>
            <w:tcW w:w="1619" w:type="dxa"/>
            <w:gridSpan w:val="8"/>
          </w:tcPr>
          <w:p>
            <w:pPr>
              <w:spacing w:before="60" w:after="60"/>
              <w:jc w:val="left"/>
              <w:rPr>
                <w:noProof/>
                <w:szCs w:val="24"/>
              </w:rPr>
            </w:pPr>
            <w:r>
              <w:rPr>
                <w:noProof/>
              </w:rPr>
              <w:t>Jalankulkijoiden suojelu</w:t>
            </w:r>
          </w:p>
        </w:tc>
        <w:tc>
          <w:tcPr>
            <w:tcW w:w="1283" w:type="dxa"/>
            <w:gridSpan w:val="11"/>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127</w:t>
            </w:r>
          </w:p>
        </w:tc>
        <w:tc>
          <w:tcPr>
            <w:tcW w:w="525" w:type="dxa"/>
            <w:gridSpan w:val="7"/>
          </w:tcPr>
          <w:p>
            <w:pPr>
              <w:spacing w:before="60" w:after="60"/>
              <w:rPr>
                <w:noProof/>
                <w:szCs w:val="24"/>
              </w:rPr>
            </w:pPr>
          </w:p>
        </w:tc>
        <w:tc>
          <w:tcPr>
            <w:tcW w:w="546" w:type="dxa"/>
            <w:gridSpan w:val="8"/>
          </w:tcPr>
          <w:p>
            <w:pPr>
              <w:spacing w:before="60" w:after="60"/>
              <w:rPr>
                <w:noProof/>
                <w:szCs w:val="24"/>
              </w:rPr>
            </w:pPr>
          </w:p>
        </w:tc>
        <w:tc>
          <w:tcPr>
            <w:tcW w:w="507" w:type="dxa"/>
            <w:gridSpan w:val="5"/>
            <w:shd w:val="clear" w:color="auto" w:fill="auto"/>
          </w:tcPr>
          <w:p>
            <w:pPr>
              <w:spacing w:before="60" w:after="60"/>
              <w:jc w:val="center"/>
              <w:rPr>
                <w:noProof/>
                <w:szCs w:val="24"/>
              </w:rPr>
            </w:pPr>
            <w:r>
              <w:rPr>
                <w:noProof/>
              </w:rPr>
              <w:t>A”</w:t>
            </w:r>
          </w:p>
        </w:tc>
        <w:tc>
          <w:tcPr>
            <w:tcW w:w="513" w:type="dxa"/>
            <w:gridSpan w:val="6"/>
          </w:tcPr>
          <w:p>
            <w:pPr>
              <w:spacing w:before="60" w:after="60"/>
              <w:rPr>
                <w:noProof/>
                <w:szCs w:val="24"/>
              </w:rPr>
            </w:pPr>
          </w:p>
        </w:tc>
        <w:tc>
          <w:tcPr>
            <w:tcW w:w="575" w:type="dxa"/>
            <w:gridSpan w:val="9"/>
          </w:tcPr>
          <w:p>
            <w:pPr>
              <w:spacing w:before="60" w:after="60"/>
              <w:rPr>
                <w:noProof/>
                <w:szCs w:val="24"/>
              </w:rPr>
            </w:pPr>
          </w:p>
        </w:tc>
        <w:tc>
          <w:tcPr>
            <w:tcW w:w="511" w:type="dxa"/>
            <w:gridSpan w:val="7"/>
          </w:tcPr>
          <w:p>
            <w:pPr>
              <w:spacing w:before="60" w:after="60"/>
              <w:rPr>
                <w:noProof/>
                <w:szCs w:val="24"/>
              </w:rPr>
            </w:pPr>
          </w:p>
        </w:tc>
        <w:tc>
          <w:tcPr>
            <w:tcW w:w="507" w:type="dxa"/>
            <w:gridSpan w:val="6"/>
          </w:tcPr>
          <w:p>
            <w:pPr>
              <w:spacing w:before="60" w:after="60"/>
              <w:rPr>
                <w:noProof/>
                <w:szCs w:val="24"/>
              </w:rPr>
            </w:pPr>
          </w:p>
        </w:tc>
        <w:tc>
          <w:tcPr>
            <w:tcW w:w="507" w:type="dxa"/>
            <w:gridSpan w:val="7"/>
          </w:tcPr>
          <w:p>
            <w:pPr>
              <w:spacing w:before="60" w:after="60"/>
              <w:rPr>
                <w:noProof/>
                <w:szCs w:val="24"/>
              </w:rPr>
            </w:pPr>
          </w:p>
        </w:tc>
        <w:tc>
          <w:tcPr>
            <w:tcW w:w="599" w:type="dxa"/>
            <w:gridSpan w:val="8"/>
          </w:tcPr>
          <w:p>
            <w:pPr>
              <w:spacing w:before="60" w:after="60"/>
              <w:rPr>
                <w:noProof/>
                <w:szCs w:val="24"/>
              </w:rPr>
            </w:pPr>
          </w:p>
        </w:tc>
      </w:tr>
      <w:tr>
        <w:trPr>
          <w:gridBefore w:val="1"/>
          <w:gridAfter w:val="16"/>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6"/>
            <w:tcBorders>
              <w:top w:val="nil"/>
              <w:left w:val="nil"/>
              <w:bottom w:val="nil"/>
              <w:right w:val="nil"/>
            </w:tcBorders>
            <w:shd w:val="clear" w:color="auto" w:fill="auto"/>
          </w:tcPr>
          <w:p>
            <w:pPr>
              <w:pStyle w:val="Point0"/>
              <w:ind w:left="596" w:hanging="90"/>
              <w:rPr>
                <w:noProof/>
                <w:szCs w:val="24"/>
              </w:rPr>
            </w:pPr>
            <w:r>
              <w:rPr>
                <w:noProof/>
              </w:rPr>
              <w:t>iii) korvataan 62, 63, 65 ja 66 kohta seuraavasti:</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71" w:type="dxa"/>
            <w:gridSpan w:val="9"/>
          </w:tcPr>
          <w:p>
            <w:pPr>
              <w:spacing w:before="60" w:after="60"/>
              <w:jc w:val="center"/>
              <w:rPr>
                <w:noProof/>
                <w:szCs w:val="24"/>
              </w:rPr>
            </w:pPr>
            <w:r>
              <w:rPr>
                <w:noProof/>
              </w:rPr>
              <w:t>”62</w:t>
            </w:r>
          </w:p>
        </w:tc>
        <w:tc>
          <w:tcPr>
            <w:tcW w:w="1619" w:type="dxa"/>
            <w:gridSpan w:val="8"/>
          </w:tcPr>
          <w:p>
            <w:pPr>
              <w:spacing w:before="60" w:after="60"/>
              <w:jc w:val="left"/>
              <w:rPr>
                <w:noProof/>
                <w:szCs w:val="24"/>
              </w:rPr>
            </w:pPr>
            <w:r>
              <w:rPr>
                <w:noProof/>
              </w:rPr>
              <w:t>Vetyjärjestelmä</w:t>
            </w:r>
          </w:p>
        </w:tc>
        <w:tc>
          <w:tcPr>
            <w:tcW w:w="1283" w:type="dxa"/>
            <w:gridSpan w:val="11"/>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134</w:t>
            </w:r>
          </w:p>
        </w:tc>
        <w:tc>
          <w:tcPr>
            <w:tcW w:w="525" w:type="dxa"/>
            <w:gridSpan w:val="7"/>
          </w:tcPr>
          <w:p>
            <w:pPr>
              <w:spacing w:before="60" w:after="60"/>
              <w:jc w:val="center"/>
              <w:rPr>
                <w:noProof/>
                <w:szCs w:val="24"/>
              </w:rPr>
            </w:pPr>
            <w:r>
              <w:rPr>
                <w:noProof/>
              </w:rPr>
              <w:t>X</w:t>
            </w:r>
          </w:p>
        </w:tc>
        <w:tc>
          <w:tcPr>
            <w:tcW w:w="546" w:type="dxa"/>
            <w:gridSpan w:val="8"/>
          </w:tcPr>
          <w:p>
            <w:pPr>
              <w:spacing w:before="60" w:after="60"/>
              <w:jc w:val="center"/>
              <w:rPr>
                <w:noProof/>
                <w:szCs w:val="24"/>
              </w:rPr>
            </w:pPr>
            <w:r>
              <w:rPr>
                <w:noProof/>
              </w:rPr>
              <w:t>X</w:t>
            </w:r>
          </w:p>
        </w:tc>
        <w:tc>
          <w:tcPr>
            <w:tcW w:w="507" w:type="dxa"/>
            <w:gridSpan w:val="5"/>
            <w:shd w:val="clear" w:color="auto" w:fill="auto"/>
          </w:tcPr>
          <w:p>
            <w:pPr>
              <w:spacing w:before="60" w:after="60"/>
              <w:jc w:val="center"/>
              <w:rPr>
                <w:noProof/>
                <w:szCs w:val="24"/>
              </w:rPr>
            </w:pPr>
            <w:r>
              <w:rPr>
                <w:noProof/>
              </w:rPr>
              <w:t>X</w:t>
            </w:r>
          </w:p>
        </w:tc>
        <w:tc>
          <w:tcPr>
            <w:tcW w:w="513" w:type="dxa"/>
            <w:gridSpan w:val="6"/>
          </w:tcPr>
          <w:p>
            <w:pPr>
              <w:spacing w:before="60" w:after="60"/>
              <w:jc w:val="center"/>
              <w:rPr>
                <w:noProof/>
                <w:szCs w:val="24"/>
              </w:rPr>
            </w:pPr>
            <w:r>
              <w:rPr>
                <w:noProof/>
              </w:rPr>
              <w:t>X</w:t>
            </w:r>
          </w:p>
        </w:tc>
        <w:tc>
          <w:tcPr>
            <w:tcW w:w="575" w:type="dxa"/>
            <w:gridSpan w:val="9"/>
          </w:tcPr>
          <w:p>
            <w:pPr>
              <w:spacing w:before="60" w:after="60"/>
              <w:jc w:val="center"/>
              <w:rPr>
                <w:noProof/>
                <w:szCs w:val="24"/>
              </w:rPr>
            </w:pPr>
            <w:r>
              <w:rPr>
                <w:noProof/>
              </w:rPr>
              <w:t>X</w:t>
            </w:r>
          </w:p>
        </w:tc>
        <w:tc>
          <w:tcPr>
            <w:tcW w:w="511" w:type="dxa"/>
            <w:gridSpan w:val="7"/>
          </w:tcPr>
          <w:p>
            <w:pPr>
              <w:spacing w:before="60" w:after="60"/>
              <w:rPr>
                <w:noProof/>
                <w:szCs w:val="24"/>
              </w:rPr>
            </w:pPr>
          </w:p>
        </w:tc>
        <w:tc>
          <w:tcPr>
            <w:tcW w:w="507" w:type="dxa"/>
            <w:gridSpan w:val="6"/>
          </w:tcPr>
          <w:p>
            <w:pPr>
              <w:spacing w:before="60" w:after="60"/>
              <w:jc w:val="center"/>
              <w:rPr>
                <w:noProof/>
                <w:szCs w:val="24"/>
              </w:rPr>
            </w:pPr>
          </w:p>
        </w:tc>
        <w:tc>
          <w:tcPr>
            <w:tcW w:w="507" w:type="dxa"/>
            <w:gridSpan w:val="7"/>
          </w:tcPr>
          <w:p>
            <w:pPr>
              <w:spacing w:before="60" w:after="60"/>
              <w:rPr>
                <w:noProof/>
                <w:szCs w:val="24"/>
              </w:rPr>
            </w:pPr>
          </w:p>
        </w:tc>
        <w:tc>
          <w:tcPr>
            <w:tcW w:w="599" w:type="dxa"/>
            <w:gridSpan w:val="8"/>
          </w:tcPr>
          <w:p>
            <w:pPr>
              <w:spacing w:before="60" w:after="60"/>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71" w:type="dxa"/>
            <w:gridSpan w:val="9"/>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63</w:t>
            </w:r>
          </w:p>
        </w:tc>
        <w:tc>
          <w:tcPr>
            <w:tcW w:w="1619" w:type="dxa"/>
            <w:gridSpan w:val="8"/>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Yleinen turvallisuus </w:t>
            </w:r>
          </w:p>
        </w:tc>
        <w:tc>
          <w:tcPr>
            <w:tcW w:w="1283" w:type="dxa"/>
            <w:gridSpan w:val="11"/>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Asetus (EU) 2019/…</w:t>
            </w:r>
            <w:r>
              <w:rPr>
                <w:noProof/>
                <w:vertAlign w:val="superscript"/>
              </w:rPr>
              <w:t>+</w:t>
            </w:r>
          </w:p>
        </w:tc>
        <w:tc>
          <w:tcPr>
            <w:tcW w:w="525"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46" w:type="dxa"/>
            <w:gridSpan w:val="8"/>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5"/>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 w:val="22"/>
                <w:szCs w:val="24"/>
              </w:rPr>
            </w:pPr>
            <w:r>
              <w:rPr>
                <w:noProof/>
                <w:color w:val="000000"/>
                <w:sz w:val="22"/>
              </w:rPr>
              <w:t>X</w:t>
            </w:r>
            <w:r>
              <w:rPr>
                <w:noProof/>
                <w:color w:val="000000"/>
                <w:sz w:val="22"/>
                <w:vertAlign w:val="superscript"/>
              </w:rPr>
              <w:t>(15)</w:t>
            </w:r>
          </w:p>
        </w:tc>
        <w:tc>
          <w:tcPr>
            <w:tcW w:w="513"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75"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11"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7"/>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c>
          <w:tcPr>
            <w:tcW w:w="599" w:type="dxa"/>
            <w:gridSpan w:val="8"/>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71" w:type="dxa"/>
            <w:gridSpan w:val="9"/>
          </w:tcPr>
          <w:p>
            <w:pPr>
              <w:spacing w:before="60" w:after="60"/>
              <w:jc w:val="center"/>
              <w:rPr>
                <w:noProof/>
                <w:szCs w:val="24"/>
              </w:rPr>
            </w:pPr>
            <w:r>
              <w:rPr>
                <w:noProof/>
              </w:rPr>
              <w:t>65</w:t>
            </w:r>
          </w:p>
        </w:tc>
        <w:tc>
          <w:tcPr>
            <w:tcW w:w="1651" w:type="dxa"/>
            <w:gridSpan w:val="11"/>
          </w:tcPr>
          <w:p>
            <w:pPr>
              <w:spacing w:before="60" w:after="60"/>
              <w:jc w:val="left"/>
              <w:rPr>
                <w:noProof/>
                <w:szCs w:val="24"/>
              </w:rPr>
            </w:pPr>
            <w:r>
              <w:rPr>
                <w:noProof/>
              </w:rPr>
              <w:t xml:space="preserve">Kehittyneet hätäjarrutusjärjestelmät </w:t>
            </w:r>
          </w:p>
        </w:tc>
        <w:tc>
          <w:tcPr>
            <w:tcW w:w="1325" w:type="dxa"/>
            <w:gridSpan w:val="10"/>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131</w:t>
            </w:r>
          </w:p>
        </w:tc>
        <w:tc>
          <w:tcPr>
            <w:tcW w:w="535" w:type="dxa"/>
            <w:gridSpan w:val="8"/>
          </w:tcPr>
          <w:p>
            <w:pPr>
              <w:spacing w:before="60" w:after="60"/>
              <w:jc w:val="center"/>
              <w:rPr>
                <w:noProof/>
                <w:szCs w:val="24"/>
              </w:rPr>
            </w:pPr>
            <w:r>
              <w:rPr>
                <w:noProof/>
              </w:rPr>
              <w:t>N/A</w:t>
            </w:r>
          </w:p>
        </w:tc>
        <w:tc>
          <w:tcPr>
            <w:tcW w:w="533" w:type="dxa"/>
            <w:gridSpan w:val="6"/>
          </w:tcPr>
          <w:p>
            <w:pPr>
              <w:spacing w:before="60" w:after="60"/>
              <w:jc w:val="center"/>
              <w:rPr>
                <w:noProof/>
                <w:szCs w:val="24"/>
              </w:rPr>
            </w:pPr>
            <w:r>
              <w:rPr>
                <w:noProof/>
              </w:rPr>
              <w:t>N/A</w:t>
            </w:r>
          </w:p>
        </w:tc>
        <w:tc>
          <w:tcPr>
            <w:tcW w:w="510" w:type="dxa"/>
            <w:gridSpan w:val="6"/>
            <w:shd w:val="clear" w:color="auto" w:fill="auto"/>
          </w:tcPr>
          <w:p>
            <w:pPr>
              <w:spacing w:before="60" w:after="60"/>
              <w:jc w:val="center"/>
              <w:rPr>
                <w:noProof/>
                <w:szCs w:val="24"/>
              </w:rPr>
            </w:pPr>
          </w:p>
        </w:tc>
        <w:tc>
          <w:tcPr>
            <w:tcW w:w="508" w:type="dxa"/>
            <w:gridSpan w:val="7"/>
          </w:tcPr>
          <w:p>
            <w:pPr>
              <w:spacing w:before="60" w:after="60"/>
              <w:jc w:val="center"/>
              <w:rPr>
                <w:noProof/>
                <w:szCs w:val="24"/>
              </w:rPr>
            </w:pPr>
            <w:r>
              <w:rPr>
                <w:noProof/>
              </w:rPr>
              <w:t>N/A</w:t>
            </w:r>
          </w:p>
        </w:tc>
        <w:tc>
          <w:tcPr>
            <w:tcW w:w="575" w:type="dxa"/>
            <w:gridSpan w:val="7"/>
          </w:tcPr>
          <w:p>
            <w:pPr>
              <w:spacing w:before="60" w:after="60"/>
              <w:jc w:val="center"/>
              <w:rPr>
                <w:noProof/>
                <w:szCs w:val="24"/>
              </w:rPr>
            </w:pPr>
            <w:r>
              <w:rPr>
                <w:noProof/>
              </w:rPr>
              <w:t>N/A</w:t>
            </w:r>
          </w:p>
        </w:tc>
        <w:tc>
          <w:tcPr>
            <w:tcW w:w="498" w:type="dxa"/>
            <w:gridSpan w:val="7"/>
          </w:tcPr>
          <w:p>
            <w:pPr>
              <w:spacing w:before="60" w:after="60"/>
              <w:jc w:val="center"/>
              <w:rPr>
                <w:noProof/>
                <w:szCs w:val="24"/>
              </w:rPr>
            </w:pPr>
          </w:p>
        </w:tc>
        <w:tc>
          <w:tcPr>
            <w:tcW w:w="507" w:type="dxa"/>
            <w:gridSpan w:val="7"/>
          </w:tcPr>
          <w:p>
            <w:pPr>
              <w:spacing w:before="60" w:after="60"/>
              <w:jc w:val="center"/>
              <w:rPr>
                <w:noProof/>
                <w:szCs w:val="24"/>
              </w:rPr>
            </w:pPr>
          </w:p>
        </w:tc>
        <w:tc>
          <w:tcPr>
            <w:tcW w:w="507" w:type="dxa"/>
            <w:gridSpan w:val="6"/>
          </w:tcPr>
          <w:p>
            <w:pPr>
              <w:spacing w:before="60" w:after="60"/>
              <w:jc w:val="center"/>
              <w:rPr>
                <w:noProof/>
                <w:szCs w:val="24"/>
              </w:rPr>
            </w:pPr>
          </w:p>
        </w:tc>
        <w:tc>
          <w:tcPr>
            <w:tcW w:w="543" w:type="dxa"/>
            <w:gridSpan w:val="7"/>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19"/>
          <w:wAfter w:w="1610" w:type="dxa"/>
        </w:trPr>
        <w:tc>
          <w:tcPr>
            <w:tcW w:w="671" w:type="dxa"/>
            <w:gridSpan w:val="9"/>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1651" w:type="dxa"/>
            <w:gridSpan w:val="11"/>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Kaistavahtijärjestelmä </w:t>
            </w:r>
          </w:p>
        </w:tc>
        <w:tc>
          <w:tcPr>
            <w:tcW w:w="1325" w:type="dxa"/>
            <w:gridSpan w:val="10"/>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130</w:t>
            </w:r>
          </w:p>
        </w:tc>
        <w:tc>
          <w:tcPr>
            <w:tcW w:w="535" w:type="dxa"/>
            <w:gridSpan w:val="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33"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10"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508"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75"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498"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07"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07"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43"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6"/>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6"/>
            <w:tcBorders>
              <w:top w:val="nil"/>
              <w:left w:val="nil"/>
              <w:bottom w:val="nil"/>
              <w:right w:val="nil"/>
            </w:tcBorders>
            <w:shd w:val="clear" w:color="auto" w:fill="auto"/>
          </w:tcPr>
          <w:p>
            <w:pPr>
              <w:pStyle w:val="Point0"/>
              <w:ind w:left="596" w:hanging="596"/>
              <w:rPr>
                <w:noProof/>
                <w:szCs w:val="24"/>
              </w:rPr>
            </w:pPr>
            <w:r>
              <w:rPr>
                <w:noProof/>
              </w:rPr>
              <w:t>e) korvataan lisäyksessä 5 olevan taulukon 62, 63, 65 ja 66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7"/>
          <w:wAfter w:w="1561" w:type="dxa"/>
        </w:trPr>
        <w:tc>
          <w:tcPr>
            <w:tcW w:w="829" w:type="dxa"/>
            <w:gridSpan w:val="14"/>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698" w:type="dxa"/>
            <w:gridSpan w:val="1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Vetyjärjestelmä</w:t>
            </w:r>
          </w:p>
        </w:tc>
        <w:tc>
          <w:tcPr>
            <w:tcW w:w="3752" w:type="dxa"/>
            <w:gridSpan w:val="5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134</w:t>
            </w:r>
          </w:p>
        </w:tc>
        <w:tc>
          <w:tcPr>
            <w:tcW w:w="1133"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7"/>
          <w:wAfter w:w="1561" w:type="dxa"/>
        </w:trPr>
        <w:tc>
          <w:tcPr>
            <w:tcW w:w="829" w:type="dxa"/>
            <w:gridSpan w:val="14"/>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698" w:type="dxa"/>
            <w:gridSpan w:val="12"/>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Yleinen turvallisuus</w:t>
            </w:r>
          </w:p>
        </w:tc>
        <w:tc>
          <w:tcPr>
            <w:tcW w:w="3752" w:type="dxa"/>
            <w:gridSpan w:val="5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tc>
        <w:tc>
          <w:tcPr>
            <w:tcW w:w="1133"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w:t>
            </w:r>
            <w:r>
              <w:rPr>
                <w:noProof/>
                <w:color w:val="000000"/>
                <w:vertAlign w:val="superscript"/>
              </w:rPr>
              <w:t>(15)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7"/>
          <w:wAfter w:w="1561" w:type="dxa"/>
        </w:trPr>
        <w:tc>
          <w:tcPr>
            <w:tcW w:w="829" w:type="dxa"/>
            <w:gridSpan w:val="14"/>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2698" w:type="dxa"/>
            <w:gridSpan w:val="1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Kehittyneet hätäjarrutusjärjestelmät </w:t>
            </w:r>
          </w:p>
        </w:tc>
        <w:tc>
          <w:tcPr>
            <w:tcW w:w="3752" w:type="dxa"/>
            <w:gridSpan w:val="5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131</w:t>
            </w:r>
          </w:p>
        </w:tc>
        <w:tc>
          <w:tcPr>
            <w:tcW w:w="1133"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noProof/>
                <w:szCs w:val="24"/>
              </w:rPr>
            </w:pPr>
            <w:r>
              <w:rPr>
                <w:noProof/>
              </w:rPr>
              <w:t>N/A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7"/>
          <w:wAfter w:w="1561" w:type="dxa"/>
        </w:trPr>
        <w:tc>
          <w:tcPr>
            <w:tcW w:w="829" w:type="dxa"/>
            <w:gridSpan w:val="14"/>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2698" w:type="dxa"/>
            <w:gridSpan w:val="12"/>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Kaistavahtijärjestelmä </w:t>
            </w:r>
          </w:p>
        </w:tc>
        <w:tc>
          <w:tcPr>
            <w:tcW w:w="3752" w:type="dxa"/>
            <w:gridSpan w:val="5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130</w:t>
            </w:r>
          </w:p>
        </w:tc>
        <w:tc>
          <w:tcPr>
            <w:tcW w:w="1133"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r>
      <w:tr>
        <w:trPr>
          <w:gridBefore w:val="1"/>
        </w:trPr>
        <w:tc>
          <w:tcPr>
            <w:tcW w:w="622" w:type="dxa"/>
            <w:gridSpan w:val="7"/>
            <w:tcBorders>
              <w:top w:val="nil"/>
              <w:left w:val="nil"/>
              <w:bottom w:val="nil"/>
              <w:right w:val="nil"/>
            </w:tcBorders>
            <w:shd w:val="clear" w:color="auto" w:fill="auto"/>
          </w:tcPr>
          <w:p>
            <w:pPr>
              <w:rPr>
                <w:noProof/>
                <w:szCs w:val="24"/>
              </w:rPr>
            </w:pPr>
          </w:p>
        </w:tc>
        <w:tc>
          <w:tcPr>
            <w:tcW w:w="9349" w:type="dxa"/>
            <w:gridSpan w:val="103"/>
            <w:tcBorders>
              <w:top w:val="nil"/>
              <w:left w:val="nil"/>
              <w:bottom w:val="nil"/>
              <w:right w:val="nil"/>
            </w:tcBorders>
            <w:shd w:val="clear" w:color="auto" w:fill="auto"/>
          </w:tcPr>
          <w:p>
            <w:pPr>
              <w:pStyle w:val="Point0"/>
              <w:ind w:left="596" w:hanging="596"/>
              <w:rPr>
                <w:noProof/>
                <w:szCs w:val="24"/>
              </w:rPr>
            </w:pPr>
            <w:r>
              <w:rPr>
                <w:noProof/>
              </w:rPr>
              <w:t xml:space="preserve"> f) korvataan lisäyksessä 6 olevan taulukon 62, 63, 65 ja 66 kohta seuraavasti: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8"/>
          <w:wAfter w:w="1596" w:type="dxa"/>
        </w:trPr>
        <w:tc>
          <w:tcPr>
            <w:tcW w:w="590"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287" w:type="dxa"/>
            <w:gridSpan w:val="16"/>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Vetyjärjestelmä</w:t>
            </w:r>
          </w:p>
        </w:tc>
        <w:tc>
          <w:tcPr>
            <w:tcW w:w="2983" w:type="dxa"/>
            <w:gridSpan w:val="3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rFonts w:eastAsia="Arial Unicode MS"/>
                <w:bCs/>
                <w:noProof/>
                <w:szCs w:val="24"/>
              </w:rPr>
            </w:pPr>
            <w:r>
              <w:rPr>
                <w:noProof/>
              </w:rPr>
              <w:t>E-sääntö nro 134</w:t>
            </w:r>
          </w:p>
        </w:tc>
        <w:tc>
          <w:tcPr>
            <w:tcW w:w="1331" w:type="dxa"/>
            <w:gridSpan w:val="14"/>
            <w:tcBorders>
              <w:top w:val="single" w:sz="12" w:space="0" w:color="auto"/>
              <w:left w:val="single" w:sz="2" w:space="0" w:color="auto"/>
              <w:bottom w:val="single" w:sz="12" w:space="0" w:color="auto"/>
              <w:right w:val="single" w:sz="2" w:space="0" w:color="auto"/>
            </w:tcBorders>
            <w:hideMark/>
          </w:tcPr>
          <w:p>
            <w:pPr>
              <w:spacing w:before="60" w:after="60"/>
              <w:ind w:left="238" w:hanging="238"/>
              <w:jc w:val="center"/>
              <w:rPr>
                <w:rFonts w:eastAsia="Arial Unicode MS"/>
                <w:bCs/>
                <w:noProof/>
                <w:szCs w:val="24"/>
              </w:rPr>
            </w:pPr>
            <w:r>
              <w:rPr>
                <w:noProof/>
              </w:rPr>
              <w:t>X</w:t>
            </w:r>
          </w:p>
        </w:tc>
        <w:tc>
          <w:tcPr>
            <w:tcW w:w="1186" w:type="dxa"/>
            <w:gridSpan w:val="18"/>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8"/>
          <w:wAfter w:w="1596" w:type="dxa"/>
        </w:trPr>
        <w:tc>
          <w:tcPr>
            <w:tcW w:w="590"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287" w:type="dxa"/>
            <w:gridSpan w:val="16"/>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Yleinen turvallisuus</w:t>
            </w:r>
          </w:p>
        </w:tc>
        <w:tc>
          <w:tcPr>
            <w:tcW w:w="2983" w:type="dxa"/>
            <w:gridSpan w:val="38"/>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tc>
        <w:tc>
          <w:tcPr>
            <w:tcW w:w="1331" w:type="dxa"/>
            <w:gridSpan w:val="14"/>
            <w:tcBorders>
              <w:top w:val="single" w:sz="12" w:space="0" w:color="auto"/>
              <w:left w:val="single" w:sz="2" w:space="0" w:color="auto"/>
              <w:bottom w:val="single" w:sz="12" w:space="0" w:color="auto"/>
              <w:right w:val="single" w:sz="2" w:space="0" w:color="auto"/>
            </w:tcBorders>
          </w:tcPr>
          <w:p>
            <w:pPr>
              <w:spacing w:before="60" w:after="60"/>
              <w:ind w:left="238" w:hanging="238"/>
              <w:jc w:val="center"/>
              <w:rPr>
                <w:rFonts w:eastAsia="Arial Unicode MS"/>
                <w:bCs/>
                <w:noProof/>
                <w:szCs w:val="24"/>
              </w:rPr>
            </w:pPr>
            <w:r>
              <w:rPr>
                <w:noProof/>
                <w:color w:val="000000"/>
              </w:rPr>
              <w:t>X</w:t>
            </w:r>
            <w:r>
              <w:rPr>
                <w:noProof/>
                <w:color w:val="000000"/>
                <w:vertAlign w:val="superscript"/>
              </w:rPr>
              <w:t>(15)</w:t>
            </w:r>
          </w:p>
        </w:tc>
        <w:tc>
          <w:tcPr>
            <w:tcW w:w="118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bCs/>
                <w:noProof/>
                <w:szCs w:val="24"/>
              </w:rPr>
            </w:pPr>
            <w:r>
              <w:rPr>
                <w:noProof/>
                <w:color w:val="000000"/>
              </w:rPr>
              <w:t>X</w:t>
            </w:r>
            <w:r>
              <w:rPr>
                <w:noProof/>
                <w:color w:val="000000"/>
                <w:vertAlign w:val="superscript"/>
              </w:rPr>
              <w:t>(15)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8"/>
          <w:wAfter w:w="1596" w:type="dxa"/>
        </w:trPr>
        <w:tc>
          <w:tcPr>
            <w:tcW w:w="590"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2287" w:type="dxa"/>
            <w:gridSpan w:val="16"/>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Kehittyneet hätäjarrutusjärjestelmät </w:t>
            </w:r>
          </w:p>
        </w:tc>
        <w:tc>
          <w:tcPr>
            <w:tcW w:w="2983" w:type="dxa"/>
            <w:gridSpan w:val="38"/>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Asetus (EU) 2019/…</w:t>
            </w:r>
            <w:r>
              <w:rPr>
                <w:noProof/>
                <w:vertAlign w:val="superscript"/>
              </w:rPr>
              <w:t>+</w:t>
            </w:r>
          </w:p>
          <w:p>
            <w:pPr>
              <w:spacing w:before="60" w:after="60"/>
              <w:jc w:val="left"/>
              <w:rPr>
                <w:noProof/>
                <w:szCs w:val="24"/>
                <w:vertAlign w:val="superscript"/>
              </w:rPr>
            </w:pPr>
            <w:r>
              <w:rPr>
                <w:noProof/>
              </w:rPr>
              <w:t>E-sääntö nro 131</w:t>
            </w:r>
          </w:p>
        </w:tc>
        <w:tc>
          <w:tcPr>
            <w:tcW w:w="1331" w:type="dxa"/>
            <w:gridSpan w:val="14"/>
            <w:tcBorders>
              <w:top w:val="single" w:sz="12" w:space="0" w:color="auto"/>
              <w:left w:val="single" w:sz="2" w:space="0" w:color="auto"/>
              <w:bottom w:val="single" w:sz="12" w:space="0" w:color="auto"/>
              <w:right w:val="single" w:sz="2" w:space="0" w:color="auto"/>
            </w:tcBorders>
            <w:hideMark/>
          </w:tcPr>
          <w:p>
            <w:pPr>
              <w:spacing w:before="60" w:after="60"/>
              <w:jc w:val="center"/>
              <w:rPr>
                <w:noProof/>
                <w:szCs w:val="24"/>
              </w:rPr>
            </w:pPr>
            <w:r>
              <w:rPr>
                <w:noProof/>
              </w:rPr>
              <w:t>N/A</w:t>
            </w:r>
          </w:p>
        </w:tc>
        <w:tc>
          <w:tcPr>
            <w:tcW w:w="118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8"/>
          <w:wAfter w:w="1596" w:type="dxa"/>
        </w:trPr>
        <w:tc>
          <w:tcPr>
            <w:tcW w:w="590"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2287" w:type="dxa"/>
            <w:gridSpan w:val="16"/>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Kaistavahtijärjestelmä </w:t>
            </w:r>
          </w:p>
        </w:tc>
        <w:tc>
          <w:tcPr>
            <w:tcW w:w="2983" w:type="dxa"/>
            <w:gridSpan w:val="38"/>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Asetus (EU) 2019/…</w:t>
            </w:r>
            <w:r>
              <w:rPr>
                <w:noProof/>
                <w:vertAlign w:val="superscript"/>
              </w:rPr>
              <w:t>+</w:t>
            </w:r>
          </w:p>
          <w:p>
            <w:pPr>
              <w:spacing w:before="60" w:after="60"/>
              <w:jc w:val="left"/>
              <w:rPr>
                <w:noProof/>
                <w:szCs w:val="24"/>
              </w:rPr>
            </w:pPr>
            <w:r>
              <w:rPr>
                <w:noProof/>
              </w:rPr>
              <w:t>E-sääntö nro 130</w:t>
            </w:r>
          </w:p>
        </w:tc>
        <w:tc>
          <w:tcPr>
            <w:tcW w:w="1331" w:type="dxa"/>
            <w:gridSpan w:val="14"/>
            <w:tcBorders>
              <w:top w:val="single" w:sz="12" w:space="0" w:color="auto"/>
              <w:left w:val="single" w:sz="2" w:space="0" w:color="auto"/>
              <w:bottom w:val="single" w:sz="12" w:space="0" w:color="auto"/>
              <w:right w:val="single" w:sz="2" w:space="0" w:color="auto"/>
            </w:tcBorders>
          </w:tcPr>
          <w:p>
            <w:pPr>
              <w:spacing w:before="60" w:after="60"/>
              <w:jc w:val="center"/>
              <w:rPr>
                <w:noProof/>
                <w:szCs w:val="24"/>
              </w:rPr>
            </w:pPr>
            <w:r>
              <w:rPr>
                <w:noProof/>
              </w:rPr>
              <w:t>N/A”</w:t>
            </w:r>
          </w:p>
        </w:tc>
        <w:tc>
          <w:tcPr>
            <w:tcW w:w="1186" w:type="dxa"/>
            <w:gridSpan w:val="18"/>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rPr>
                <w:noProof/>
                <w:szCs w:val="24"/>
              </w:rPr>
            </w:pPr>
            <w:r>
              <w:rPr>
                <w:noProof/>
              </w:rPr>
              <w:t>g) muutetaan selittävät huomautukset seuraavasti:</w:t>
            </w:r>
          </w:p>
          <w:p>
            <w:pPr>
              <w:pStyle w:val="Point0"/>
              <w:ind w:hanging="295"/>
              <w:rPr>
                <w:noProof/>
                <w:szCs w:val="24"/>
              </w:rPr>
            </w:pPr>
            <w:r>
              <w:rPr>
                <w:noProof/>
              </w:rPr>
              <w:t>i) korvataan selittävä huomautus X seuraavasti:</w:t>
            </w:r>
          </w:p>
          <w:p>
            <w:pPr>
              <w:pStyle w:val="Point0"/>
              <w:ind w:left="981" w:firstLine="0"/>
              <w:rPr>
                <w:noProof/>
                <w:szCs w:val="24"/>
              </w:rPr>
            </w:pPr>
            <w:r>
              <w:rPr>
                <w:noProof/>
              </w:rPr>
              <w:t>”X Asiaa koskevan säädöksen vaatimuksia sovelletaan.”</w:t>
            </w:r>
          </w:p>
          <w:p>
            <w:pPr>
              <w:pStyle w:val="Point0"/>
              <w:ind w:hanging="295"/>
              <w:rPr>
                <w:noProof/>
                <w:szCs w:val="24"/>
              </w:rPr>
            </w:pPr>
            <w:r>
              <w:rPr>
                <w:noProof/>
              </w:rPr>
              <w:t>ii) korvataan selittävät huomautukset 3 ja 4 seuraavasti:</w:t>
            </w:r>
          </w:p>
          <w:p>
            <w:pPr>
              <w:pStyle w:val="Point0"/>
              <w:ind w:left="981" w:firstLine="0"/>
              <w:rPr>
                <w:noProof/>
                <w:szCs w:val="24"/>
              </w:rPr>
            </w:pPr>
            <w:r>
              <w:rPr>
                <w:noProof/>
              </w:rPr>
              <w:t>”(</w:t>
            </w:r>
            <w:r>
              <w:rPr>
                <w:noProof/>
                <w:vertAlign w:val="superscript"/>
              </w:rPr>
              <w:t>3</w:t>
            </w:r>
            <w:r>
              <w:rPr>
                <w:noProof/>
              </w:rPr>
              <w:t>) Ajoneuvot on asetuksen (EU) 2019/…</w:t>
            </w:r>
            <w:r>
              <w:rPr>
                <w:noProof/>
                <w:vertAlign w:val="superscript"/>
              </w:rPr>
              <w:t>+</w:t>
            </w:r>
            <w:r>
              <w:rPr>
                <w:noProof/>
              </w:rPr>
              <w:t xml:space="preserve"> 4 artiklan 5 kohdan mukaisesti varustettava ajonvakautustoiminnolla.</w:t>
            </w:r>
          </w:p>
          <w:p>
            <w:pPr>
              <w:pStyle w:val="Point0"/>
              <w:ind w:left="981" w:firstLine="0"/>
              <w:rPr>
                <w:noProof/>
                <w:szCs w:val="24"/>
              </w:rPr>
            </w:pPr>
            <w:r>
              <w:rPr>
                <w:noProof/>
              </w:rPr>
              <w:t>(</w:t>
            </w:r>
            <w:r>
              <w:rPr>
                <w:noProof/>
                <w:vertAlign w:val="superscript"/>
              </w:rPr>
              <w:t>4</w:t>
            </w:r>
            <w:r>
              <w:rPr>
                <w:noProof/>
              </w:rPr>
              <w:t>) Ajoneuvot on asetuksen (EU) 2019/…</w:t>
            </w:r>
            <w:r>
              <w:rPr>
                <w:noProof/>
                <w:vertAlign w:val="superscript"/>
              </w:rPr>
              <w:t>+</w:t>
            </w:r>
            <w:r>
              <w:rPr>
                <w:noProof/>
              </w:rPr>
              <w:t xml:space="preserve"> 4 artiklan 5 kohdan mukaisesti varustettava elektronisella ajonvakautusjärjestelmällä.”</w:t>
            </w:r>
          </w:p>
          <w:p>
            <w:pPr>
              <w:pStyle w:val="Point0"/>
              <w:ind w:hanging="295"/>
              <w:rPr>
                <w:noProof/>
                <w:szCs w:val="24"/>
              </w:rPr>
            </w:pPr>
            <w:r>
              <w:rPr>
                <w:noProof/>
              </w:rPr>
              <w:t>ii) korvataan selittävä huomautus 9A seuraavasti:</w:t>
            </w:r>
          </w:p>
          <w:p>
            <w:pPr>
              <w:pStyle w:val="Point0"/>
              <w:ind w:left="981" w:firstLine="0"/>
              <w:rPr>
                <w:noProof/>
                <w:szCs w:val="24"/>
              </w:rPr>
            </w:pPr>
            <w:r>
              <w:rPr>
                <w:noProof/>
              </w:rPr>
              <w:t>”(</w:t>
            </w:r>
            <w:r>
              <w:rPr>
                <w:noProof/>
                <w:vertAlign w:val="superscript"/>
              </w:rPr>
              <w:t>9A</w:t>
            </w:r>
            <w:r>
              <w:rPr>
                <w:noProof/>
              </w:rPr>
              <w:t>) Sovelletaan vain ajoneuvoihin, joihin on asennettu E-säännön nro 64 soveltamisalaan kuuluvia varusteita. Rengaspaineen seurantajärjestelmän asentaminen on kuitenkin pakollista asetuksen (EU) 2019/…</w:t>
            </w:r>
            <w:r>
              <w:rPr>
                <w:noProof/>
                <w:vertAlign w:val="superscript"/>
              </w:rPr>
              <w:t>+</w:t>
            </w:r>
            <w:r>
              <w:rPr>
                <w:noProof/>
              </w:rPr>
              <w:t xml:space="preserve"> 5 artiklan 1 mukaisesti.”</w:t>
            </w:r>
          </w:p>
          <w:p>
            <w:pPr>
              <w:pStyle w:val="Point0"/>
              <w:ind w:hanging="295"/>
              <w:rPr>
                <w:noProof/>
                <w:szCs w:val="24"/>
              </w:rPr>
            </w:pPr>
            <w:r>
              <w:rPr>
                <w:noProof/>
              </w:rPr>
              <w:t>iv) korvataan selittävä huomautus 15 seuraavasti:</w:t>
            </w: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ind w:left="981" w:firstLine="0"/>
              <w:rPr>
                <w:noProof/>
                <w:szCs w:val="24"/>
              </w:rPr>
            </w:pPr>
            <w:r>
              <w:rPr>
                <w:noProof/>
              </w:rPr>
              <w:t>”(</w:t>
            </w:r>
            <w:r>
              <w:rPr>
                <w:noProof/>
                <w:vertAlign w:val="superscript"/>
              </w:rPr>
              <w:t>15</w:t>
            </w:r>
            <w:r>
              <w:rPr>
                <w:noProof/>
              </w:rPr>
              <w:t>)</w:t>
            </w:r>
            <w:r>
              <w:rPr>
                <w:noProof/>
              </w:rPr>
              <w:tab/>
              <w:t>Asetuksen (EU) 2019/…</w:t>
            </w:r>
            <w:r>
              <w:rPr>
                <w:noProof/>
                <w:vertAlign w:val="superscript"/>
              </w:rPr>
              <w:t>+</w:t>
            </w:r>
            <w:r>
              <w:rPr>
                <w:noProof/>
              </w:rPr>
              <w:t xml:space="preserve"> noudattaminen on pakollista. Tyyppihyväksynnän ei kuitenkaan ole tarkoitus perustua tähän kohtaan, koska kohta edustaa muualla asianomaisessa taulukossa lueteltujen yksittäisten kohtien yhdistelmää.”</w:t>
            </w: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ind w:left="555" w:firstLine="0"/>
              <w:rPr>
                <w:noProof/>
                <w:szCs w:val="24"/>
              </w:rPr>
            </w:pPr>
            <w:r>
              <w:rPr>
                <w:noProof/>
              </w:rPr>
              <w:t>v) poistetaan selittävät huomautukset 16 ja 17.</w:t>
            </w:r>
          </w:p>
        </w:tc>
      </w:tr>
    </w:tbl>
    <w:p>
      <w:pPr>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60"/>
        </w:sectPr>
      </w:pPr>
    </w:p>
    <w:p>
      <w:pPr>
        <w:pStyle w:val="Annexetitre"/>
        <w:rPr>
          <w:rStyle w:val="Marker"/>
          <w:noProof/>
        </w:rPr>
      </w:pPr>
      <w:r>
        <w:rPr>
          <w:noProof/>
        </w:rPr>
        <w:t>LIITE IV</w:t>
      </w:r>
    </w:p>
    <w:p>
      <w:pPr>
        <w:rPr>
          <w:noProof/>
        </w:rPr>
      </w:pPr>
    </w:p>
    <w:p>
      <w:pPr>
        <w:rPr>
          <w:b/>
          <w:noProof/>
        </w:rPr>
      </w:pPr>
      <w:r>
        <w:rPr>
          <w:b/>
          <w:noProof/>
        </w:rPr>
        <w:t>Etusuojajärjestelmät, jotka on asennettu alkuperäisvarusteena luokkien M</w:t>
      </w:r>
      <w:r>
        <w:rPr>
          <w:b/>
          <w:noProof/>
          <w:vertAlign w:val="subscript"/>
        </w:rPr>
        <w:t>1</w:t>
      </w:r>
      <w:r>
        <w:rPr>
          <w:b/>
          <w:noProof/>
        </w:rPr>
        <w:t xml:space="preserve"> ja N</w:t>
      </w:r>
      <w:r>
        <w:rPr>
          <w:b/>
          <w:noProof/>
          <w:vertAlign w:val="subscript"/>
        </w:rPr>
        <w:t>1</w:t>
      </w:r>
      <w:r>
        <w:rPr>
          <w:b/>
          <w:noProof/>
        </w:rPr>
        <w:t xml:space="preserve"> ajoneuvoihin tai asetettu saataville markkinoilla tällaisiin ajoneuvoihin tarkoitettuina erillisinä teknisinä yksiköinä</w:t>
      </w:r>
    </w:p>
    <w:p>
      <w:pPr>
        <w:rPr>
          <w:noProof/>
        </w:rPr>
      </w:pPr>
    </w:p>
    <w:p>
      <w:pPr>
        <w:rPr>
          <w:noProof/>
        </w:rPr>
      </w:pPr>
      <w:r>
        <w:rPr>
          <w:noProof/>
        </w:rPr>
        <w:t>1.</w:t>
      </w:r>
      <w:r>
        <w:rPr>
          <w:noProof/>
        </w:rPr>
        <w:tab/>
        <w:t>Etusuojajärjestelmien hyväksyntää koskevat säännökset</w:t>
      </w:r>
    </w:p>
    <w:p>
      <w:pPr>
        <w:rPr>
          <w:noProof/>
        </w:rPr>
      </w:pPr>
      <w:r>
        <w:rPr>
          <w:noProof/>
        </w:rPr>
        <w:t>1.1.</w:t>
      </w:r>
      <w:r>
        <w:rPr>
          <w:noProof/>
        </w:rPr>
        <w:tab/>
        <w:t>Alkuperäisvarusteeksi tarkoitettu etusuojajärjestelmä on hyväksyttävä E-säännön nro 127 mukaisesti ja katsottava erottamattomaksi osaksi kyseistä ajoneuvoa.</w:t>
      </w:r>
    </w:p>
    <w:p>
      <w:pPr>
        <w:rPr>
          <w:noProof/>
        </w:rPr>
      </w:pPr>
      <w:r>
        <w:rPr>
          <w:noProof/>
        </w:rPr>
        <w:t>1.2.</w:t>
      </w:r>
      <w:r>
        <w:rPr>
          <w:noProof/>
        </w:rPr>
        <w:tab/>
        <w:t>Erilliseksi tekniseksi yksiköksi tarkoitetun etusuojajärjestelmän on oltava seuraavien vaatimusten mukainen:</w:t>
      </w:r>
    </w:p>
    <w:p>
      <w:pPr>
        <w:rPr>
          <w:noProof/>
        </w:rPr>
      </w:pPr>
      <w:r>
        <w:rPr>
          <w:noProof/>
        </w:rPr>
        <w:t>1.2.1.</w:t>
      </w:r>
      <w:r>
        <w:rPr>
          <w:noProof/>
        </w:rPr>
        <w:tab/>
        <w:t>Etusuojajärjestelmän mukana on toimitettava tiedot, joissa esitetään täsmällinen ajoneuvon tyyppi, variantti ja versio, joiden osalta se on tyyppihyväksytty, ja sen mukana on toimitettava yksityiskohtaiset asennusohjeet, joissa on riittävästi tietoa, jotta pätevä henkilö pystyy asentamaan etusuojajärjestelmän ajoneuvoon asianmukaisesti. Ohjeet on toimitettava kaikilla unionin virallisilla kielillä.</w:t>
      </w:r>
    </w:p>
    <w:p>
      <w:pPr>
        <w:rPr>
          <w:noProof/>
        </w:rPr>
      </w:pPr>
      <w:r>
        <w:rPr>
          <w:noProof/>
        </w:rPr>
        <w:t>1.2.2.</w:t>
      </w:r>
      <w:r>
        <w:rPr>
          <w:noProof/>
        </w:rPr>
        <w:tab/>
        <w:t>Kaikki testit on suoritettava niin, että etusuojajärjestelmä kiinnitetään joko sellaiseen ajoneuvotyyppiin, -varianttiin ja -versioon, johon se on tarkoitettu, taikka testauskehikkoon, joka tarkoin vastaa tarkoitetun ajoneuvon olennaisia etu-ulkomittoja. Testauskehikkoa käytettäessä etusuojajärjestelmä – kiinnityskohtia lukuun ottamatta – ei saa koskettaa kehikkoa testin aikana. Jalkaa tai päätä edustava testauslaite ei myöskään saa koskettaa kehikkoa testin aikana. Jos tällainen kosketus kuitenkin tapahtuu, testi on tehtävä asianomaiseen ajoneuvotyyppiin, -varianttiin ja -versioon kiinnitetyllä etusuojajärjestelmällä.</w:t>
      </w:r>
    </w:p>
    <w:p>
      <w:pPr>
        <w:rPr>
          <w:noProof/>
        </w:rPr>
      </w:pPr>
      <w:r>
        <w:rPr>
          <w:noProof/>
        </w:rPr>
        <w:t>1.2.3.</w:t>
      </w:r>
      <w:r>
        <w:rPr>
          <w:noProof/>
        </w:rPr>
        <w:tab/>
        <w:t>Niiden ajoneuvoihin kiinnitettäviksi tarkoitettujen etusuojajärjestelmien osalta, joissa etusuojajärjestelmän alakorkeus testauspaikassa on vähintään 425 mm ja pienempi kuin 500 mm, sovelletaan valmistajan valinnan mukaisesti joko 1.2.4 tai 1.2.5 kohdan mukaisia testejä. Jos korkeus on pienempi kuin 425 mm, sovelletaan 1.2.4 kohdan mukaisia testejä. Jos korkeus on vähintään 500 mm, sovelletaan 1.2.5 kohdan mukaisia testejä.</w:t>
      </w:r>
    </w:p>
    <w:p>
      <w:pPr>
        <w:rPr>
          <w:noProof/>
        </w:rPr>
      </w:pPr>
      <w:r>
        <w:rPr>
          <w:noProof/>
        </w:rPr>
        <w:t>1.2.4.</w:t>
      </w:r>
      <w:r>
        <w:rPr>
          <w:noProof/>
        </w:rPr>
        <w:tab/>
        <w:t>Etusuojajärjestelmälle taipuvalla säärtä edustavalla testauslaitteella tehtävät testit on suoritettava niiden asianomaisten E-säännön nro 127 määräysten mukaisesti, jotka koskevat puskuritestialueen vaatimustenmukaisuustestausta, kun tämän katsotaan vastaavan etusuojajärjestelmän jalkatestialuetta, mukaan lukien vammojen asianomaisten arviointiperusteiden soveltaminen. Etusuojajärjestelmän kulmat on kuitenkin otettava huomioon soveltamatta väljennettyä vyöhykettä. Testipisteet on ilmoitettava selkeästi testausselosteessa.</w:t>
      </w:r>
    </w:p>
    <w:p>
      <w:pPr>
        <w:rPr>
          <w:noProof/>
        </w:rPr>
      </w:pPr>
      <w:r>
        <w:rPr>
          <w:noProof/>
        </w:rPr>
        <w:t>1.2.5.</w:t>
      </w:r>
      <w:r>
        <w:rPr>
          <w:noProof/>
        </w:rPr>
        <w:tab/>
        <w:t>Etusuojajärjestelmälle taipuvalla reittä edustavalla testauslaitteella tehtävät testit on suoritettava niiden asianomaisten E-säännön nro 127 määräysten mukaisesti, jotka koskevat puskuritestialueen vaatimustenmukaisuustestausta, kun tämän katsotaan vastaavan etusuojajärjestelmän jalkatestialuetta, mukaan lukien vammojen asianomaisten arviointiperusteiden soveltaminen. Etusuojajärjestelmän kulmat on kuitenkin otettava huomioon. Testipisteet on ilmoitettava selkeästi testausselosteessa.</w:t>
      </w:r>
    </w:p>
    <w:p>
      <w:pPr>
        <w:rPr>
          <w:noProof/>
        </w:rPr>
      </w:pPr>
      <w:r>
        <w:rPr>
          <w:noProof/>
        </w:rPr>
        <w:t>1.2.6.</w:t>
      </w:r>
      <w:r>
        <w:rPr>
          <w:noProof/>
        </w:rPr>
        <w:tab/>
        <w:t>Lapsen päätä edustavalla laitteella on tehtävä vähintään kolme testiä 1.2.7 kohdan mukaisesti kaikissa niissä etusuojajärjestelmän kohdissa, joiden tutkimuslaitos katsoo edustavan huonoimpia tapauksia. Jos rakenne ajoneuvon arvioitavalla alueella vaihtelee, testit tehdään erityyppisille rakenteille. Testipisteet on ilmoitettava selkeästi testausselosteessa, ja ne on valittava suoraan etusuojajärjestelmän päältä kohdista, joissa asianomainen osa tai asianomaiset osat sijaitsevat tarkoitetussa ajoneuvotyypissä, -variantissa ja -versiossa 900 mm:n ulottumamitan ulkopuolella ajoneuvon tavanomaisessa ajoasennossa.</w:t>
      </w:r>
    </w:p>
    <w:p>
      <w:pPr>
        <w:rPr>
          <w:noProof/>
        </w:rPr>
      </w:pPr>
      <w:r>
        <w:rPr>
          <w:noProof/>
        </w:rPr>
        <w:t>1.2.7.</w:t>
      </w:r>
      <w:r>
        <w:rPr>
          <w:noProof/>
        </w:rPr>
        <w:tab/>
        <w:t>Testit on suoritettava niiden asianomaisten E-säännön nro 127 määräysten mukaisesti, jotka koskevat lapsen päätä edustavan laitteen testialueen vaatimustenmukaisuustestausta, kun tämän katsotaan vastaavan lapsen päätä edustavan laitteen testialuetta etusuojajärjestelmän testauksessa. Kirjattuja päävamma-arvoja saa kuitenkin kaikissa tapauksissa olla enintään 1 000. Testipisteet on ilmoitettava selkeästi testausselosteessa.</w:t>
      </w:r>
    </w:p>
    <w:p>
      <w:pPr>
        <w:rPr>
          <w:noProof/>
        </w:rPr>
      </w:pPr>
      <w:r>
        <w:rPr>
          <w:noProof/>
        </w:rPr>
        <w:t>2.</w:t>
      </w:r>
      <w:r>
        <w:rPr>
          <w:noProof/>
        </w:rPr>
        <w:tab/>
        <w:t>Merkinnät</w:t>
      </w:r>
    </w:p>
    <w:p>
      <w:pPr>
        <w:rPr>
          <w:noProof/>
        </w:rPr>
      </w:pPr>
      <w:r>
        <w:rPr>
          <w:noProof/>
        </w:rPr>
        <w:t>2.1.</w:t>
      </w:r>
      <w:r>
        <w:rPr>
          <w:noProof/>
        </w:rPr>
        <w:tab/>
        <w:t>Jokaisessa etusuojajärjestelmässä on oltava pysyvästi ja selvästi merkitty kauppanimi, merkki tai tavaramerkki ja tyyppi sekä EU-tyyppihyväksyntämerkki, joita varten varatun tilan on oltava riittävä.</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LIITE V</w:t>
      </w:r>
    </w:p>
    <w:p>
      <w:pPr>
        <w:rPr>
          <w:noProof/>
        </w:rPr>
      </w:pPr>
    </w:p>
    <w:p>
      <w:pPr>
        <w:jc w:val="center"/>
        <w:rPr>
          <w:noProof/>
        </w:rPr>
      </w:pPr>
      <w:r>
        <w:rPr>
          <w:b/>
          <w:noProof/>
        </w:rPr>
        <w:t>Vetykäyttöiset ajoneuvot ja niiden vetyjärjestelmät ja vetykomponentit</w:t>
      </w:r>
    </w:p>
    <w:p>
      <w:pPr>
        <w:rPr>
          <w:noProof/>
        </w:rPr>
      </w:pPr>
    </w:p>
    <w:tbl>
      <w:tblPr>
        <w:tblW w:w="0" w:type="auto"/>
        <w:tblLayout w:type="fixed"/>
        <w:tblLook w:val="01E0" w:firstRow="1" w:lastRow="1" w:firstColumn="1" w:lastColumn="1" w:noHBand="0" w:noVBand="0"/>
      </w:tblPr>
      <w:tblGrid>
        <w:gridCol w:w="959"/>
        <w:gridCol w:w="8330"/>
      </w:tblGrid>
      <w:tr>
        <w:tc>
          <w:tcPr>
            <w:tcW w:w="959" w:type="dxa"/>
            <w:shd w:val="clear" w:color="auto" w:fill="auto"/>
          </w:tcPr>
          <w:p>
            <w:pPr>
              <w:rPr>
                <w:noProof/>
              </w:rPr>
            </w:pPr>
            <w:r>
              <w:rPr>
                <w:noProof/>
              </w:rPr>
              <w:t>1.</w:t>
            </w:r>
          </w:p>
        </w:tc>
        <w:tc>
          <w:tcPr>
            <w:tcW w:w="8330" w:type="dxa"/>
            <w:shd w:val="clear" w:color="auto" w:fill="auto"/>
          </w:tcPr>
          <w:p>
            <w:pPr>
              <w:rPr>
                <w:noProof/>
              </w:rPr>
            </w:pPr>
            <w:r>
              <w:rPr>
                <w:noProof/>
              </w:rPr>
              <w:t>Soveltamisala</w:t>
            </w:r>
          </w:p>
          <w:p>
            <w:pPr>
              <w:rPr>
                <w:noProof/>
              </w:rPr>
            </w:pPr>
            <w:r>
              <w:rPr>
                <w:noProof/>
              </w:rPr>
              <w:t>Tätä liitettä sovelletaan luokkien M ja N vetykäyttöisiin ajoneuvoihin sekä niiden vetyjärjestelmiin ja -komponentteihin.</w:t>
            </w:r>
          </w:p>
        </w:tc>
      </w:tr>
      <w:tr>
        <w:tc>
          <w:tcPr>
            <w:tcW w:w="959" w:type="dxa"/>
            <w:shd w:val="clear" w:color="auto" w:fill="auto"/>
          </w:tcPr>
          <w:p>
            <w:pPr>
              <w:rPr>
                <w:noProof/>
              </w:rPr>
            </w:pPr>
            <w:r>
              <w:rPr>
                <w:noProof/>
              </w:rPr>
              <w:t>1.1.</w:t>
            </w:r>
          </w:p>
        </w:tc>
        <w:tc>
          <w:tcPr>
            <w:tcW w:w="8330" w:type="dxa"/>
            <w:shd w:val="clear" w:color="auto" w:fill="auto"/>
          </w:tcPr>
          <w:p>
            <w:pPr>
              <w:rPr>
                <w:noProof/>
              </w:rPr>
            </w:pPr>
            <w:r>
              <w:rPr>
                <w:noProof/>
              </w:rPr>
              <w:t>Paineistettua vetyä käyttävissä ajoneuvojärjestelmissä käytettävät materiaalit</w:t>
            </w:r>
          </w:p>
        </w:tc>
      </w:tr>
      <w:tr>
        <w:tc>
          <w:tcPr>
            <w:tcW w:w="959" w:type="dxa"/>
            <w:shd w:val="clear" w:color="auto" w:fill="auto"/>
          </w:tcPr>
          <w:p>
            <w:pPr>
              <w:rPr>
                <w:noProof/>
              </w:rPr>
            </w:pPr>
            <w:r>
              <w:rPr>
                <w:noProof/>
              </w:rPr>
              <w:t>1.1.1.</w:t>
            </w:r>
          </w:p>
        </w:tc>
        <w:tc>
          <w:tcPr>
            <w:tcW w:w="8330" w:type="dxa"/>
            <w:shd w:val="clear" w:color="auto" w:fill="auto"/>
          </w:tcPr>
          <w:p>
            <w:pPr>
              <w:rPr>
                <w:noProof/>
              </w:rPr>
            </w:pPr>
            <w:r>
              <w:rPr>
                <w:noProof/>
              </w:rPr>
              <w:t>Vetyjärjestelmiin, -komponentteihin ja -säiliöihin käytettävien materiaalien on oltava yhteensopivia vedyn kanssa materiaalien ollessa kosketuksissa sen nestemäisen ja/tai kaasumaisen olomuodon kanssa. Standardissa SAE J 2579 B2 olevia materiaalitaulukkoja sovelletaan tapauksen mukaan. Yhteensopimattomat materiaalit eivät saa olla kosketuksissa toisiinsa.</w:t>
            </w:r>
          </w:p>
        </w:tc>
      </w:tr>
      <w:tr>
        <w:tc>
          <w:tcPr>
            <w:tcW w:w="959" w:type="dxa"/>
            <w:shd w:val="clear" w:color="auto" w:fill="auto"/>
          </w:tcPr>
          <w:p>
            <w:pPr>
              <w:rPr>
                <w:noProof/>
              </w:rPr>
            </w:pPr>
            <w:r>
              <w:rPr>
                <w:noProof/>
              </w:rPr>
              <w:t>1.1.2.</w:t>
            </w:r>
          </w:p>
        </w:tc>
        <w:tc>
          <w:tcPr>
            <w:tcW w:w="8330" w:type="dxa"/>
            <w:shd w:val="clear" w:color="auto" w:fill="auto"/>
          </w:tcPr>
          <w:p>
            <w:pPr>
              <w:pStyle w:val="NumPar3"/>
              <w:numPr>
                <w:ilvl w:val="2"/>
                <w:numId w:val="0"/>
              </w:numPr>
              <w:rPr>
                <w:noProof/>
              </w:rPr>
            </w:pPr>
            <w:r>
              <w:rPr>
                <w:noProof/>
              </w:rPr>
              <w:t>Teräkset</w:t>
            </w:r>
          </w:p>
          <w:p>
            <w:pPr>
              <w:pStyle w:val="NumPar3"/>
              <w:numPr>
                <w:ilvl w:val="2"/>
                <w:numId w:val="0"/>
              </w:numPr>
              <w:rPr>
                <w:noProof/>
              </w:rPr>
            </w:pPr>
            <w:r>
              <w:rPr>
                <w:noProof/>
              </w:rPr>
              <w:t>Säiliöihin ja vuorauksiin käytettävien terästen on oltava niiden materiaalivaatimusten mukaisia, joista määrätään standardin EN 9809-1 kohdissa 6.1–6.4 tai standardin EN 9809-2 kohdissa 6.1–6.3, tapauksen mukaan.</w:t>
            </w:r>
          </w:p>
        </w:tc>
      </w:tr>
      <w:tr>
        <w:tc>
          <w:tcPr>
            <w:tcW w:w="959" w:type="dxa"/>
            <w:shd w:val="clear" w:color="auto" w:fill="auto"/>
          </w:tcPr>
          <w:p>
            <w:pPr>
              <w:rPr>
                <w:noProof/>
              </w:rPr>
            </w:pPr>
            <w:r>
              <w:rPr>
                <w:noProof/>
              </w:rPr>
              <w:t>1.1.3.</w:t>
            </w:r>
          </w:p>
        </w:tc>
        <w:tc>
          <w:tcPr>
            <w:tcW w:w="8330" w:type="dxa"/>
            <w:shd w:val="clear" w:color="auto" w:fill="auto"/>
          </w:tcPr>
          <w:p>
            <w:pPr>
              <w:pStyle w:val="NumPar3"/>
              <w:numPr>
                <w:ilvl w:val="2"/>
                <w:numId w:val="0"/>
              </w:numPr>
              <w:rPr>
                <w:noProof/>
              </w:rPr>
            </w:pPr>
            <w:r>
              <w:rPr>
                <w:noProof/>
              </w:rPr>
              <w:t>Ruostumattomat teräkset</w:t>
            </w:r>
          </w:p>
          <w:p>
            <w:pPr>
              <w:pStyle w:val="NumPar3"/>
              <w:numPr>
                <w:ilvl w:val="2"/>
                <w:numId w:val="0"/>
              </w:numPr>
              <w:rPr>
                <w:noProof/>
              </w:rPr>
            </w:pPr>
            <w:r>
              <w:rPr>
                <w:noProof/>
              </w:rPr>
              <w:t>Säiliöihin ja vuorauksiin käytettävien ruostumattomien terästen on oltava standardin EN 1964-3 kohtien 4.1–4.4 mukaisia.</w:t>
            </w:r>
          </w:p>
        </w:tc>
      </w:tr>
      <w:tr>
        <w:tc>
          <w:tcPr>
            <w:tcW w:w="959" w:type="dxa"/>
            <w:shd w:val="clear" w:color="auto" w:fill="auto"/>
          </w:tcPr>
          <w:p>
            <w:pPr>
              <w:rPr>
                <w:noProof/>
              </w:rPr>
            </w:pPr>
            <w:r>
              <w:rPr>
                <w:noProof/>
              </w:rPr>
              <w:t>1.1.3.1.</w:t>
            </w:r>
          </w:p>
        </w:tc>
        <w:tc>
          <w:tcPr>
            <w:tcW w:w="8330" w:type="dxa"/>
            <w:shd w:val="clear" w:color="auto" w:fill="auto"/>
          </w:tcPr>
          <w:p>
            <w:pPr>
              <w:pStyle w:val="NumPar3"/>
              <w:numPr>
                <w:ilvl w:val="2"/>
                <w:numId w:val="0"/>
              </w:numPr>
              <w:rPr>
                <w:noProof/>
              </w:rPr>
            </w:pPr>
            <w:r>
              <w:rPr>
                <w:noProof/>
              </w:rPr>
              <w:t>Säiliöiden vuorauksiin käytettävien hitsattujen ruostumattomien terästen on oltava standardin EN 13322-2 kohtien 4.1–4.3 sekä kohtien 6.1, 6.2 ja 6.4 mukaisia, tapauksen mukaan.</w:t>
            </w:r>
          </w:p>
        </w:tc>
      </w:tr>
      <w:tr>
        <w:tc>
          <w:tcPr>
            <w:tcW w:w="959" w:type="dxa"/>
            <w:shd w:val="clear" w:color="auto" w:fill="auto"/>
          </w:tcPr>
          <w:p>
            <w:pPr>
              <w:rPr>
                <w:noProof/>
              </w:rPr>
            </w:pPr>
            <w:r>
              <w:rPr>
                <w:noProof/>
              </w:rPr>
              <w:t>1.1.4.</w:t>
            </w:r>
          </w:p>
        </w:tc>
        <w:tc>
          <w:tcPr>
            <w:tcW w:w="8330" w:type="dxa"/>
            <w:shd w:val="clear" w:color="auto" w:fill="auto"/>
          </w:tcPr>
          <w:p>
            <w:pPr>
              <w:pStyle w:val="NumPar4"/>
              <w:numPr>
                <w:ilvl w:val="3"/>
                <w:numId w:val="0"/>
              </w:numPr>
              <w:rPr>
                <w:noProof/>
              </w:rPr>
            </w:pPr>
            <w:r>
              <w:rPr>
                <w:noProof/>
              </w:rPr>
              <w:t>Alumiiniseokset</w:t>
            </w:r>
          </w:p>
          <w:p>
            <w:pPr>
              <w:pStyle w:val="NumPar4"/>
              <w:numPr>
                <w:ilvl w:val="3"/>
                <w:numId w:val="0"/>
              </w:numPr>
              <w:rPr>
                <w:noProof/>
              </w:rPr>
            </w:pPr>
            <w:r>
              <w:rPr>
                <w:noProof/>
              </w:rPr>
              <w:t>Säiliöihin ja vuorauksiin käytettävien alumiiniseosten on oltava kansainvälisen standardin ISO 7866:2012 kohtien 6.1 ja 6.2 mukaisia.</w:t>
            </w:r>
          </w:p>
        </w:tc>
      </w:tr>
      <w:tr>
        <w:tc>
          <w:tcPr>
            <w:tcW w:w="959" w:type="dxa"/>
            <w:shd w:val="clear" w:color="auto" w:fill="auto"/>
          </w:tcPr>
          <w:p>
            <w:pPr>
              <w:rPr>
                <w:noProof/>
              </w:rPr>
            </w:pPr>
            <w:r>
              <w:rPr>
                <w:noProof/>
              </w:rPr>
              <w:t>1.1.4.1.</w:t>
            </w:r>
          </w:p>
        </w:tc>
        <w:tc>
          <w:tcPr>
            <w:tcW w:w="8330" w:type="dxa"/>
            <w:shd w:val="clear" w:color="auto" w:fill="auto"/>
          </w:tcPr>
          <w:p>
            <w:pPr>
              <w:pStyle w:val="NumPar4"/>
              <w:numPr>
                <w:ilvl w:val="3"/>
                <w:numId w:val="0"/>
              </w:numPr>
              <w:rPr>
                <w:noProof/>
              </w:rPr>
            </w:pPr>
            <w:r>
              <w:rPr>
                <w:noProof/>
              </w:rPr>
              <w:t>Säiliöiden vuorauksiin käytettävien hitsattujen alumiiniseosten on oltava standardin EN 12862 kohtien 4.2 ja 4.3 sekä kohtien 4.1.2 ja 6.1 mukaisia.</w:t>
            </w:r>
          </w:p>
        </w:tc>
      </w:tr>
      <w:tr>
        <w:tc>
          <w:tcPr>
            <w:tcW w:w="959" w:type="dxa"/>
            <w:shd w:val="clear" w:color="auto" w:fill="auto"/>
          </w:tcPr>
          <w:p>
            <w:pPr>
              <w:rPr>
                <w:noProof/>
              </w:rPr>
            </w:pPr>
            <w:r>
              <w:rPr>
                <w:noProof/>
              </w:rPr>
              <w:t>1.1.5.</w:t>
            </w:r>
          </w:p>
        </w:tc>
        <w:tc>
          <w:tcPr>
            <w:tcW w:w="8330" w:type="dxa"/>
            <w:shd w:val="clear" w:color="auto" w:fill="auto"/>
          </w:tcPr>
          <w:p>
            <w:pPr>
              <w:pStyle w:val="NumPar4"/>
              <w:numPr>
                <w:ilvl w:val="3"/>
                <w:numId w:val="0"/>
              </w:numPr>
              <w:rPr>
                <w:noProof/>
              </w:rPr>
            </w:pPr>
            <w:r>
              <w:rPr>
                <w:noProof/>
              </w:rPr>
              <w:t>Muovivuorauksen materiaalit</w:t>
            </w:r>
          </w:p>
          <w:p>
            <w:pPr>
              <w:pStyle w:val="NumPar4"/>
              <w:numPr>
                <w:ilvl w:val="3"/>
                <w:numId w:val="0"/>
              </w:numPr>
              <w:rPr>
                <w:noProof/>
              </w:rPr>
            </w:pPr>
            <w:r>
              <w:rPr>
                <w:noProof/>
              </w:rPr>
              <w:t>Vetysäiliöiden muovivuorauksiin käytettävä materiaali voi olla kuumakovettuvaa tai termoplastista.</w:t>
            </w:r>
          </w:p>
        </w:tc>
      </w:tr>
      <w:tr>
        <w:tc>
          <w:tcPr>
            <w:tcW w:w="959" w:type="dxa"/>
            <w:shd w:val="clear" w:color="auto" w:fill="auto"/>
          </w:tcPr>
          <w:p>
            <w:pPr>
              <w:rPr>
                <w:noProof/>
              </w:rPr>
            </w:pPr>
            <w:r>
              <w:rPr>
                <w:noProof/>
              </w:rPr>
              <w:t>1.1.6.</w:t>
            </w:r>
          </w:p>
        </w:tc>
        <w:tc>
          <w:tcPr>
            <w:tcW w:w="8330" w:type="dxa"/>
            <w:shd w:val="clear" w:color="auto" w:fill="auto"/>
          </w:tcPr>
          <w:p>
            <w:pPr>
              <w:pStyle w:val="NumPar4"/>
              <w:numPr>
                <w:ilvl w:val="3"/>
                <w:numId w:val="0"/>
              </w:numPr>
              <w:rPr>
                <w:noProof/>
              </w:rPr>
            </w:pPr>
            <w:r>
              <w:rPr>
                <w:noProof/>
              </w:rPr>
              <w:t>Kuidut</w:t>
            </w:r>
          </w:p>
          <w:p>
            <w:pPr>
              <w:pStyle w:val="NumPar4"/>
              <w:numPr>
                <w:ilvl w:val="3"/>
                <w:numId w:val="0"/>
              </w:numPr>
              <w:rPr>
                <w:noProof/>
              </w:rPr>
            </w:pPr>
            <w:r>
              <w:rPr>
                <w:noProof/>
              </w:rPr>
              <w:t>Säiliön valmistajan on säiliön suunnitellun käyttöiän ajan pidettävä tallessa komposiittimateriaaleja koskevat julkaistut erittelyt, mukaan lukien tärkeimmät testitulokset (vetolujuustesti), sekä materiaalin valmistajan antamat varastointia, olosuhteita ja säilyvyysaikaa koskevat suositukset.</w:t>
            </w:r>
          </w:p>
          <w:p>
            <w:pPr>
              <w:pStyle w:val="NumPar4"/>
              <w:numPr>
                <w:ilvl w:val="3"/>
                <w:numId w:val="0"/>
              </w:numPr>
              <w:rPr>
                <w:noProof/>
              </w:rPr>
            </w:pPr>
            <w:r>
              <w:rPr>
                <w:noProof/>
              </w:rPr>
              <w:t>Säiliön valmistajan on säiliön suunnitellun käyttöiän ajan pidettävä tallessa kunkin säiliöerän osalta kuitumateriaalin valmistajan todistus, jonka mukaan jokainen toimitus noudattaa kyseisen tuotteen erittelyvaatimuksia.</w:t>
            </w:r>
          </w:p>
        </w:tc>
      </w:tr>
      <w:tr>
        <w:tc>
          <w:tcPr>
            <w:tcW w:w="959" w:type="dxa"/>
            <w:shd w:val="clear" w:color="auto" w:fill="auto"/>
          </w:tcPr>
          <w:p>
            <w:pPr>
              <w:rPr>
                <w:noProof/>
              </w:rPr>
            </w:pPr>
            <w:r>
              <w:rPr>
                <w:noProof/>
              </w:rPr>
              <w:t>1.1.6.1.</w:t>
            </w:r>
          </w:p>
        </w:tc>
        <w:tc>
          <w:tcPr>
            <w:tcW w:w="8330" w:type="dxa"/>
            <w:shd w:val="clear" w:color="auto" w:fill="auto"/>
          </w:tcPr>
          <w:p>
            <w:pPr>
              <w:pStyle w:val="NumPar3"/>
              <w:numPr>
                <w:ilvl w:val="2"/>
                <w:numId w:val="0"/>
              </w:numPr>
              <w:rPr>
                <w:noProof/>
              </w:rPr>
            </w:pPr>
            <w:r>
              <w:rPr>
                <w:noProof/>
              </w:rPr>
              <w:t>Hartsit</w:t>
            </w:r>
          </w:p>
          <w:p>
            <w:pPr>
              <w:pStyle w:val="Text1"/>
              <w:ind w:left="0"/>
              <w:rPr>
                <w:noProof/>
              </w:rPr>
            </w:pPr>
            <w:r>
              <w:rPr>
                <w:noProof/>
              </w:rPr>
              <w:t>Kuitujen polymeerinen kyllästysmateriaali voi olla kuumakovettuvaa tai termoplastista hartsia.</w:t>
            </w:r>
          </w:p>
        </w:tc>
      </w:tr>
      <w:tr>
        <w:tc>
          <w:tcPr>
            <w:tcW w:w="959" w:type="dxa"/>
            <w:shd w:val="clear" w:color="auto" w:fill="auto"/>
          </w:tcPr>
          <w:p>
            <w:pPr>
              <w:rPr>
                <w:noProof/>
              </w:rPr>
            </w:pPr>
            <w:r>
              <w:rPr>
                <w:noProof/>
              </w:rPr>
              <w:t>1.1.7.</w:t>
            </w:r>
          </w:p>
        </w:tc>
        <w:tc>
          <w:tcPr>
            <w:tcW w:w="8330" w:type="dxa"/>
            <w:shd w:val="clear" w:color="auto" w:fill="auto"/>
          </w:tcPr>
          <w:p>
            <w:pPr>
              <w:pStyle w:val="NumPar3"/>
              <w:numPr>
                <w:ilvl w:val="2"/>
                <w:numId w:val="0"/>
              </w:numPr>
              <w:rPr>
                <w:noProof/>
              </w:rPr>
            </w:pPr>
            <w:r>
              <w:rPr>
                <w:noProof/>
              </w:rPr>
              <w:t>Vety-yhteensopivuustesti</w:t>
            </w:r>
          </w:p>
          <w:p>
            <w:pPr>
              <w:pStyle w:val="Text1"/>
              <w:ind w:left="0"/>
              <w:rPr>
                <w:noProof/>
              </w:rPr>
            </w:pPr>
            <w:r>
              <w:rPr>
                <w:noProof/>
              </w:rPr>
              <w:t>Testiä ei edellytetä seuraavilta:</w:t>
            </w:r>
          </w:p>
          <w:p>
            <w:pPr>
              <w:pStyle w:val="Text1"/>
              <w:numPr>
                <w:ilvl w:val="0"/>
                <w:numId w:val="7"/>
              </w:numPr>
              <w:rPr>
                <w:noProof/>
              </w:rPr>
            </w:pPr>
            <w:r>
              <w:rPr>
                <w:noProof/>
              </w:rPr>
              <w:t>teräkset, jotka ovat standardin EN 9809-1 kohtien 6.3 ja 7.2.2 mukaisia</w:t>
            </w:r>
          </w:p>
          <w:p>
            <w:pPr>
              <w:pStyle w:val="Text1"/>
              <w:numPr>
                <w:ilvl w:val="0"/>
                <w:numId w:val="7"/>
              </w:numPr>
              <w:rPr>
                <w:noProof/>
              </w:rPr>
            </w:pPr>
            <w:r>
              <w:rPr>
                <w:noProof/>
              </w:rPr>
              <w:t>alumiiniseokset, jotka ovat kansainvälisen standardin ISO 7866:2012 kohdan 6.1 mukaisia ja</w:t>
            </w:r>
          </w:p>
          <w:p>
            <w:pPr>
              <w:pStyle w:val="Text1"/>
              <w:numPr>
                <w:ilvl w:val="0"/>
                <w:numId w:val="7"/>
              </w:numPr>
              <w:rPr>
                <w:noProof/>
              </w:rPr>
            </w:pPr>
            <w:r>
              <w:rPr>
                <w:noProof/>
              </w:rPr>
              <w:t>ei-metallisella vuorauksella kokonaan päällystetyt säiliöt.</w:t>
            </w:r>
          </w:p>
          <w:p>
            <w:pPr>
              <w:pStyle w:val="Text1"/>
              <w:ind w:left="0"/>
              <w:rPr>
                <w:noProof/>
              </w:rPr>
            </w:pPr>
            <w:r>
              <w:rPr>
                <w:noProof/>
              </w:rPr>
              <w:t>Muiden sellaisten metallisten säiliöiden, vuorausten ja komponenttien osalta, joiden suurin sallittu käyttöpaine on suurempi kuin 2,0 MPa, materiaalin, hitsaukset mukaan luettuina, vety-yhteensopivuus on soveltuvin osin osoitettava kansainvälisen standardin ISO 11114-1 ja ISO 11114-4 mukaisesti testeillä ennakoituja käyttöolosuhteita vastaavissa vety-ympäristöissä (esim. 70 MPa:n järjestelmien ollessa kyseessä vety-yhteensopivuustesti tehdään ympäristössä, jonka paine on 70 MPa ja lämpötila -40 °C).</w:t>
            </w:r>
          </w:p>
        </w:tc>
      </w:tr>
      <w:tr>
        <w:tc>
          <w:tcPr>
            <w:tcW w:w="959" w:type="dxa"/>
            <w:shd w:val="clear" w:color="auto" w:fill="auto"/>
          </w:tcPr>
          <w:p>
            <w:pPr>
              <w:rPr>
                <w:noProof/>
              </w:rPr>
            </w:pPr>
            <w:r>
              <w:rPr>
                <w:noProof/>
              </w:rPr>
              <w:t>1.1.7.1.</w:t>
            </w:r>
          </w:p>
        </w:tc>
        <w:tc>
          <w:tcPr>
            <w:tcW w:w="8330" w:type="dxa"/>
            <w:shd w:val="clear" w:color="auto" w:fill="auto"/>
          </w:tcPr>
          <w:p>
            <w:pPr>
              <w:pStyle w:val="NumPar4"/>
              <w:numPr>
                <w:ilvl w:val="3"/>
                <w:numId w:val="0"/>
              </w:numPr>
              <w:ind w:left="850" w:hanging="850"/>
              <w:rPr>
                <w:noProof/>
              </w:rPr>
            </w:pPr>
            <w:r>
              <w:rPr>
                <w:noProof/>
              </w:rPr>
              <w:t>Ajoneuvoissa käytettyjä säiliöitä koskeva testausmenettely</w:t>
            </w:r>
          </w:p>
          <w:p>
            <w:pPr>
              <w:pStyle w:val="Text1"/>
              <w:ind w:left="0"/>
              <w:rPr>
                <w:noProof/>
              </w:rPr>
            </w:pPr>
            <w:r>
              <w:rPr>
                <w:noProof/>
              </w:rPr>
              <w:t>Asianmukaisessa ympäristön lämpötilassa käytetään vetyä paineenvaihteluun, joka tehdään 3,0-kertaisesti valmistajan määrittämään täyttökertojen määrään nähden, siten, että joko</w:t>
            </w:r>
          </w:p>
          <w:p>
            <w:pPr>
              <w:pStyle w:val="ListNumberLevel2"/>
              <w:numPr>
                <w:ilvl w:val="1"/>
                <w:numId w:val="9"/>
              </w:numPr>
              <w:rPr>
                <w:noProof/>
              </w:rPr>
            </w:pPr>
            <w:r>
              <w:rPr>
                <w:noProof/>
              </w:rPr>
              <w:t>säiliö on välillä ≤ 2,0 MPa ja ≥ 1,25 kertaa nimelliskäyttöpaine tai</w:t>
            </w:r>
          </w:p>
          <w:p>
            <w:pPr>
              <w:pStyle w:val="ListNumberLevel2"/>
              <w:numPr>
                <w:ilvl w:val="1"/>
                <w:numId w:val="9"/>
              </w:numPr>
              <w:rPr>
                <w:noProof/>
              </w:rPr>
            </w:pPr>
            <w:r>
              <w:rPr>
                <w:noProof/>
              </w:rPr>
              <w:t>vuoraus on sellaisten painetasojen välillä, jotka aiheuttavat vuorauksen seinämään vastaavan jännitystason kuin paine, joka on ≤ 2,0 MPa ja ≥ 1,25 kertaa säiliön nimelliskäyttöpaine.</w:t>
            </w:r>
          </w:p>
          <w:p>
            <w:pPr>
              <w:pStyle w:val="ListNumberLevel2"/>
              <w:numPr>
                <w:ilvl w:val="0"/>
                <w:numId w:val="0"/>
              </w:numPr>
              <w:rPr>
                <w:noProof/>
              </w:rPr>
            </w:pPr>
            <w:r>
              <w:rPr>
                <w:noProof/>
              </w:rPr>
              <w:t>Säiliöt tai vuoraukset eivät saa vioittua, ennen kuin testi on päättynyt.</w:t>
            </w:r>
          </w:p>
        </w:tc>
      </w:tr>
      <w:tr>
        <w:tc>
          <w:tcPr>
            <w:tcW w:w="959" w:type="dxa"/>
            <w:shd w:val="clear" w:color="auto" w:fill="auto"/>
          </w:tcPr>
          <w:p>
            <w:pPr>
              <w:rPr>
                <w:noProof/>
              </w:rPr>
            </w:pPr>
            <w:r>
              <w:rPr>
                <w:noProof/>
              </w:rPr>
              <w:t>1.1.7.2</w:t>
            </w:r>
          </w:p>
        </w:tc>
        <w:tc>
          <w:tcPr>
            <w:tcW w:w="8330" w:type="dxa"/>
            <w:shd w:val="clear" w:color="auto" w:fill="auto"/>
          </w:tcPr>
          <w:p>
            <w:pPr>
              <w:pStyle w:val="NumPar4"/>
              <w:numPr>
                <w:ilvl w:val="3"/>
                <w:numId w:val="0"/>
              </w:numPr>
              <w:ind w:left="850" w:hanging="850"/>
              <w:rPr>
                <w:noProof/>
              </w:rPr>
            </w:pPr>
            <w:r>
              <w:rPr>
                <w:noProof/>
              </w:rPr>
              <w:t>Vetyjärjestelmissä käytettyjä komponentteja koskeva testausmenettely</w:t>
            </w:r>
          </w:p>
          <w:p>
            <w:pPr>
              <w:pStyle w:val="Text1"/>
              <w:ind w:left="0"/>
              <w:rPr>
                <w:noProof/>
              </w:rPr>
            </w:pPr>
            <w:r>
              <w:rPr>
                <w:noProof/>
              </w:rPr>
              <w:t>Jos komponenttiin kohdistuva paine aiheutuu täyttötoimenpiteistä, on käytettävä täyttöjaksoja. Jos komponenttiin kohdistuva paine aiheutuu ajoneuvon käytöstä (eli ajoneuvon aktivointilaitteen kytkemisestä), on käytettävä käyttöjaksoja.</w:t>
            </w:r>
          </w:p>
          <w:p>
            <w:pPr>
              <w:pStyle w:val="Text1"/>
              <w:ind w:left="0"/>
              <w:rPr>
                <w:noProof/>
              </w:rPr>
            </w:pPr>
            <w:r>
              <w:rPr>
                <w:noProof/>
              </w:rPr>
              <w:t>Asianmukaisessa ympäristön lämpötilassa käytetään vetyä paineenvaihteluun, joka tehdään 3,0-kertaisesti valmistajan määrittämään täyttökertojen määrään nähden tai 2,0-kertaisesti valmistajan määrittämään käyttöjaksojen määrään nähden, siten, että komponentit ovat sellaisten painetasojen välillä, jotka aiheuttavat komponentteihin vastaavan jännitystason kuin paine, joka on ≤ 2,0 MPa ja ≥ 1,25 kertaa joko säiliön suurin sallittu käyttöpaine tai nimelliskäyttöpaine, tapauksen mukaan.</w:t>
            </w:r>
          </w:p>
          <w:p>
            <w:pPr>
              <w:pStyle w:val="Text1"/>
              <w:ind w:left="0"/>
              <w:rPr>
                <w:noProof/>
              </w:rPr>
            </w:pPr>
            <w:r>
              <w:rPr>
                <w:noProof/>
              </w:rPr>
              <w:t>Komponentti ei saa vioittua, ennen kuin testi on päättynyt.</w:t>
            </w:r>
          </w:p>
        </w:tc>
      </w:tr>
      <w:tr>
        <w:tc>
          <w:tcPr>
            <w:tcW w:w="959" w:type="dxa"/>
            <w:shd w:val="clear" w:color="auto" w:fill="auto"/>
          </w:tcPr>
          <w:p>
            <w:pPr>
              <w:rPr>
                <w:noProof/>
              </w:rPr>
            </w:pPr>
            <w:r>
              <w:rPr>
                <w:noProof/>
              </w:rPr>
              <w:t>1.1.8.</w:t>
            </w:r>
          </w:p>
        </w:tc>
        <w:tc>
          <w:tcPr>
            <w:tcW w:w="8330" w:type="dxa"/>
            <w:shd w:val="clear" w:color="auto" w:fill="auto"/>
          </w:tcPr>
          <w:p>
            <w:pPr>
              <w:pStyle w:val="NumPar2"/>
              <w:numPr>
                <w:ilvl w:val="1"/>
                <w:numId w:val="0"/>
              </w:numPr>
              <w:rPr>
                <w:noProof/>
              </w:rPr>
            </w:pPr>
            <w:r>
              <w:rPr>
                <w:noProof/>
              </w:rPr>
              <w:t>Edellä olevien 1.1.7–1.1.7.2 kohdan soveltamiseksi on valmistajan määrittämän täyttökertojen määrän oltava E-säännön nro 134 mukainen eli vähintään 11 000, ja valmistajan määrittämän käyttöjaksojen määrän on oltava vähintään 37 500.</w:t>
            </w:r>
          </w:p>
        </w:tc>
      </w:tr>
      <w:tr>
        <w:tc>
          <w:tcPr>
            <w:tcW w:w="959" w:type="dxa"/>
            <w:shd w:val="clear" w:color="auto" w:fill="auto"/>
          </w:tcPr>
          <w:p>
            <w:pPr>
              <w:rPr>
                <w:noProof/>
              </w:rPr>
            </w:pPr>
            <w:r>
              <w:rPr>
                <w:noProof/>
              </w:rPr>
              <w:t>1.1.9.</w:t>
            </w:r>
          </w:p>
        </w:tc>
        <w:tc>
          <w:tcPr>
            <w:tcW w:w="8330" w:type="dxa"/>
            <w:shd w:val="clear" w:color="auto" w:fill="auto"/>
          </w:tcPr>
          <w:p>
            <w:pPr>
              <w:pStyle w:val="NumPar4"/>
              <w:numPr>
                <w:ilvl w:val="3"/>
                <w:numId w:val="0"/>
              </w:numPr>
              <w:rPr>
                <w:noProof/>
              </w:rPr>
            </w:pPr>
            <w:r>
              <w:rPr>
                <w:noProof/>
              </w:rPr>
              <w:t>Tutkimuslaitoksen on varmennettava kaikki edellä tarkoitetut vaatimukset, ja testitulokset on dokumentoitava yksityiskohtaisesti testausselosteeseen.</w:t>
            </w:r>
          </w:p>
          <w:p>
            <w:pPr>
              <w:pStyle w:val="Text1"/>
              <w:ind w:left="0"/>
              <w:rPr>
                <w:noProof/>
              </w:rPr>
            </w:pPr>
            <w:r>
              <w:rPr>
                <w:noProof/>
              </w:rPr>
              <w:t>Lisäksi valmistajan on säilytettävä testituloksia kaikkien saataville markkinoilla asetettujen komponenttien, säiliöiden ja järjestelmien koko odotetun käyttöiän ajan.</w:t>
            </w:r>
          </w:p>
        </w:tc>
      </w:tr>
      <w:tr>
        <w:tc>
          <w:tcPr>
            <w:tcW w:w="959" w:type="dxa"/>
            <w:shd w:val="clear" w:color="auto" w:fill="auto"/>
          </w:tcPr>
          <w:p>
            <w:pPr>
              <w:rPr>
                <w:noProof/>
              </w:rPr>
            </w:pPr>
            <w:r>
              <w:rPr>
                <w:noProof/>
              </w:rPr>
              <w:t>1.2.</w:t>
            </w:r>
          </w:p>
        </w:tc>
        <w:tc>
          <w:tcPr>
            <w:tcW w:w="8330" w:type="dxa"/>
            <w:shd w:val="clear" w:color="auto" w:fill="auto"/>
          </w:tcPr>
          <w:p>
            <w:pPr>
              <w:rPr>
                <w:noProof/>
              </w:rPr>
            </w:pPr>
            <w:r>
              <w:rPr>
                <w:noProof/>
              </w:rPr>
              <w:t>Paineistettua vetykaasua käyttävien ajoneuvojen polttoainesäiliön täyttölaitteen on oltava kansainvälisen standardin ISO 17268:2012 (tai sen myöhempien versioiden) mukainen ja eritelmän H35, H35HF, H70 tai H70HF kanssa yhteensopiva sen nimelliskäyttöpaineen ja sovelluksen mukaan.</w:t>
            </w:r>
          </w:p>
        </w:tc>
      </w:tr>
      <w:tr>
        <w:tc>
          <w:tcPr>
            <w:tcW w:w="959" w:type="dxa"/>
            <w:shd w:val="clear" w:color="auto" w:fill="auto"/>
          </w:tcPr>
          <w:p>
            <w:pPr>
              <w:rPr>
                <w:noProof/>
              </w:rPr>
            </w:pPr>
            <w:r>
              <w:rPr>
                <w:noProof/>
              </w:rPr>
              <w:t>1.3.</w:t>
            </w:r>
          </w:p>
        </w:tc>
        <w:tc>
          <w:tcPr>
            <w:tcW w:w="8330" w:type="dxa"/>
            <w:shd w:val="clear" w:color="auto" w:fill="auto"/>
          </w:tcPr>
          <w:p>
            <w:pPr>
              <w:pStyle w:val="NumPar4"/>
              <w:numPr>
                <w:ilvl w:val="3"/>
                <w:numId w:val="0"/>
              </w:numPr>
              <w:rPr>
                <w:noProof/>
              </w:rPr>
            </w:pPr>
            <w:r>
              <w:rPr>
                <w:noProof/>
              </w:rPr>
              <w:t>Paineistettua vetykaasua käyttäviin ajoneuvoihin asennettujen erityiskomponenttien on oltava tyyppihyväksytty E-säännön nro 134 määräysten mukaisesti. Tyyppihyväksyntämerkin ja E-säännössä nro 134 edellytettyjen erityiskomponentteja koskevien tietojen lisäksi erityiskomponentteihin on merkittävä nimelliskäyttöpaine ja, jos komponentti sijaitsee ensimmäisen paineensäätimen jälkeen, suurin sallittu käyttöpaine.</w:t>
            </w:r>
          </w:p>
        </w:tc>
      </w:tr>
      <w:tr>
        <w:tc>
          <w:tcPr>
            <w:tcW w:w="959" w:type="dxa"/>
            <w:shd w:val="clear" w:color="auto" w:fill="auto"/>
          </w:tcPr>
          <w:p>
            <w:pPr>
              <w:rPr>
                <w:noProof/>
              </w:rPr>
            </w:pPr>
            <w:r>
              <w:rPr>
                <w:noProof/>
              </w:rPr>
              <w:t>1.4.</w:t>
            </w:r>
          </w:p>
        </w:tc>
        <w:tc>
          <w:tcPr>
            <w:tcW w:w="8330" w:type="dxa"/>
            <w:shd w:val="clear" w:color="auto" w:fill="auto"/>
          </w:tcPr>
          <w:p>
            <w:pPr>
              <w:pStyle w:val="NumPar4"/>
              <w:numPr>
                <w:ilvl w:val="3"/>
                <w:numId w:val="0"/>
              </w:numPr>
              <w:rPr>
                <w:noProof/>
              </w:rPr>
            </w:pPr>
            <w:r>
              <w:rPr>
                <w:noProof/>
              </w:rPr>
              <w:t>Nesteytettyä vetyä käyttävällä järjestelmällä varustetut ajoneuvot on hyväksyttävä asetuksen (EU) 2018/… 39 artiklan mukaisesti, joka koskee uusille tekniikoille tai ratkaisuille myönnettäviä vapautuksia, käyttäen perusteena vetykäyttöisiä ja polttokennoajoneuvoja koskevan UNECE:n maailmanlaajuisen teknisen säännön nro 13 osan II jaksoa 7.</w:t>
            </w:r>
          </w:p>
        </w:tc>
      </w:tr>
      <w:tr>
        <w:tc>
          <w:tcPr>
            <w:tcW w:w="959" w:type="dxa"/>
            <w:shd w:val="clear" w:color="auto" w:fill="auto"/>
          </w:tcPr>
          <w:p>
            <w:pPr>
              <w:rPr>
                <w:noProof/>
              </w:rPr>
            </w:pPr>
            <w:r>
              <w:rPr>
                <w:noProof/>
              </w:rPr>
              <w:t>1.4.1.</w:t>
            </w:r>
          </w:p>
        </w:tc>
        <w:tc>
          <w:tcPr>
            <w:tcW w:w="8330" w:type="dxa"/>
            <w:shd w:val="clear" w:color="auto" w:fill="auto"/>
          </w:tcPr>
          <w:p>
            <w:pPr>
              <w:pStyle w:val="NumPar4"/>
              <w:numPr>
                <w:ilvl w:val="3"/>
                <w:numId w:val="0"/>
              </w:numPr>
              <w:rPr>
                <w:noProof/>
              </w:rPr>
            </w:pPr>
            <w:r>
              <w:rPr>
                <w:noProof/>
              </w:rPr>
              <w:t>Vetykomponentteihin, -säiliöihin ja -järjestelmiin käytettävien materiaalien on oltava yhteensopivia vedyn kanssa materiaalien ollessa kosketuksissa sen nestemäisen ja/tai kaasumaisen olomuodon kanssa. Tämä on osoitettava kansainvälisen standardin ISO 11114-1 ja ISO 11114-4 mukaisesti, sikäli kuin se on relevanttia ja mahdollista, ennakoituja käyttöolosuhteita vastaavissa vety-ympäristöissä tehtävillä testeillä. Tutkimuslaitoksen on varmennettava kaikki edellä tarkoitetut vaatimukset, ja testitulokset on dokumentoitava yksityiskohtaisesti testausselosteeseen.</w:t>
            </w:r>
          </w:p>
        </w:tc>
      </w:tr>
    </w:tbl>
    <w:p>
      <w:pPr>
        <w:rPr>
          <w:noProof/>
        </w:rPr>
        <w:sectPr>
          <w:pgSz w:w="11907" w:h="16839"/>
          <w:pgMar w:top="1134" w:right="1417" w:bottom="1134" w:left="1417" w:header="709" w:footer="709" w:gutter="0"/>
          <w:cols w:space="720"/>
          <w:docGrid w:linePitch="360"/>
        </w:sectPr>
      </w:pPr>
    </w:p>
    <w:p>
      <w:pPr>
        <w:pStyle w:val="Annexetitre"/>
        <w:rPr>
          <w:noProof/>
        </w:rPr>
      </w:pPr>
      <w:r>
        <w:rPr>
          <w:noProof/>
        </w:rPr>
        <w:t>LIITE VI</w:t>
      </w:r>
    </w:p>
    <w:p>
      <w:pPr>
        <w:rPr>
          <w:noProof/>
        </w:rPr>
      </w:pPr>
    </w:p>
    <w:p>
      <w:pPr>
        <w:pStyle w:val="Annexetitreacte"/>
        <w:rPr>
          <w:noProof/>
          <w:u w:val="none"/>
        </w:rPr>
      </w:pPr>
      <w:r>
        <w:rPr>
          <w:noProof/>
          <w:u w:val="none"/>
        </w:rPr>
        <w:t xml:space="preserve">13 artiklan 3 kohdassa tarkoitetut siirtymäsäännökset: </w:t>
      </w:r>
    </w:p>
    <w:p>
      <w:pPr>
        <w:pStyle w:val="Annexetitreacte"/>
        <w:jc w:val="both"/>
        <w:rPr>
          <w:noProof/>
        </w:rPr>
      </w:pPr>
      <w:r>
        <w:rPr>
          <w:noProof/>
          <w:u w:val="none"/>
        </w:rPr>
        <w:t xml:space="preserve"> </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5047"/>
        <w:gridCol w:w="2976"/>
      </w:tblGrid>
      <w:tr>
        <w:tc>
          <w:tcPr>
            <w:tcW w:w="1333" w:type="dxa"/>
            <w:tcMar>
              <w:left w:w="57" w:type="dxa"/>
              <w:right w:w="57" w:type="dxa"/>
            </w:tcMar>
          </w:tcPr>
          <w:p>
            <w:pPr>
              <w:jc w:val="center"/>
              <w:rPr>
                <w:b/>
                <w:noProof/>
              </w:rPr>
            </w:pPr>
            <w:r>
              <w:rPr>
                <w:b/>
                <w:noProof/>
              </w:rPr>
              <w:t>E-sääntö</w:t>
            </w:r>
          </w:p>
        </w:tc>
        <w:tc>
          <w:tcPr>
            <w:tcW w:w="5047" w:type="dxa"/>
            <w:tcMar>
              <w:left w:w="57" w:type="dxa"/>
              <w:right w:w="57" w:type="dxa"/>
            </w:tcMar>
          </w:tcPr>
          <w:p>
            <w:pPr>
              <w:jc w:val="center"/>
              <w:rPr>
                <w:b/>
                <w:noProof/>
              </w:rPr>
            </w:pPr>
            <w:r>
              <w:rPr>
                <w:b/>
                <w:noProof/>
              </w:rPr>
              <w:t xml:space="preserve">Erityiset vaatimukset </w:t>
            </w:r>
          </w:p>
        </w:tc>
        <w:tc>
          <w:tcPr>
            <w:tcW w:w="2976" w:type="dxa"/>
            <w:tcMar>
              <w:left w:w="57" w:type="dxa"/>
              <w:right w:w="57" w:type="dxa"/>
            </w:tcMar>
          </w:tcPr>
          <w:p>
            <w:pPr>
              <w:jc w:val="center"/>
              <w:rPr>
                <w:b/>
                <w:noProof/>
              </w:rPr>
            </w:pPr>
            <w:r>
              <w:rPr>
                <w:b/>
                <w:noProof/>
              </w:rPr>
              <w:t>Vaatimustenvastaisten ajoneuvojen viimeinen rekisteröintipäivä ja vaatimustenvastaisten komponenttien viimeinen myynti- tai käyttöönottopäivä (</w:t>
            </w:r>
            <w:r>
              <w:rPr>
                <w:b/>
                <w:noProof/>
                <w:vertAlign w:val="superscript"/>
              </w:rPr>
              <w:t>1</w:t>
            </w:r>
            <w:r>
              <w:rPr>
                <w:b/>
                <w:noProof/>
              </w:rPr>
              <w:t>)</w:t>
            </w:r>
          </w:p>
        </w:tc>
      </w:tr>
      <w:tr>
        <w:trPr>
          <w:trHeight w:val="437"/>
        </w:trPr>
        <w:tc>
          <w:tcPr>
            <w:tcW w:w="1333" w:type="dxa"/>
            <w:vMerge w:val="restart"/>
            <w:tcMar>
              <w:left w:w="57" w:type="dxa"/>
              <w:right w:w="57" w:type="dxa"/>
            </w:tcMar>
          </w:tcPr>
          <w:p>
            <w:pPr>
              <w:jc w:val="center"/>
              <w:rPr>
                <w:b/>
                <w:bCs/>
                <w:noProof/>
              </w:rPr>
            </w:pPr>
            <w:r>
              <w:rPr>
                <w:b/>
                <w:noProof/>
              </w:rPr>
              <w:t>29</w:t>
            </w:r>
          </w:p>
        </w:tc>
        <w:tc>
          <w:tcPr>
            <w:tcW w:w="5047" w:type="dxa"/>
            <w:tcMar>
              <w:left w:w="57" w:type="dxa"/>
              <w:right w:w="57" w:type="dxa"/>
            </w:tcMar>
          </w:tcPr>
          <w:p>
            <w:pPr>
              <w:rPr>
                <w:noProof/>
              </w:rPr>
            </w:pPr>
            <w:r>
              <w:rPr>
                <w:noProof/>
              </w:rPr>
              <w:t>Hyötyajoneuvon ohjaamon lujuus</w:t>
            </w:r>
          </w:p>
        </w:tc>
        <w:tc>
          <w:tcPr>
            <w:tcW w:w="2976" w:type="dxa"/>
            <w:vMerge w:val="restart"/>
            <w:tcMar>
              <w:left w:w="57" w:type="dxa"/>
              <w:right w:w="57" w:type="dxa"/>
            </w:tcMar>
          </w:tcPr>
          <w:p>
            <w:pPr>
              <w:jc w:val="center"/>
              <w:rPr>
                <w:b/>
                <w:bCs/>
                <w:noProof/>
              </w:rPr>
            </w:pPr>
            <w:r>
              <w:rPr>
                <w:noProof/>
              </w:rPr>
              <w:t>29. tammikuuta 2021</w:t>
            </w:r>
          </w:p>
        </w:tc>
      </w:tr>
      <w:tr>
        <w:trPr>
          <w:trHeight w:val="437"/>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Luokan N ajoneuvojen oltava E-säännön mukaisia</w:t>
            </w:r>
          </w:p>
        </w:tc>
        <w:tc>
          <w:tcPr>
            <w:tcW w:w="2976" w:type="dxa"/>
            <w:vMerge/>
            <w:tcMar>
              <w:left w:w="57" w:type="dxa"/>
              <w:right w:w="57" w:type="dxa"/>
            </w:tcMar>
          </w:tcPr>
          <w:p>
            <w:pPr>
              <w:jc w:val="center"/>
              <w:rPr>
                <w:bCs/>
                <w:noProof/>
              </w:rPr>
            </w:pPr>
          </w:p>
        </w:tc>
      </w:tr>
      <w:tr>
        <w:trPr>
          <w:trHeight w:val="543"/>
        </w:trPr>
        <w:tc>
          <w:tcPr>
            <w:tcW w:w="1333" w:type="dxa"/>
            <w:vMerge w:val="restart"/>
            <w:tcMar>
              <w:left w:w="57" w:type="dxa"/>
              <w:right w:w="57" w:type="dxa"/>
            </w:tcMar>
          </w:tcPr>
          <w:p>
            <w:pPr>
              <w:jc w:val="center"/>
              <w:rPr>
                <w:b/>
                <w:bCs/>
                <w:noProof/>
              </w:rPr>
            </w:pPr>
            <w:r>
              <w:rPr>
                <w:b/>
                <w:noProof/>
              </w:rPr>
              <w:t>142</w:t>
            </w:r>
          </w:p>
        </w:tc>
        <w:tc>
          <w:tcPr>
            <w:tcW w:w="5047" w:type="dxa"/>
            <w:tcMar>
              <w:left w:w="57" w:type="dxa"/>
              <w:right w:w="57" w:type="dxa"/>
            </w:tcMar>
          </w:tcPr>
          <w:p>
            <w:pPr>
              <w:rPr>
                <w:noProof/>
              </w:rPr>
            </w:pPr>
            <w:r>
              <w:rPr>
                <w:noProof/>
              </w:rPr>
              <w:t>Renkaiden asennus</w:t>
            </w:r>
          </w:p>
        </w:tc>
        <w:tc>
          <w:tcPr>
            <w:tcW w:w="2976" w:type="dxa"/>
            <w:vMerge w:val="restart"/>
            <w:tcMar>
              <w:left w:w="57" w:type="dxa"/>
              <w:right w:w="57" w:type="dxa"/>
            </w:tcMar>
          </w:tcPr>
          <w:p>
            <w:pPr>
              <w:jc w:val="center"/>
              <w:rPr>
                <w:noProof/>
              </w:rPr>
            </w:pPr>
            <w:r>
              <w:rPr>
                <w:noProof/>
              </w:rPr>
              <w:t>31. lokakuuta 2018</w:t>
            </w:r>
          </w:p>
        </w:tc>
      </w:tr>
      <w:tr>
        <w:trPr>
          <w:trHeight w:val="134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Luokkien O</w:t>
            </w:r>
            <w:r>
              <w:rPr>
                <w:noProof/>
                <w:vertAlign w:val="subscript"/>
              </w:rPr>
              <w:t>1</w:t>
            </w:r>
            <w:r>
              <w:rPr>
                <w:noProof/>
              </w:rPr>
              <w:t>, O</w:t>
            </w:r>
            <w:r>
              <w:rPr>
                <w:noProof/>
                <w:vertAlign w:val="subscript"/>
              </w:rPr>
              <w:t>2</w:t>
            </w:r>
            <w:r>
              <w:rPr>
                <w:noProof/>
              </w:rPr>
              <w:t>,</w:t>
            </w:r>
            <w:r>
              <w:rPr>
                <w:noProof/>
                <w:vertAlign w:val="subscript"/>
              </w:rPr>
              <w:t xml:space="preserve"> </w:t>
            </w:r>
            <w:r>
              <w:rPr>
                <w:noProof/>
              </w:rPr>
              <w:t>O</w:t>
            </w:r>
            <w:r>
              <w:rPr>
                <w:noProof/>
                <w:vertAlign w:val="subscript"/>
              </w:rPr>
              <w:t>3</w:t>
            </w:r>
            <w:r>
              <w:rPr>
                <w:noProof/>
              </w:rPr>
              <w:t xml:space="preserve"> ja O</w:t>
            </w:r>
            <w:r>
              <w:rPr>
                <w:noProof/>
                <w:vertAlign w:val="subscript"/>
              </w:rPr>
              <w:t>4</w:t>
            </w:r>
            <w:r>
              <w:rPr>
                <w:noProof/>
              </w:rPr>
              <w:t xml:space="preserve"> ajoneuvoissa on oltava vaiheen 2 vierintävastusvaatimusten mukaiset C1- tai C2-luokan renkaat</w:t>
            </w:r>
          </w:p>
        </w:tc>
        <w:tc>
          <w:tcPr>
            <w:tcW w:w="2976" w:type="dxa"/>
            <w:vMerge/>
            <w:tcMar>
              <w:left w:w="57" w:type="dxa"/>
              <w:right w:w="57" w:type="dxa"/>
            </w:tcMar>
          </w:tcPr>
          <w:p>
            <w:pPr>
              <w:jc w:val="center"/>
              <w:rPr>
                <w:noProof/>
              </w:rPr>
            </w:pPr>
          </w:p>
        </w:tc>
      </w:tr>
      <w:tr>
        <w:trPr>
          <w:trHeight w:val="493"/>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Renkaiden asennus</w:t>
            </w:r>
          </w:p>
        </w:tc>
        <w:tc>
          <w:tcPr>
            <w:tcW w:w="2976" w:type="dxa"/>
            <w:vMerge w:val="restart"/>
            <w:tcMar>
              <w:left w:w="57" w:type="dxa"/>
              <w:right w:w="57" w:type="dxa"/>
            </w:tcMar>
          </w:tcPr>
          <w:p>
            <w:pPr>
              <w:jc w:val="center"/>
              <w:rPr>
                <w:noProof/>
              </w:rPr>
            </w:pPr>
            <w:r>
              <w:rPr>
                <w:noProof/>
              </w:rPr>
              <w:t>31. lokakuuta 2020</w:t>
            </w:r>
          </w:p>
        </w:tc>
      </w:tr>
      <w:tr>
        <w:trPr>
          <w:trHeight w:val="94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Luokkien O</w:t>
            </w:r>
            <w:r>
              <w:rPr>
                <w:noProof/>
                <w:vertAlign w:val="subscript"/>
              </w:rPr>
              <w:t>3</w:t>
            </w:r>
            <w:r>
              <w:rPr>
                <w:noProof/>
              </w:rPr>
              <w:t xml:space="preserve"> ja O</w:t>
            </w:r>
            <w:r>
              <w:rPr>
                <w:noProof/>
                <w:vertAlign w:val="subscript"/>
              </w:rPr>
              <w:t>4</w:t>
            </w:r>
            <w:r>
              <w:rPr>
                <w:noProof/>
              </w:rPr>
              <w:t xml:space="preserve"> ajoneuvoissa on oltava vaiheen 2 vierintävastusvaatimusten mukaiset C3-luokan renkaat</w:t>
            </w:r>
          </w:p>
        </w:tc>
        <w:tc>
          <w:tcPr>
            <w:tcW w:w="2976" w:type="dxa"/>
            <w:vMerge/>
            <w:tcMar>
              <w:left w:w="57" w:type="dxa"/>
              <w:right w:w="57" w:type="dxa"/>
            </w:tcMar>
          </w:tcPr>
          <w:p>
            <w:pPr>
              <w:jc w:val="center"/>
              <w:rPr>
                <w:noProof/>
              </w:rPr>
            </w:pPr>
          </w:p>
        </w:tc>
      </w:tr>
      <w:tr>
        <w:tc>
          <w:tcPr>
            <w:tcW w:w="1333" w:type="dxa"/>
            <w:vMerge w:val="restart"/>
            <w:tcMar>
              <w:left w:w="57" w:type="dxa"/>
              <w:right w:w="57" w:type="dxa"/>
            </w:tcMar>
          </w:tcPr>
          <w:p>
            <w:pPr>
              <w:jc w:val="center"/>
              <w:rPr>
                <w:b/>
                <w:bCs/>
                <w:noProof/>
              </w:rPr>
            </w:pPr>
            <w:r>
              <w:rPr>
                <w:b/>
                <w:noProof/>
              </w:rPr>
              <w:t>117</w:t>
            </w:r>
          </w:p>
          <w:p>
            <w:pPr>
              <w:rPr>
                <w:noProof/>
              </w:rPr>
            </w:pPr>
          </w:p>
          <w:p>
            <w:pPr>
              <w:jc w:val="center"/>
              <w:rPr>
                <w:noProof/>
              </w:rPr>
            </w:pPr>
          </w:p>
        </w:tc>
        <w:tc>
          <w:tcPr>
            <w:tcW w:w="5047" w:type="dxa"/>
            <w:tcMar>
              <w:left w:w="57" w:type="dxa"/>
              <w:right w:w="57" w:type="dxa"/>
            </w:tcMar>
          </w:tcPr>
          <w:p>
            <w:pPr>
              <w:rPr>
                <w:noProof/>
              </w:rPr>
            </w:pPr>
            <w:r>
              <w:rPr>
                <w:noProof/>
              </w:rPr>
              <w:t>Renkaat vierintämelun, märkäpidon ja vierintävastuksen osalta</w:t>
            </w:r>
          </w:p>
        </w:tc>
        <w:tc>
          <w:tcPr>
            <w:tcW w:w="2976" w:type="dxa"/>
            <w:vMerge w:val="restart"/>
            <w:tcMar>
              <w:left w:w="57" w:type="dxa"/>
              <w:right w:w="57" w:type="dxa"/>
            </w:tcMar>
          </w:tcPr>
          <w:p>
            <w:pPr>
              <w:jc w:val="center"/>
              <w:rPr>
                <w:noProof/>
              </w:rPr>
            </w:pPr>
            <w:r>
              <w:rPr>
                <w:noProof/>
              </w:rPr>
              <w:t>30. huhtikuuta 2019</w:t>
            </w:r>
          </w:p>
        </w:tc>
      </w:tr>
      <w:t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C1-, C2- ja C3-luokan renkaiden on oltava vaiheen 2 vierintämeluvaatimusten mukaiset</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Renkaat vierintämelun, märkäpidon ja vierintävastuksen osalta</w:t>
            </w:r>
          </w:p>
        </w:tc>
        <w:tc>
          <w:tcPr>
            <w:tcW w:w="2976" w:type="dxa"/>
            <w:vMerge w:val="restart"/>
            <w:tcMar>
              <w:left w:w="57" w:type="dxa"/>
              <w:right w:w="57" w:type="dxa"/>
            </w:tcMar>
          </w:tcPr>
          <w:p>
            <w:pPr>
              <w:jc w:val="center"/>
              <w:rPr>
                <w:noProof/>
              </w:rPr>
            </w:pPr>
            <w:r>
              <w:rPr>
                <w:noProof/>
              </w:rPr>
              <w:t>30. huhtikuuta 2019</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C3-luokan renkaiden on oltava vaiheen 1 vierintämeluvaatimusten mukaiset</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Renkaat vierintämelun, märkäpidon ja vierintävastuksen osalta</w:t>
            </w:r>
          </w:p>
        </w:tc>
        <w:tc>
          <w:tcPr>
            <w:tcW w:w="2976" w:type="dxa"/>
            <w:vMerge w:val="restart"/>
            <w:tcMar>
              <w:left w:w="57" w:type="dxa"/>
              <w:right w:w="57" w:type="dxa"/>
            </w:tcMar>
          </w:tcPr>
          <w:p>
            <w:pPr>
              <w:jc w:val="center"/>
              <w:rPr>
                <w:noProof/>
              </w:rPr>
            </w:pPr>
            <w:r>
              <w:rPr>
                <w:noProof/>
              </w:rPr>
              <w:t>30. huhtikuuta 2021</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C1- ja C2-luokan renkaiden on oltava vaiheen 2 vierintämeluvaatimusten mukaiset</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Renkaat vierintämelun, märkäpidon ja vierintävastuksen osalta</w:t>
            </w:r>
          </w:p>
        </w:tc>
        <w:tc>
          <w:tcPr>
            <w:tcW w:w="2976" w:type="dxa"/>
            <w:vMerge w:val="restart"/>
            <w:tcMar>
              <w:left w:w="57" w:type="dxa"/>
              <w:right w:w="57" w:type="dxa"/>
            </w:tcMar>
          </w:tcPr>
          <w:p>
            <w:pPr>
              <w:jc w:val="center"/>
              <w:rPr>
                <w:noProof/>
              </w:rPr>
            </w:pPr>
            <w:r>
              <w:rPr>
                <w:noProof/>
              </w:rPr>
              <w:t>30. huhtikuuta 2023</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C3-luokan renkaiden on oltava vaiheen 2 vierintämeluvaatimusten mukaiset</w:t>
            </w:r>
          </w:p>
        </w:tc>
        <w:tc>
          <w:tcPr>
            <w:tcW w:w="2976" w:type="dxa"/>
            <w:vMerge/>
            <w:tcMar>
              <w:left w:w="57" w:type="dxa"/>
              <w:right w:w="57" w:type="dxa"/>
            </w:tcMar>
          </w:tcPr>
          <w:p>
            <w:pPr>
              <w:jc w:val="center"/>
              <w:rPr>
                <w:noProof/>
              </w:rPr>
            </w:pPr>
          </w:p>
        </w:tc>
      </w:tr>
      <w:tr>
        <w:trPr>
          <w:trHeight w:val="533"/>
        </w:trPr>
        <w:tc>
          <w:tcPr>
            <w:tcW w:w="1333" w:type="dxa"/>
            <w:vMerge w:val="restart"/>
            <w:tcMar>
              <w:left w:w="57" w:type="dxa"/>
              <w:right w:w="57" w:type="dxa"/>
            </w:tcMar>
          </w:tcPr>
          <w:p>
            <w:pPr>
              <w:jc w:val="center"/>
              <w:rPr>
                <w:b/>
                <w:bCs/>
                <w:noProof/>
              </w:rPr>
            </w:pPr>
            <w:r>
              <w:rPr>
                <w:b/>
                <w:noProof/>
              </w:rPr>
              <w:t>127</w:t>
            </w:r>
          </w:p>
        </w:tc>
        <w:tc>
          <w:tcPr>
            <w:tcW w:w="5047" w:type="dxa"/>
            <w:tcMar>
              <w:left w:w="57" w:type="dxa"/>
              <w:right w:w="57" w:type="dxa"/>
            </w:tcMar>
          </w:tcPr>
          <w:p>
            <w:pPr>
              <w:rPr>
                <w:noProof/>
              </w:rPr>
            </w:pPr>
            <w:r>
              <w:rPr>
                <w:noProof/>
              </w:rPr>
              <w:t>Jalankulkijoiden turvallisuuteen liittyvät ominaisuudet</w:t>
            </w:r>
          </w:p>
        </w:tc>
        <w:tc>
          <w:tcPr>
            <w:tcW w:w="2976" w:type="dxa"/>
            <w:vMerge w:val="restart"/>
            <w:tcMar>
              <w:left w:w="57" w:type="dxa"/>
              <w:right w:w="57" w:type="dxa"/>
            </w:tcMar>
          </w:tcPr>
          <w:p>
            <w:pPr>
              <w:jc w:val="center"/>
              <w:rPr>
                <w:noProof/>
              </w:rPr>
            </w:pPr>
            <w:r>
              <w:rPr>
                <w:noProof/>
              </w:rPr>
              <w:t>23. elokuuta 2019</w:t>
            </w:r>
          </w:p>
        </w:tc>
      </w:tr>
      <w:tr>
        <w:trPr>
          <w:trHeight w:val="53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Luokan M</w:t>
            </w:r>
            <w:r>
              <w:rPr>
                <w:noProof/>
                <w:vertAlign w:val="subscript"/>
              </w:rPr>
              <w:t>1</w:t>
            </w:r>
            <w:r>
              <w:rPr>
                <w:noProof/>
              </w:rPr>
              <w:t xml:space="preserve"> ajoneuvot, joiden enimmäismassa &gt; 2 500 kg, ja luokan N</w:t>
            </w:r>
            <w:r>
              <w:rPr>
                <w:noProof/>
                <w:vertAlign w:val="subscript"/>
              </w:rPr>
              <w:t>1</w:t>
            </w:r>
            <w:r>
              <w:rPr>
                <w:noProof/>
              </w:rPr>
              <w:t xml:space="preserve"> ajoneuvot</w:t>
            </w:r>
          </w:p>
        </w:tc>
        <w:tc>
          <w:tcPr>
            <w:tcW w:w="2976" w:type="dxa"/>
            <w:vMerge/>
            <w:tcMar>
              <w:left w:w="57" w:type="dxa"/>
              <w:right w:w="57" w:type="dxa"/>
            </w:tcMar>
          </w:tcPr>
          <w:p>
            <w:pPr>
              <w:jc w:val="center"/>
              <w:rPr>
                <w:noProof/>
              </w:rPr>
            </w:pPr>
          </w:p>
        </w:tc>
      </w:tr>
    </w:tbl>
    <w:p>
      <w:pPr>
        <w:jc w:val="center"/>
        <w:rPr>
          <w:noProof/>
        </w:rPr>
      </w:pPr>
      <w:r>
        <w:rPr>
          <w:noProof/>
        </w:rPr>
        <w:t>_______________________</w:t>
      </w:r>
    </w:p>
    <w:p>
      <w:pPr>
        <w:jc w:val="center"/>
        <w:rPr>
          <w:i/>
          <w:noProof/>
        </w:rPr>
      </w:pPr>
      <w:r>
        <w:rPr>
          <w:i/>
          <w:noProof/>
        </w:rPr>
        <w:t>Taulukkoon liittyvät huomautukset:</w:t>
      </w:r>
    </w:p>
    <w:tbl>
      <w:tblPr>
        <w:tblW w:w="0" w:type="auto"/>
        <w:tblLook w:val="01E0" w:firstRow="1" w:lastRow="1" w:firstColumn="1" w:lastColumn="1" w:noHBand="0" w:noVBand="0"/>
      </w:tblPr>
      <w:tblGrid>
        <w:gridCol w:w="588"/>
        <w:gridCol w:w="8625"/>
      </w:tblGrid>
      <w:tr>
        <w:tc>
          <w:tcPr>
            <w:tcW w:w="588" w:type="dxa"/>
            <w:shd w:val="clear" w:color="auto" w:fill="auto"/>
          </w:tcPr>
          <w:p>
            <w:pPr>
              <w:rPr>
                <w:noProof/>
              </w:rPr>
            </w:pPr>
            <w:r>
              <w:rPr>
                <w:noProof/>
              </w:rPr>
              <w:t>(</w:t>
            </w:r>
            <w:r>
              <w:rPr>
                <w:noProof/>
                <w:vertAlign w:val="superscript"/>
              </w:rPr>
              <w:t>1</w:t>
            </w:r>
            <w:r>
              <w:rPr>
                <w:noProof/>
              </w:rPr>
              <w:t>)</w:t>
            </w:r>
          </w:p>
        </w:tc>
        <w:tc>
          <w:tcPr>
            <w:tcW w:w="8625" w:type="dxa"/>
            <w:shd w:val="clear" w:color="auto" w:fill="auto"/>
          </w:tcPr>
          <w:p>
            <w:pPr>
              <w:rPr>
                <w:b/>
                <w:noProof/>
              </w:rPr>
            </w:pPr>
            <w:r>
              <w:rPr>
                <w:noProof/>
              </w:rPr>
              <w:t xml:space="preserve">Asetuksessa (EY) N:o 661/2009 vahvistetut päivämäärät, jotka koskevat ajoneuvo-, järjestelmä- ja komponenttityyppejä, jotka ovat kyseisen asetuksen mukaisia, sellaisena kuin asetusta sovelletaan </w:t>
            </w:r>
            <w:r>
              <w:rPr>
                <w:i/>
                <w:noProof/>
              </w:rPr>
              <w:t>[Julkaisutoimisto: lisätään tämän asetuksen voimaantulopäivää edeltävä päivä]</w:t>
            </w:r>
            <w:r>
              <w:rPr>
                <w:noProof/>
              </w:rPr>
              <w:t xml:space="preserve">, ja asetuksessa (EY) N:o 78/2009 vahvistetut päivämäärät, jotka koskevat ajoneuvo- ja järjestelmätyyppejä, jotka ovat kyseisen asetuksen mukaisia, sellaisena kuin asetusta sovelletaan </w:t>
            </w:r>
            <w:r>
              <w:rPr>
                <w:i/>
                <w:noProof/>
              </w:rPr>
              <w:t>[Julkaisutoimisto: lisätään tämän asetuksen voimaantulopäivää edeltävä päivä</w:t>
            </w:r>
            <w:r>
              <w:rPr>
                <w:noProof/>
              </w:rPr>
              <w:t>].</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tehty 27 päivänä marraskuuta 1997, Euroopan yhteisön liittymisestä Yhdistyneiden Kansakuntien Euroopan talouskomission sopimukseen pyörillä varustettuihin ajoneuvoihin ja niihin asennettaviin tai niissä käytettäviin varusteisiin ja osiin sovellettavien yhdenmukaisten teknisten vaatimusten hyväksymisestä sekä näiden vaatimusten mukaisesti annettujen hyväksymisien vastavuoroista tunnustamista koskevista ehdoista (vuoden 1958 tarkistettu sopimus) (EYVL L 346, 17.12.1997, s. 78).</w:t>
      </w:r>
    </w:p>
  </w:footnote>
  <w:footnote w:id="2">
    <w:p>
      <w:pPr>
        <w:pStyle w:val="FootnoteText"/>
      </w:pPr>
      <w:r>
        <w:rPr>
          <w:rStyle w:val="FootnoteReference"/>
        </w:rPr>
        <w:t>+</w:t>
      </w:r>
      <w:r>
        <w:t xml:space="preserve"> </w:t>
      </w:r>
      <w:r>
        <w:tab/>
      </w:r>
      <w:r>
        <w:rPr>
          <w:i/>
        </w:rPr>
        <w:t>[Julkaisutoimisto: lisätään asianmukaiset tiedot tekstiin ja alaviitteeseen]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D2C4467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4E7C5C92"/>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8196D9A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DF52D32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3D2833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Number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28364B0"/>
    <w:multiLevelType w:val="singleLevel"/>
    <w:tmpl w:val="D084FB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02711F"/>
    <w:multiLevelType w:val="hybridMultilevel"/>
    <w:tmpl w:val="F5C2C91E"/>
    <w:lvl w:ilvl="0" w:tplc="EC5ABE0A">
      <w:start w:val="4"/>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191641"/>
    <w:multiLevelType w:val="multilevel"/>
    <w:tmpl w:val="B67C4E92"/>
    <w:name w:val="List Bullet 2"/>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98C015E"/>
    <w:multiLevelType w:val="multilevel"/>
    <w:tmpl w:val="027A66B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56B4AB1"/>
    <w:multiLevelType w:val="multilevel"/>
    <w:tmpl w:val="783E5A22"/>
    <w:name w:val="List Number__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nsid w:val="542A1204"/>
    <w:multiLevelType w:val="multilevel"/>
    <w:tmpl w:val="BC1E840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85B58CE"/>
    <w:multiLevelType w:val="hybridMultilevel"/>
    <w:tmpl w:val="2236B498"/>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A25106"/>
    <w:multiLevelType w:val="hybridMultilevel"/>
    <w:tmpl w:val="1884D376"/>
    <w:lvl w:ilvl="0" w:tplc="EC5ABE0A">
      <w:start w:val="4"/>
      <w:numFmt w:val="bullet"/>
      <w:lvlText w:val="-"/>
      <w:lvlJc w:val="left"/>
      <w:pPr>
        <w:ind w:left="784" w:hanging="360"/>
      </w:pPr>
      <w:rPr>
        <w:rFonts w:ascii="Times New Roman" w:eastAsiaTheme="minorHAns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441365"/>
    <w:multiLevelType w:val="multilevel"/>
    <w:tmpl w:val="6780FAA4"/>
    <w:lvl w:ilvl="0">
      <w:start w:val="1"/>
      <w:numFmt w:val="decimal"/>
      <w:lvlRestart w:val="0"/>
      <w:lvlText w:val="(%1)"/>
      <w:lvlJc w:val="left"/>
      <w:pPr>
        <w:tabs>
          <w:tab w:val="num" w:pos="709"/>
        </w:tabs>
        <w:ind w:left="709" w:hanging="709"/>
      </w:pPr>
    </w:lvl>
    <w:lvl w:ilvl="1">
      <w:start w:val="4"/>
      <w:numFmt w:val="bullet"/>
      <w:lvlText w:val="-"/>
      <w:lvlJc w:val="left"/>
      <w:pPr>
        <w:tabs>
          <w:tab w:val="num" w:pos="1417"/>
        </w:tabs>
        <w:ind w:left="1417" w:hanging="708"/>
      </w:pPr>
      <w:rPr>
        <w:rFonts w:ascii="Times New Roman" w:eastAsiaTheme="minorHAnsi" w:hAnsi="Times New Roman" w:cs="Times New Roman" w:hint="default"/>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9C96D36"/>
    <w:multiLevelType w:val="multilevel"/>
    <w:tmpl w:val="BE983CE4"/>
    <w:lvl w:ilvl="0">
      <w:start w:val="1"/>
      <w:numFmt w:val="decimal"/>
      <w:lvlRestart w:val="0"/>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nsid w:val="7D0738F2"/>
    <w:multiLevelType w:val="hybridMultilevel"/>
    <w:tmpl w:val="B6FA12E6"/>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2"/>
  </w:num>
  <w:num w:numId="6">
    <w:abstractNumId w:val="37"/>
  </w:num>
  <w:num w:numId="7">
    <w:abstractNumId w:val="43"/>
  </w:num>
  <w:num w:numId="8">
    <w:abstractNumId w:val="27"/>
  </w:num>
  <w:num w:numId="9">
    <w:abstractNumId w:val="39"/>
  </w:num>
  <w:num w:numId="10">
    <w:abstractNumId w:val="1"/>
  </w:num>
  <w:num w:numId="11">
    <w:abstractNumId w:val="0"/>
  </w:num>
  <w:num w:numId="12">
    <w:abstractNumId w:val="21"/>
  </w:num>
  <w:num w:numId="13">
    <w:abstractNumId w:val="41"/>
  </w:num>
  <w:num w:numId="14">
    <w:abstractNumId w:val="25"/>
  </w:num>
  <w:num w:numId="15">
    <w:abstractNumId w:val="19"/>
  </w:num>
  <w:num w:numId="16">
    <w:abstractNumId w:val="22"/>
  </w:num>
  <w:num w:numId="17">
    <w:abstractNumId w:val="16"/>
  </w:num>
  <w:num w:numId="18">
    <w:abstractNumId w:val="7"/>
  </w:num>
  <w:num w:numId="19">
    <w:abstractNumId w:val="6"/>
  </w:num>
  <w:num w:numId="20">
    <w:abstractNumId w:val="15"/>
  </w:num>
  <w:num w:numId="21">
    <w:abstractNumId w:val="29"/>
  </w:num>
  <w:num w:numId="22">
    <w:abstractNumId w:val="28"/>
  </w:num>
  <w:num w:numId="23">
    <w:abstractNumId w:val="8"/>
  </w:num>
  <w:num w:numId="24">
    <w:abstractNumId w:val="18"/>
  </w:num>
  <w:num w:numId="25">
    <w:abstractNumId w:val="9"/>
  </w:num>
  <w:num w:numId="26">
    <w:abstractNumId w:val="20"/>
  </w:num>
  <w:num w:numId="27">
    <w:abstractNumId w:val="17"/>
  </w:num>
  <w:num w:numId="28">
    <w:abstractNumId w:val="30"/>
  </w:num>
  <w:num w:numId="29">
    <w:abstractNumId w:val="40"/>
  </w:num>
  <w:num w:numId="30">
    <w:abstractNumId w:val="3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38"/>
  </w:num>
  <w:num w:numId="35">
    <w:abstractNumId w:val="14"/>
  </w:num>
  <w:num w:numId="36">
    <w:abstractNumId w:val="24"/>
  </w:num>
  <w:num w:numId="37">
    <w:abstractNumId w:val="11"/>
  </w:num>
  <w:num w:numId="38">
    <w:abstractNumId w:val="36"/>
  </w:num>
  <w:num w:numId="39">
    <w:abstractNumId w:val="10"/>
  </w:num>
  <w:num w:numId="40">
    <w:abstractNumId w:val="26"/>
  </w:num>
  <w:num w:numId="41">
    <w:abstractNumId w:val="33"/>
  </w:num>
  <w:num w:numId="42">
    <w:abstractNumId w:val="34"/>
  </w:num>
  <w:num w:numId="43">
    <w:abstractNumId w:val="13"/>
  </w:num>
  <w:num w:numId="44">
    <w:abstractNumId w:val="31"/>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2 13:19:11"/>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ACCOMPAGNANT" w:val="ehdotukseen"/>
    <w:docVar w:name="LW_ACCOMPAGNANT.CP" w:val="ehdotukseen"/>
    <w:docVar w:name="LW_ANNEX_NBR_FIRST" w:val="1"/>
    <w:docVar w:name="LW_ANNEX_NBR_LAST" w:val="6"/>
    <w:docVar w:name="LW_ANNEX_UNIQUE" w:val="0"/>
    <w:docVar w:name="LW_CORRIGENDUM" w:val="&lt;UNUSED&gt;"/>
    <w:docVar w:name="LW_COVERPAGE_EXISTS" w:val="True"/>
    <w:docVar w:name="LW_COVERPAGE_GUID" w:val="400A7181-F7E2-4A8B-9C37-9A4C9CA7BA8C"/>
    <w:docVar w:name="LW_COVERPAGE_TYPE" w:val="1"/>
    <w:docVar w:name="LW_CROSSREFERENCE" w:val="{SEC(2018) 270 final}_x000b_{SWD(2018) 190 final}_x000b_{SWD(2018) 191 final}"/>
    <w:docVar w:name="LW_DocType" w:val="ANNEX"/>
    <w:docVar w:name="LW_EMISSION" w:val="17.5.2018"/>
    <w:docVar w:name="LW_EMISSION_ISODATE" w:val="2018-05-17"/>
    <w:docVar w:name="LW_EMISSION_LOCATION" w:val="BRX"/>
    <w:docVar w:name="LW_EMISSION_PREFIX" w:val="Bryssel"/>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asetuksen (EU) 2018/... muuttamisesta ja asetusten (EY) N:o 78/2009, (EY) N:o 79/2009 ja (EY) N:o 661/2009 kumoamisesta"/>
    <w:docVar w:name="LW_OBJETACTEPRINCIPAL.CP" w:val="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asetuksen (EU) 2018/... muuttamisesta ja asetusten (EY) N:o 78/2009, (EY) N:o 79/2009 ja (EY) N:o 661/2009 kumoamisesta"/>
    <w:docVar w:name="LW_PART_NBR" w:val="&lt;UNUSED&gt;"/>
    <w:docVar w:name="LW_PART_NBR_TOTAL" w:val="&lt;UNUSED&gt;"/>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UROOPAN PARLAMENTIN JA NEUVOSTON ASETUS"/>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fi-FI" w:eastAsia="fi-FI"/>
    </w:rPr>
  </w:style>
  <w:style w:type="character" w:customStyle="1" w:styleId="Heading6Char">
    <w:name w:val="Heading 6 Char"/>
    <w:basedOn w:val="DefaultParagraphFont"/>
    <w:link w:val="Heading6"/>
    <w:rPr>
      <w:rFonts w:ascii="Times New Roman" w:eastAsia="Times New Roman" w:hAnsi="Times New Roman" w:cs="Times New Roman"/>
      <w:b/>
      <w:bCs/>
      <w:lang w:val="fi-FI" w:eastAsia="fi-FI"/>
    </w:rPr>
  </w:style>
  <w:style w:type="character" w:customStyle="1" w:styleId="Heading7Char">
    <w:name w:val="Heading 7 Char"/>
    <w:basedOn w:val="DefaultParagraphFont"/>
    <w:link w:val="Heading7"/>
    <w:rPr>
      <w:rFonts w:ascii="Times New Roman" w:eastAsia="Times New Roman" w:hAnsi="Times New Roman" w:cs="Times New Roman"/>
      <w:sz w:val="24"/>
      <w:lang w:val="fi-FI" w:eastAsia="fi-FI"/>
    </w:rPr>
  </w:style>
  <w:style w:type="character" w:customStyle="1" w:styleId="Heading8Char">
    <w:name w:val="Heading 8 Char"/>
    <w:basedOn w:val="DefaultParagraphFont"/>
    <w:link w:val="Heading8"/>
    <w:rPr>
      <w:rFonts w:ascii="Times New Roman" w:eastAsia="Times New Roman" w:hAnsi="Times New Roman" w:cs="Times New Roman"/>
      <w:i/>
      <w:iCs/>
      <w:sz w:val="24"/>
      <w:lang w:val="fi-FI" w:eastAsia="fi-FI"/>
    </w:rPr>
  </w:style>
  <w:style w:type="character" w:customStyle="1" w:styleId="Heading9Char">
    <w:name w:val="Heading 9 Char"/>
    <w:basedOn w:val="DefaultParagraphFont"/>
    <w:link w:val="Heading9"/>
    <w:rPr>
      <w:rFonts w:ascii="Arial" w:eastAsia="Times New Roman" w:hAnsi="Arial" w:cs="Arial"/>
      <w:lang w:val="fi-FI" w:eastAsia="fi-FI"/>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i-FI"/>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fi-FI" w:eastAsia="fi-FI"/>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fi-FI" w:eastAsia="fi-FI"/>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fi-FI" w:eastAsia="fi-FI"/>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fi-FI" w:eastAsia="fi-FI"/>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fi-FI" w:eastAsia="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fi-FI" w:eastAsia="fi-FI"/>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fi-FI" w:eastAsia="fi-FI"/>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fi-FI" w:eastAsia="fi-FI"/>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fi-FI" w:eastAsia="fi-FI"/>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i-FI"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fi-FI" w:eastAsia="fi-FI"/>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fi-FI" w:eastAsia="fi-FI"/>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fi-FI" w:eastAsia="fi-FI"/>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fi-FI" w:eastAsia="fi-FI"/>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fi-FI" w:eastAsia="fi-FI"/>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fi-FI" w:eastAsia="fi-FI"/>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fi-FI"/>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fi-FI" w:eastAsia="fi-FI"/>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fi-FI" w:eastAsia="fi-FI"/>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fi-FI" w:eastAsia="fi-FI"/>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fi-FI" w:eastAsia="fi-FI"/>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fi-FI" w:eastAsia="fi-FI"/>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fi-FI" w:eastAsia="fi-FI"/>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fi-FI" w:eastAsia="fi-FI"/>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fi-FI" w:eastAsia="fi-FI"/>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f4">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fi-FI" w:eastAsia="fi-FI"/>
    </w:rPr>
  </w:style>
  <w:style w:type="character" w:customStyle="1" w:styleId="Heading6Char">
    <w:name w:val="Heading 6 Char"/>
    <w:basedOn w:val="DefaultParagraphFont"/>
    <w:link w:val="Heading6"/>
    <w:rPr>
      <w:rFonts w:ascii="Times New Roman" w:eastAsia="Times New Roman" w:hAnsi="Times New Roman" w:cs="Times New Roman"/>
      <w:b/>
      <w:bCs/>
      <w:lang w:val="fi-FI" w:eastAsia="fi-FI"/>
    </w:rPr>
  </w:style>
  <w:style w:type="character" w:customStyle="1" w:styleId="Heading7Char">
    <w:name w:val="Heading 7 Char"/>
    <w:basedOn w:val="DefaultParagraphFont"/>
    <w:link w:val="Heading7"/>
    <w:rPr>
      <w:rFonts w:ascii="Times New Roman" w:eastAsia="Times New Roman" w:hAnsi="Times New Roman" w:cs="Times New Roman"/>
      <w:sz w:val="24"/>
      <w:lang w:val="fi-FI" w:eastAsia="fi-FI"/>
    </w:rPr>
  </w:style>
  <w:style w:type="character" w:customStyle="1" w:styleId="Heading8Char">
    <w:name w:val="Heading 8 Char"/>
    <w:basedOn w:val="DefaultParagraphFont"/>
    <w:link w:val="Heading8"/>
    <w:rPr>
      <w:rFonts w:ascii="Times New Roman" w:eastAsia="Times New Roman" w:hAnsi="Times New Roman" w:cs="Times New Roman"/>
      <w:i/>
      <w:iCs/>
      <w:sz w:val="24"/>
      <w:lang w:val="fi-FI" w:eastAsia="fi-FI"/>
    </w:rPr>
  </w:style>
  <w:style w:type="character" w:customStyle="1" w:styleId="Heading9Char">
    <w:name w:val="Heading 9 Char"/>
    <w:basedOn w:val="DefaultParagraphFont"/>
    <w:link w:val="Heading9"/>
    <w:rPr>
      <w:rFonts w:ascii="Arial" w:eastAsia="Times New Roman" w:hAnsi="Arial" w:cs="Arial"/>
      <w:lang w:val="fi-FI" w:eastAsia="fi-FI"/>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i-FI"/>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fi-FI" w:eastAsia="fi-FI"/>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fi-FI" w:eastAsia="fi-FI"/>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fi-FI" w:eastAsia="fi-FI"/>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fi-FI" w:eastAsia="fi-FI"/>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fi-FI" w:eastAsia="fi-FI"/>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fi-FI" w:eastAsia="fi-FI"/>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fi-FI" w:eastAsia="fi-FI"/>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fi-FI" w:eastAsia="fi-FI"/>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fi-FI" w:eastAsia="fi-FI"/>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i-FI" w:eastAsia="fi-F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fi-FI" w:eastAsia="fi-FI"/>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fi-FI" w:eastAsia="fi-FI"/>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fi-FI" w:eastAsia="fi-FI"/>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fi-FI" w:eastAsia="fi-FI"/>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fi-FI" w:eastAsia="fi-FI"/>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fi-FI" w:eastAsia="fi-FI"/>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fi-FI"/>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fi-FI" w:eastAsia="fi-FI"/>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fi-FI" w:eastAsia="fi-FI"/>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fi-FI" w:eastAsia="fi-FI"/>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fi-FI" w:eastAsia="fi-FI"/>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fi-FI" w:eastAsia="fi-FI"/>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fi-FI" w:eastAsia="fi-FI"/>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fi-FI" w:eastAsia="fi-FI"/>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fi-FI" w:eastAsia="fi-FI"/>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f4">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276">
      <w:bodyDiv w:val="1"/>
      <w:marLeft w:val="0"/>
      <w:marRight w:val="0"/>
      <w:marTop w:val="0"/>
      <w:marBottom w:val="0"/>
      <w:divBdr>
        <w:top w:val="none" w:sz="0" w:space="0" w:color="auto"/>
        <w:left w:val="none" w:sz="0" w:space="0" w:color="auto"/>
        <w:bottom w:val="none" w:sz="0" w:space="0" w:color="auto"/>
        <w:right w:val="none" w:sz="0" w:space="0" w:color="auto"/>
      </w:divBdr>
    </w:div>
    <w:div w:id="342048426">
      <w:bodyDiv w:val="1"/>
      <w:marLeft w:val="0"/>
      <w:marRight w:val="0"/>
      <w:marTop w:val="0"/>
      <w:marBottom w:val="0"/>
      <w:divBdr>
        <w:top w:val="none" w:sz="0" w:space="0" w:color="auto"/>
        <w:left w:val="none" w:sz="0" w:space="0" w:color="auto"/>
        <w:bottom w:val="none" w:sz="0" w:space="0" w:color="auto"/>
        <w:right w:val="none" w:sz="0" w:space="0" w:color="auto"/>
      </w:divBdr>
    </w:div>
    <w:div w:id="522136746">
      <w:bodyDiv w:val="1"/>
      <w:marLeft w:val="0"/>
      <w:marRight w:val="0"/>
      <w:marTop w:val="0"/>
      <w:marBottom w:val="0"/>
      <w:divBdr>
        <w:top w:val="none" w:sz="0" w:space="0" w:color="auto"/>
        <w:left w:val="none" w:sz="0" w:space="0" w:color="auto"/>
        <w:bottom w:val="none" w:sz="0" w:space="0" w:color="auto"/>
        <w:right w:val="none" w:sz="0" w:space="0" w:color="auto"/>
      </w:divBdr>
    </w:div>
    <w:div w:id="673537918">
      <w:bodyDiv w:val="1"/>
      <w:marLeft w:val="0"/>
      <w:marRight w:val="0"/>
      <w:marTop w:val="0"/>
      <w:marBottom w:val="0"/>
      <w:divBdr>
        <w:top w:val="none" w:sz="0" w:space="0" w:color="auto"/>
        <w:left w:val="none" w:sz="0" w:space="0" w:color="auto"/>
        <w:bottom w:val="none" w:sz="0" w:space="0" w:color="auto"/>
        <w:right w:val="none" w:sz="0" w:space="0" w:color="auto"/>
      </w:divBdr>
    </w:div>
    <w:div w:id="1458723673">
      <w:bodyDiv w:val="1"/>
      <w:marLeft w:val="0"/>
      <w:marRight w:val="0"/>
      <w:marTop w:val="0"/>
      <w:marBottom w:val="0"/>
      <w:divBdr>
        <w:top w:val="none" w:sz="0" w:space="0" w:color="auto"/>
        <w:left w:val="none" w:sz="0" w:space="0" w:color="auto"/>
        <w:bottom w:val="none" w:sz="0" w:space="0" w:color="auto"/>
        <w:right w:val="none" w:sz="0" w:space="0" w:color="auto"/>
      </w:divBdr>
    </w:div>
    <w:div w:id="1460227723">
      <w:bodyDiv w:val="1"/>
      <w:marLeft w:val="0"/>
      <w:marRight w:val="0"/>
      <w:marTop w:val="0"/>
      <w:marBottom w:val="0"/>
      <w:divBdr>
        <w:top w:val="none" w:sz="0" w:space="0" w:color="auto"/>
        <w:left w:val="none" w:sz="0" w:space="0" w:color="auto"/>
        <w:bottom w:val="none" w:sz="0" w:space="0" w:color="auto"/>
        <w:right w:val="none" w:sz="0" w:space="0" w:color="auto"/>
      </w:divBdr>
    </w:div>
    <w:div w:id="1632050630">
      <w:bodyDiv w:val="1"/>
      <w:marLeft w:val="0"/>
      <w:marRight w:val="0"/>
      <w:marTop w:val="0"/>
      <w:marBottom w:val="0"/>
      <w:divBdr>
        <w:top w:val="none" w:sz="0" w:space="0" w:color="auto"/>
        <w:left w:val="none" w:sz="0" w:space="0" w:color="auto"/>
        <w:bottom w:val="none" w:sz="0" w:space="0" w:color="auto"/>
        <w:right w:val="none" w:sz="0" w:space="0" w:color="auto"/>
      </w:divBdr>
    </w:div>
    <w:div w:id="1687555239">
      <w:bodyDiv w:val="1"/>
      <w:marLeft w:val="0"/>
      <w:marRight w:val="0"/>
      <w:marTop w:val="0"/>
      <w:marBottom w:val="0"/>
      <w:divBdr>
        <w:top w:val="none" w:sz="0" w:space="0" w:color="auto"/>
        <w:left w:val="none" w:sz="0" w:space="0" w:color="auto"/>
        <w:bottom w:val="none" w:sz="0" w:space="0" w:color="auto"/>
        <w:right w:val="none" w:sz="0" w:space="0" w:color="auto"/>
      </w:divBdr>
    </w:div>
    <w:div w:id="1932201973">
      <w:bodyDiv w:val="1"/>
      <w:marLeft w:val="0"/>
      <w:marRight w:val="0"/>
      <w:marTop w:val="0"/>
      <w:marBottom w:val="0"/>
      <w:divBdr>
        <w:top w:val="none" w:sz="0" w:space="0" w:color="auto"/>
        <w:left w:val="none" w:sz="0" w:space="0" w:color="auto"/>
        <w:bottom w:val="none" w:sz="0" w:space="0" w:color="auto"/>
        <w:right w:val="none" w:sz="0" w:space="0" w:color="auto"/>
      </w:divBdr>
    </w:div>
    <w:div w:id="20519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F1824D-C932-41DA-8CEE-D302F676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57677-B471-4A17-9D6C-4B027B77A845}">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sharepoint/v3/fields"/>
    <ds:schemaRef ds:uri="http://purl.org/dc/terms/"/>
    <ds:schemaRef ds:uri="http://purl.org/dc/dcmitype/"/>
    <ds:schemaRef ds:uri="376817A2-2075-482F-86BA-E5736A6CADF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89E140A-3502-49D0-B608-EC798AAA6E0D}">
  <ds:schemaRefs>
    <ds:schemaRef ds:uri="http://schemas.microsoft.com/sharepoint/v3/contenttype/forms"/>
  </ds:schemaRefs>
</ds:datastoreItem>
</file>

<file path=customXml/itemProps4.xml><?xml version="1.0" encoding="utf-8"?>
<ds:datastoreItem xmlns:ds="http://schemas.openxmlformats.org/officeDocument/2006/customXml" ds:itemID="{DF07E17D-2DF6-426F-9CDA-C9F210F1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6915</Words>
  <Characters>46541</Characters>
  <Application>Microsoft Office Word</Application>
  <DocSecurity>0</DocSecurity>
  <Lines>3878</Lines>
  <Paragraphs>2138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BROERTJES Peter (GROW)</dc:creator>
  <cp:lastModifiedBy>DIGIT/A3</cp:lastModifiedBy>
  <cp:revision>8</cp:revision>
  <cp:lastPrinted>2018-05-17T11:51:00Z</cp:lastPrinted>
  <dcterms:created xsi:type="dcterms:W3CDTF">2018-05-17T11:55:00Z</dcterms:created>
  <dcterms:modified xsi:type="dcterms:W3CDTF">2018-05-22T11:19:00Z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0x010100258AA79CEB83498886A3A086811232500074ACCA711B5B384B9A35DA48EBE090A1</vt:lpwstr>
  </property>
  <property fmtid="{D5CDD505-2E9C-101B-9397-08002B2CF9AE}" pid="14" name="DQCStatus">
    <vt:lpwstr>Green (DQC version 03)</vt:lpwstr>
  </property>
</Properties>
</file>