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450C5B-5EA1-457D-82A2-4C0F11A79543" style="width:450.45pt;height:4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Η βελτίωση της σήμανσης των ελαστικών θα δώσει στους καταναλωτές περισσότερες πληροφορίες για την εξοικονόμηση καυσίμου, την ασφάλεια και τον θόρυβο, δίνοντας τους τη δυνατότητα να λαμβάνουν ακριβείς, συναφείς και συγκρίσιμες πληροφορίες για αυτές τις πτυχές όταν αγοράζουν ελαστικά. Έτσι θα βελτιωθεί η αποτελεσματικότητα του συστήματος σήμανσης ελαστικών ώστε να εξασφαλίζονται πιο καθαρά, ασφαλή και αθόρυβα οχήματα και να μεγιστοποιείται η συνεισφορά του συστήματος στην απαλλαγή του τομέα μεταφορών από τις ανθρακούχες εκπομπές.</w:t>
      </w:r>
    </w:p>
    <w:p>
      <w:pPr>
        <w:rPr>
          <w:noProof/>
        </w:rPr>
      </w:pPr>
      <w:r>
        <w:rPr>
          <w:noProof/>
        </w:rPr>
        <w:t>Η παρούσα πρόταση καταργεί και αντικαθιστά τον κανονισμό (ΕΚ) αριθ. 1222/2009</w:t>
      </w:r>
      <w:r>
        <w:rPr>
          <w:rStyle w:val="FootnoteReference"/>
          <w:noProof/>
        </w:rPr>
        <w:footnoteReference w:id="1"/>
      </w:r>
      <w:r>
        <w:rPr>
          <w:noProof/>
        </w:rPr>
        <w:t xml:space="preserve"> σχετικά με τη σήμανση των ελαστικών επισώτρων αναφορικά με την εξοικονόμηση καυσίμου και άλλες ουσιώδεις παραμέτρους (ο κανονισμός για τη σήμανση των ελαστικών, ΚΣΕ).</w:t>
      </w:r>
    </w:p>
    <w:p>
      <w:pPr>
        <w:rPr>
          <w:noProof/>
        </w:rPr>
      </w:pPr>
      <w:r>
        <w:rPr>
          <w:noProof/>
        </w:rPr>
        <w:t>Ο ΚΣΕ τροποποιήθηκε δύο φορές πριν τεθεί σε εφαρμογή, αρχικά για να συμπεριλάβει μια νέα μέθοδο δοκιμής της πρόσφυσης σε υγρό οδόστρωμα για ελαστικά της κατηγορίας C1 (αυτοκίνητα) και έπειτα για να αποτυπώσει το γεγονός ότι είχε αναπτυχθεί κατάλληλη μέθοδος δοκιμής πρόσφυσης σε υγρό οδόστρωμα και για ελαστικά των κατηγοριών C2 (φορτηγά) και C3 (βαρέα επαγγελματικά οχήματα)</w:t>
      </w:r>
      <w:r>
        <w:rPr>
          <w:rStyle w:val="FootnoteReference"/>
          <w:noProof/>
        </w:rPr>
        <w:footnoteReference w:id="2"/>
      </w:r>
      <w:r>
        <w:rPr>
          <w:noProof/>
        </w:rPr>
        <w:t xml:space="preserve">, καθώς και για να συμπεριλάβει μια διαδικασία ευθυγράμμισης των εργαστηρίων για τη μέτρηση της αντίστασης κύλισης. Η παρούσα πρόταση ενσωματώνει τις εν λόγω τροποποιήσεις. </w:t>
      </w:r>
    </w:p>
    <w:p>
      <w:pPr>
        <w:pStyle w:val="ManualHeading2"/>
        <w:rPr>
          <w:noProof/>
        </w:rPr>
      </w:pPr>
      <w:r>
        <w:rPr>
          <w:noProof/>
          <w:color w:val="000000"/>
          <w:u w:color="000000"/>
          <w:bdr w:val="nil"/>
        </w:rPr>
        <w:t>•</w:t>
      </w:r>
      <w:r>
        <w:rPr>
          <w:noProof/>
        </w:rPr>
        <w:tab/>
        <w:t>Συνέπεια με τις ισχύουσες διατάξεις στον τομέα πολιτικής</w:t>
      </w:r>
    </w:p>
    <w:p>
      <w:pPr>
        <w:rPr>
          <w:noProof/>
        </w:rPr>
      </w:pPr>
      <w:r>
        <w:rPr>
          <w:noProof/>
        </w:rPr>
        <w:t xml:space="preserve">Το 2009 η ΕΕ θέσπισε δύο κανονισμούς που αφορούν τα ελαστικά: </w:t>
      </w:r>
    </w:p>
    <w:p>
      <w:pPr>
        <w:pStyle w:val="Tiret0"/>
        <w:numPr>
          <w:ilvl w:val="0"/>
          <w:numId w:val="25"/>
        </w:numPr>
        <w:rPr>
          <w:noProof/>
        </w:rPr>
      </w:pPr>
      <w:r>
        <w:rPr>
          <w:noProof/>
        </w:rPr>
        <w:t>τον ΚΣΕ που ορίζει τις απαιτήσεις της Ένωσης με σκοπό την εναρμόνιση των πληροφοριών σχετικά με τις παραμέτρους των ελαστικών που παρέχονται σε τελικούς χρήστες, ώστε να έχουν τη δυνατότητα να προβαίνουν σε τεκμηριωμένες επιλογές όταν αγοράζουν ελαστικά· και</w:t>
      </w:r>
    </w:p>
    <w:p>
      <w:pPr>
        <w:pStyle w:val="Tiret0"/>
        <w:rPr>
          <w:noProof/>
        </w:rPr>
      </w:pPr>
      <w:r>
        <w:rPr>
          <w:noProof/>
        </w:rPr>
        <w:t>τον κανονισμό για τις απαιτήσεις έγκρισης τύπου</w:t>
      </w:r>
      <w:r>
        <w:rPr>
          <w:rStyle w:val="FootnoteReference"/>
          <w:noProof/>
        </w:rPr>
        <w:footnoteReference w:id="3"/>
      </w:r>
      <w:r>
        <w:rPr>
          <w:noProof/>
        </w:rPr>
        <w:t xml:space="preserve"> για τη γενική ασφάλεια των μηχανοκίνητων οχημάτων (ο κανονισμός για τη γενική ασφάλεια, ΚΓΑ), ο οποίος έθεσε σε εφαρμογή τις εναρμονισμένες τεχνικές απαιτήσεις που πρέπει να πληρούν τα ελαστικά πριν τη διάθεσή τους στην αγορά της Ένωσης.</w:t>
      </w:r>
    </w:p>
    <w:p>
      <w:pPr>
        <w:spacing w:before="0" w:after="0"/>
        <w:rPr>
          <w:noProof/>
        </w:rPr>
      </w:pPr>
      <w:r>
        <w:rPr>
          <w:noProof/>
        </w:rPr>
        <w:t xml:space="preserve">Ο ΚΓΑ θέτει σε εφαρμογή ελάχιστες απαιτήσεις, μεταξύ άλλων, για τα ελαστικά όσον αφορά: </w:t>
      </w:r>
    </w:p>
    <w:p>
      <w:pPr>
        <w:pStyle w:val="Text1"/>
        <w:rPr>
          <w:noProof/>
        </w:rPr>
      </w:pPr>
      <w:r>
        <w:rPr>
          <w:noProof/>
        </w:rPr>
        <w:lastRenderedPageBreak/>
        <w:t>i) την αντίσταση κύλισης·</w:t>
      </w:r>
    </w:p>
    <w:p>
      <w:pPr>
        <w:pStyle w:val="Text1"/>
        <w:rPr>
          <w:noProof/>
        </w:rPr>
      </w:pPr>
      <w:r>
        <w:rPr>
          <w:noProof/>
        </w:rPr>
        <w:t>ii) τις επιδόσεις όσον αφορά την πρόσφυση σε υγρό οδόστρωμα· και</w:t>
      </w:r>
    </w:p>
    <w:p>
      <w:pPr>
        <w:pStyle w:val="Text1"/>
        <w:rPr>
          <w:noProof/>
        </w:rPr>
      </w:pPr>
      <w:r>
        <w:rPr>
          <w:noProof/>
        </w:rPr>
        <w:t xml:space="preserve">iii) τον εξωτερικό θόρυβο κύλισης των ελαστικών. </w:t>
      </w:r>
    </w:p>
    <w:p>
      <w:pPr>
        <w:rPr>
          <w:noProof/>
        </w:rPr>
      </w:pPr>
      <w:r>
        <w:rPr>
          <w:noProof/>
        </w:rPr>
        <w:t>Οι εν λόγω απαιτήσεις άρχισαν να εφαρμόζονται από την 1η Νοεμβρίου 2012, ενώ μια δεύτερη δέσμη πιο αυστηρών απαιτήσεων για την αντίσταση κύλισης άρχισε να εφαρμόζεται την 1η Νοεμβρίου 2016 (επιπλέον προσαρμογές πρόκειται να εφαρμοστούν το 2018 και το 2020).</w:t>
      </w:r>
    </w:p>
    <w:p>
      <w:pPr>
        <w:rPr>
          <w:noProof/>
        </w:rPr>
      </w:pPr>
      <w:r>
        <w:rPr>
          <w:noProof/>
        </w:rPr>
        <w:t>Όπως ισχύει για όλα τα υπόλοιπα προϊόντα που διατίθενται στην αγορά της Ένωσης, οι εθνικές αρχές εποπτείας της αγοράς πρέπει να ελέγχουν τη συμμόρφωση των ελαστικών με τις ισχύουσες απαιτήσεις. Ο κανονισμός (ΕΚ) αριθ. 765/2008</w:t>
      </w:r>
      <w:r>
        <w:rPr>
          <w:rStyle w:val="FootnoteReference"/>
          <w:noProof/>
        </w:rPr>
        <w:footnoteReference w:id="4"/>
      </w:r>
      <w:r>
        <w:rPr>
          <w:noProof/>
        </w:rPr>
        <w:t xml:space="preserve"> θεσπίζει το πλαίσιο εποπτείας της αγοράς από τα κράτη μέλη και διασφαλίζει την αποτελεσματικότητα της διασυνοριακής εποπτείας της αγοράς.</w:t>
      </w:r>
    </w:p>
    <w:p>
      <w:pPr>
        <w:rPr>
          <w:noProof/>
        </w:rPr>
      </w:pPr>
      <w:r>
        <w:rPr>
          <w:noProof/>
        </w:rPr>
        <w:t>Το γενικό πλαίσιο για την ενεργειακή σήμανση επικαιροποιήθηκε το 2017 με την έκδοση του κανονισμού (ΕΕ) 2017/1369</w:t>
      </w:r>
      <w:r>
        <w:rPr>
          <w:rStyle w:val="FootnoteReference"/>
          <w:noProof/>
        </w:rPr>
        <w:footnoteReference w:id="5"/>
      </w:r>
      <w:r>
        <w:rPr>
          <w:noProof/>
        </w:rPr>
        <w:t>. Ο εν λόγω κανονισμός κατάργησε και αντικατέστησε την οδηγία 2010/30/ΕΕ και εισήγαγε μια σειρά από νέα στοιχεία, όπως βάση δεδομένων καταχώρισης προϊόντων και νέους κανόνες για οπτικές διαφημίσεις και πωλήσεις εξ αποστάσεως και μέσω διαδικτύου.</w:t>
      </w:r>
    </w:p>
    <w:p>
      <w:pPr>
        <w:rPr>
          <w:noProof/>
        </w:rPr>
      </w:pPr>
      <w:r>
        <w:rPr>
          <w:noProof/>
        </w:rPr>
        <w:t>Η σήμανση των ελαστικών αποτελεί μέρος της ενωσιακής νομοθεσίας για την ενεργειακή απόδοση των προϊόντων. Αυτή περιλαμβάνει κανονισμούς για τον οικολογικό σχεδιασμό, οι οποίοι θέτουν ελάχιστες απαιτήσεις τις οποίες πρέπει να πληρούν τα συνδεόμενα με την ενέργεια προϊόντα πριν τη διάθεσή τους στην αγορά της Ένωσης, και κανονισμούς για την ενεργειακή σήμανση, οι οποίοι παρέχουν στους καταναλωτές πληροφορίες για την κατανάλωση ενέργειας και άλλες ουσιώδεις πτυχές των προϊόντων, βοηθώντας τους να λάβουν τεκμηριωμένες, οικονομικά αποδοτικές και φιλικές προς το περιβάλλον αποφάσεις αγοράς που είναι ωφέλιμες για το περιβάλλον και ταυτόχρονα συμβάλλουν στην εξοικονόμηση χρημάτων.</w:t>
      </w:r>
    </w:p>
    <w:p>
      <w:pPr>
        <w:rPr>
          <w:noProof/>
        </w:rPr>
      </w:pPr>
      <w:r>
        <w:rPr>
          <w:noProof/>
        </w:rPr>
        <w:t>Η πρωτοβουλία αυτή εναρμονίζεται με την ενεργειακή πολιτική της Ένωσης καθώς επικαιροποιεί το υφιστάμενο κεκτημένο για τη σήμανση των ελαστικών και βελτιώνει την αποτελεσματικότητά του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rPr>
          <w:noProof/>
        </w:rPr>
      </w:pPr>
      <w:r>
        <w:rPr>
          <w:noProof/>
        </w:rPr>
        <w:t>Η επανεξέταση του συστήματος σήμανσης των ελαστικών συμβάλλει στις προσπάθειες της ΕΕ για μείωση των εκπομπών αερίων του θερμοκηπίου και της ατμοσφαιρικής ρύπανσης που προκαλούνται από τον τομέα των μεταφορών.</w:t>
      </w:r>
    </w:p>
    <w:p>
      <w:pPr>
        <w:rPr>
          <w:noProof/>
        </w:rPr>
      </w:pPr>
      <w:r>
        <w:rPr>
          <w:noProof/>
        </w:rPr>
        <w:t xml:space="preserve">Η πρωτοβουλία αυτή αποτελεί μέρος της τρίτης δέσμης μέτρων «Η Ευρώπη σε κίνηση», η οποία εντάσσεται στη νέα στρατηγική βιομηχανικής πολιτικής του Σεπτεμβρίου του 2017 και έχει εκπονηθεί με σκοπό την ολοκλήρωση της διαδικασίας που αποσκοπεί να καταστήσει την Ευρώπη σε θέση να καρπωθεί όλα τα οφέλη από τον εκσυγχρονισμό και την απαλλαγή της κινητικότητας από τις ανθρακούχες εκπομπές. Είναι σημαντικό το μελλοντικό σύστημα κινητικότητας να είναι ασφαλές, καθαρό και αποδοτικό για όλους τους πολίτες της ΕΕ. Ο στόχος είναι να καταστεί η ευρωπαϊκή κινητικότητα πιο ασφαλής και προσβάσιμη, η ευρωπαϊκή βιομηχανία πιο ανταγωνιστική, οι ευρωπαϊκές θέσεις εργασίας πιο ασφαλείς, και να καταστεί η Ένωση πιο καθαρή και καλύτερα προσαρμοσμένη στην επιτακτική ανάγκη </w:t>
      </w:r>
      <w:r>
        <w:rPr>
          <w:noProof/>
        </w:rPr>
        <w:lastRenderedPageBreak/>
        <w:t>αντιμετώπισης της κλιματικής αλλαγής. Αυτό απαιτεί την πλήρη δέσμευση της ΕΕ, των κρατών μελών και των ενδιαφερομένων μερών, ιδίως όσον αφορά την ενίσχυση των προσπαθειών για μείωση των εκπομπών αερίων του θερμοκηπίου και της ατμοσφαιρικής ρύπανσης.</w:t>
      </w:r>
    </w:p>
    <w:p>
      <w:pPr>
        <w:rPr>
          <w:noProof/>
        </w:rPr>
      </w:pPr>
      <w:r>
        <w:rPr>
          <w:noProof/>
        </w:rPr>
        <w:t>Η ανακοίνωση της Επιτροπής με τίτλο «Ευρωπαϊκή στρατηγική για τις πλαστικές ύλες σε μια κυκλική οικονομία» αναφέρεται στην ανάγκη να εξεταστούν τρόποι μείωσης της ακούσιας ελευθέρωσης μικροπλαστικών από τα ελαστικά.</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spacing w:after="240"/>
        <w:rPr>
          <w:rFonts w:eastAsia="Arial Unicode MS"/>
          <w:noProof/>
        </w:rPr>
      </w:pPr>
      <w:r>
        <w:rPr>
          <w:noProof/>
        </w:rPr>
        <w:t>Ο κανονισμός (ΕΚ) αριθ. 1222/2009 βασίζεται στο άρθρο 95 της Συνθήκης για την ίδρυση της Ευρωπαϊκής Κοινότητας, το νυν άρθρο 114 της Συνθήκης για τη λειτουργία της Ευρωπαϊκής Ένωσης (ΣΛΕΕ). Είναι σκόπιμο να υπάρχει μια νομική βάση για την εσωτερική αγορά, καθώς ο κανονισμός συνδέεται με τις απαιτήσεις έγκρισης τύπου για ελαστικά που πρόκειται να διατεθούν στην αγορά της Ένωσης, αλλά δεδομένου ότι καλύπτει και την εξοικονόμηση καυσίμου, είναι σκόπιμο να προστεθεί επίσης μια νομική βάση για την ενέργεια, ήτοι το άρθρο 194 της ΣΛΕΕ.</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spacing w:after="240"/>
        <w:rPr>
          <w:rFonts w:eastAsia="Arial Unicode MS"/>
          <w:noProof/>
        </w:rPr>
      </w:pPr>
      <w:r>
        <w:rPr>
          <w:noProof/>
        </w:rPr>
        <w:t>Τα νομοθετήματα για την ενεργειακή απόδοση και την εξοικονόμηση καυσίμου που θεσπίστηκαν σε επίπεδο ΕΕ αντικατοπτρίζουν την αυξανόµενη σημασία της ενέργειας ως πολιτικής και οικονοµικής πρόκλησης και τη στενή σύνδεσή της με τους τοµείς της ασφάλειας του ενεργειακού εφοδιασµού, της κλιµατικής αλλαγής, της βιωσιμότητας, του περιβάλλοντος, της εσωτερικής αγοράς και της οικονοµικής ανάπτυξης. Μέχρι σήμερα τα κράτη μέλη που ενεργούσαν μεμονωμένα δεν ήταν σε θέση να επιτύχουν επαρκώς τους στόχους της ενεργειακής απόδοσης και σε επίπεδο Ένωσης απαιτείται δράση για να διευκολυνθεί και να ενισχυθεί η ανάληψη δραστηριοτήτων σε εθνικό επίπεδο.</w:t>
      </w:r>
    </w:p>
    <w:p>
      <w:pPr>
        <w:spacing w:after="240"/>
        <w:rPr>
          <w:rFonts w:eastAsia="Arial Unicode MS"/>
          <w:noProof/>
        </w:rPr>
      </w:pPr>
      <w:r>
        <w:rPr>
          <w:noProof/>
        </w:rPr>
        <w:t>Είναι σημαντικό να διασφαλίζονται ισότιμοι όροι ανταγωνισμού για κατασκευαστές και εμπόρους όσον αφορά τις πληροφορίες που παρέχονται στους πελάτες αναφορικά με τα προς πώληση ελαστικά στην εσωτερική αγορά της ΕΕ. Για τον λόγο αυτό, είναι απαραίτητη η θέσπιση νομικά δεσμευτικών κανόνων σε όλη την ΕΕ.</w:t>
      </w:r>
    </w:p>
    <w:p>
      <w:pPr>
        <w:spacing w:after="240"/>
        <w:rPr>
          <w:rFonts w:eastAsia="Arial Unicode MS"/>
          <w:noProof/>
        </w:rPr>
      </w:pPr>
      <w:r>
        <w:rPr>
          <w:noProof/>
        </w:rPr>
        <w:t>Η εποπτεία της αγοράς διεξάγεται από τις αρχές των κρατών μελών. Για να είναι αποτελεσματική, η εποπτεία της αγοράς πρέπει να είναι ομοιόμορφη σε όλη την Ένωση, διαφορετικά υπονομεύεται η εσωτερική αγορά και δημιουργείται αντικίνητρο για τις επιχειρήσεις που επενδύουν πόρους στον σχεδιασμό, την κατασκευή και την πώληση ενεργειακά αποδοτικών προϊόντων. Η ενσωμάτωση των ελαστικών σε μια βάση δεδομένων προϊόντων θα συμβάλει στην αύξηση της αποτελεσματικότητας της εποπτείας της αγοράς.</w:t>
      </w:r>
    </w:p>
    <w:p>
      <w:pPr>
        <w:pStyle w:val="ManualHeading2"/>
        <w:rPr>
          <w:rFonts w:eastAsia="Arial Unicode MS"/>
          <w:noProof/>
          <w:u w:color="000000"/>
          <w:bdr w:val="nil"/>
        </w:rPr>
      </w:pPr>
      <w:r>
        <w:rPr>
          <w:noProof/>
        </w:rPr>
        <w:t>•</w:t>
      </w:r>
      <w:r>
        <w:rPr>
          <w:noProof/>
        </w:rPr>
        <w:tab/>
        <w:t>Αναλογικότητα</w:t>
      </w:r>
    </w:p>
    <w:p>
      <w:pPr>
        <w:spacing w:after="240"/>
        <w:rPr>
          <w:rFonts w:eastAsia="Arial Unicode MS"/>
          <w:noProof/>
        </w:rPr>
      </w:pPr>
      <w:r>
        <w:rPr>
          <w:noProof/>
        </w:rPr>
        <w:t>Σύμφωνα με την αρχή της αναλογικότητας, οι προτεινόμενες τροποποιήσεις του υφιστάμενου νομοθετικού πλαισίου δεν υπερβαίνουν τα αναγκαία όρια για την επίτευξη των επιδιωκόμενων στόχων. Οι προτεινόμενες τροποποιήσεις βελτιώνουν τη σαφήνεια και την εφαρμοσιμότητά του.</w:t>
      </w:r>
    </w:p>
    <w:p>
      <w:pPr>
        <w:spacing w:after="240"/>
        <w:rPr>
          <w:rFonts w:eastAsia="Arial Unicode MS"/>
          <w:noProof/>
        </w:rPr>
      </w:pPr>
      <w:r>
        <w:rPr>
          <w:noProof/>
        </w:rPr>
        <w:t xml:space="preserve">Οι προτεινόμενες τροποποιήσεις θα καταστήσουν δυνατή την αναγραφή πληροφοριών για τα ελαστικά χιονιού/πάγου στη σήμανση, θα ενισχύσουν την απαίτηση να είναι εμφανής η σήμανση σε περιπτώσεις που ο καταναλωτής δεν βλέπει τα ελαστικά που σκέφτεται να </w:t>
      </w:r>
      <w:r>
        <w:rPr>
          <w:noProof/>
        </w:rPr>
        <w:lastRenderedPageBreak/>
        <w:t>αγοράσει (επειδή τα ελαστικά βρίσκονται αποθηκευμένα σε άλλο μέρος ή η πώληση γίνεται εξ αποστάσεως ή μέσω διαδικτύου) και προβλέπουν να συμπεριληφθούν τα ελαστικά στη βάση δεδομένων καταχώρισης προϊόντων η οποία δημιουργήθηκε δυνάμει του κανονισμού (ΕΕ) 2017/1369 με σκοπό τη βελτίωση της εποπτείας της αγοράς και των πληροφοριών για καταναλωτές.</w:t>
      </w:r>
    </w:p>
    <w:p>
      <w:pPr>
        <w:spacing w:after="240"/>
        <w:rPr>
          <w:rFonts w:eastAsia="Arial Unicode MS"/>
          <w:noProof/>
        </w:rPr>
      </w:pPr>
      <w:r>
        <w:rPr>
          <w:noProof/>
        </w:rPr>
        <w:t xml:space="preserve">Οι προμηθευτές θα είναι υποχρεωμένοι να εισαγάγουν πληροφορίες στη νέα βάση δεδομένων προϊόντων. Πρόκειται για πληροφορίες που οφείλουν επί του παρόντος να παρέχουν στις εθνικές αρχές εποπτείας της αγοράς κατ’ αίτησή τους, επομένως οποιαδήποτε πρόσθετη επιβάρυνση θεωρείται ελάχιστη και αναλογική προς τα οφέλη που απορρέουν από την εφαρμογή και τη διαφάνεια που αναμένεται να επιφέρει η βάση δεδομένων προϊόντων. </w:t>
      </w:r>
    </w:p>
    <w:p>
      <w:pPr>
        <w:spacing w:after="240"/>
        <w:rPr>
          <w:rFonts w:eastAsia="Arial Unicode MS"/>
          <w:noProof/>
        </w:rPr>
      </w:pPr>
      <w:r>
        <w:rPr>
          <w:noProof/>
        </w:rPr>
        <w:t>Μια εκτίμηση επιπτώσεων, το έγγραφο εργασίας των υπηρεσιών της Επιτροπής SWD(2018), συνοδεύει την πρόταση και θα πρέπει να γίνεται παραπομπή στα μέρη που εξετάζουν την αναλογικότητα.</w:t>
      </w:r>
    </w:p>
    <w:p>
      <w:pPr>
        <w:pStyle w:val="ManualHeading2"/>
        <w:rPr>
          <w:rFonts w:eastAsia="Arial Unicode MS"/>
          <w:noProof/>
          <w:u w:color="000000"/>
          <w:bdr w:val="nil"/>
        </w:rPr>
      </w:pPr>
      <w:r>
        <w:rPr>
          <w:noProof/>
        </w:rPr>
        <w:t>•</w:t>
      </w:r>
      <w:r>
        <w:rPr>
          <w:noProof/>
        </w:rPr>
        <w:tab/>
        <w:t>Επιλογή της νομικής πράξης</w:t>
      </w:r>
    </w:p>
    <w:p>
      <w:pPr>
        <w:spacing w:after="240"/>
        <w:rPr>
          <w:noProof/>
        </w:rPr>
      </w:pPr>
      <w:r>
        <w:rPr>
          <w:noProof/>
        </w:rPr>
        <w:t xml:space="preserve">Ο ισχύων ΚΣΕ είναι κανονισμός του Ευρωπαϊκού Κοινοβουλίου και του Συμβουλίου και κρίνεται σκόπιμη η αντικατάστασή του με νομοθέτημα του ίδιου τύπου, δεδομένου ότι περιέχει υποχρεώσεις που ισχύουν άμεσα για οικονομικούς φορείς.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spacing w:after="240"/>
        <w:rPr>
          <w:rFonts w:eastAsia="Arial Unicode MS"/>
          <w:noProof/>
        </w:rPr>
      </w:pPr>
      <w:r>
        <w:rPr>
          <w:noProof/>
        </w:rPr>
        <w:t>Η Επιτροπή διεξήγαγε εκ των υστέρων αξιολόγηση του ΚΣΕ, η οποία περιλαμβάνεται στο παράρτημα 5 της έκθεσης εκτίμησης επιπτώσεων.</w:t>
      </w:r>
    </w:p>
    <w:p>
      <w:pPr>
        <w:spacing w:after="240"/>
        <w:rPr>
          <w:rFonts w:eastAsia="Arial Unicode MS"/>
          <w:noProof/>
        </w:rPr>
      </w:pPr>
      <w:r>
        <w:rPr>
          <w:noProof/>
        </w:rPr>
        <w:t>Από την αξιολόγηση συνάγεται ότι η αποτελεσματικότητα και η αποδοτικότητα του ΚΣΕ μπορεί να βελτιωθεί περαιτέρω, ιδίως:</w:t>
      </w:r>
    </w:p>
    <w:p>
      <w:pPr>
        <w:pStyle w:val="Text1"/>
        <w:rPr>
          <w:noProof/>
        </w:rPr>
      </w:pPr>
      <w:r>
        <w:rPr>
          <w:noProof/>
        </w:rPr>
        <w:t>i)</w:t>
      </w:r>
      <w:r>
        <w:rPr>
          <w:noProof/>
        </w:rPr>
        <w:tab/>
        <w:t xml:space="preserve">αυξάνοντας την ενημέρωση των καταναλωτών και την εμπιστοσύνη τους στη σήμανση (με αποτέλεσμα να αυξηθούν οι πιθανότητες να χρησιμοποιήσουν τις πληροφορίες της σήμανσης όταν αγοράζουν ελαστικά), και </w:t>
      </w:r>
    </w:p>
    <w:p>
      <w:pPr>
        <w:pStyle w:val="Text1"/>
        <w:rPr>
          <w:noProof/>
        </w:rPr>
      </w:pPr>
      <w:r>
        <w:rPr>
          <w:noProof/>
        </w:rPr>
        <w:t>ii)</w:t>
      </w:r>
      <w:r>
        <w:rPr>
          <w:noProof/>
        </w:rPr>
        <w:tab/>
        <w:t>βελτιώνοντας την εποπτεία της αγοράς με απώτερο σκοπό την πλήρη επίτευξη των τριών στόχων του ΚΣΕ.</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spacing w:after="240"/>
        <w:rPr>
          <w:rFonts w:eastAsia="Arial Unicode MS"/>
          <w:noProof/>
          <w:szCs w:val="24"/>
        </w:rPr>
      </w:pPr>
      <w:r>
        <w:rPr>
          <w:noProof/>
        </w:rPr>
        <w:t>Τον Νοέμβριο του 2015 πραγματοποιήθηκε συνάντηση με περισσότερα από 40 ενδιαφερόμενα μέρη.</w:t>
      </w:r>
    </w:p>
    <w:p>
      <w:pPr>
        <w:spacing w:after="240"/>
        <w:rPr>
          <w:rFonts w:eastAsia="Arial Unicode MS"/>
          <w:noProof/>
          <w:szCs w:val="24"/>
        </w:rPr>
      </w:pPr>
      <w:r>
        <w:rPr>
          <w:noProof/>
        </w:rPr>
        <w:t>Από τις 10 Οκτωβρίου 2017 έως τις 8 Ιανουαρίου 2018 πραγματοποιήθηκε δημόσια διαβούλευση στην ιστοσελίδα διαβούλευσης της Επιτροπής</w:t>
      </w:r>
      <w:r>
        <w:rPr>
          <w:rStyle w:val="FootnoteReference"/>
          <w:noProof/>
        </w:rPr>
        <w:footnoteReference w:id="6"/>
      </w:r>
      <w:r>
        <w:rPr>
          <w:noProof/>
        </w:rPr>
        <w:t>. Ελήφθησαν 70 απαντήσεις και μια αναλυτική συνοπτική έκθεση των συμμετεχόντων· οι απαντήσεις παρουσιάζονται στο παράρτημα 2 της έκθεσης εκτίμησης επιπτώσεων.</w:t>
      </w:r>
    </w:p>
    <w:p>
      <w:pPr>
        <w:pStyle w:val="ManualHeading2"/>
        <w:rPr>
          <w:rFonts w:eastAsia="Arial Unicode MS"/>
          <w:noProof/>
          <w:u w:color="000000"/>
          <w:bdr w:val="nil"/>
        </w:rPr>
      </w:pPr>
      <w:r>
        <w:rPr>
          <w:noProof/>
        </w:rPr>
        <w:lastRenderedPageBreak/>
        <w:t>•</w:t>
      </w:r>
      <w:r>
        <w:rPr>
          <w:noProof/>
        </w:rPr>
        <w:tab/>
        <w:t>Συλλογή και χρήση εμπειρογνωσίας</w:t>
      </w:r>
    </w:p>
    <w:p>
      <w:pPr>
        <w:spacing w:after="240"/>
        <w:rPr>
          <w:rFonts w:eastAsia="Arial Unicode MS"/>
          <w:noProof/>
          <w:szCs w:val="24"/>
        </w:rPr>
      </w:pPr>
      <w:r>
        <w:rPr>
          <w:noProof/>
        </w:rPr>
        <w:t>Στο πλαίσιο μιας ειδικής και εκτενούς μελέτης που ανατέθηκε με σκοπό την προετοιμασία της επανεξέτασης</w:t>
      </w:r>
      <w:r>
        <w:rPr>
          <w:rStyle w:val="FootnoteReference"/>
          <w:noProof/>
        </w:rPr>
        <w:footnoteReference w:id="7"/>
      </w:r>
      <w:r>
        <w:rPr>
          <w:noProof/>
        </w:rPr>
        <w:t>, ερωτήθηκαν 6 000 καταναλωτές σε έξι κράτη μέλη.</w:t>
      </w:r>
    </w:p>
    <w:p>
      <w:pPr>
        <w:pStyle w:val="ManualHeading2"/>
        <w:rPr>
          <w:rFonts w:eastAsia="Arial Unicode MS"/>
          <w:noProof/>
          <w:u w:color="000000"/>
          <w:bdr w:val="nil"/>
        </w:rPr>
      </w:pPr>
      <w:r>
        <w:rPr>
          <w:noProof/>
        </w:rPr>
        <w:t>•</w:t>
      </w:r>
      <w:r>
        <w:rPr>
          <w:noProof/>
        </w:rPr>
        <w:tab/>
        <w:t>Εκτίμηση επιπτώσεων</w:t>
      </w:r>
    </w:p>
    <w:p>
      <w:pPr>
        <w:spacing w:after="240"/>
        <w:rPr>
          <w:rFonts w:eastAsia="Arial Unicode MS"/>
          <w:noProof/>
          <w:szCs w:val="24"/>
        </w:rPr>
      </w:pPr>
      <w:r>
        <w:rPr>
          <w:noProof/>
        </w:rPr>
        <w:t>Την παρούσα πρόταση συνοδεύει εκτίμηση επιπτώσεων, η οποία δημοσιεύεται στον ιστότοπο Europa της Επιτροπής μαζί με τη θετική γνώμη της επιτροπής ρυθμιστικού ελέγχου (Ares(2018) 1626237) που εκδόθηκε στις 23 Μαρτίου 2018.</w:t>
      </w:r>
    </w:p>
    <w:p>
      <w:pPr>
        <w:spacing w:after="240"/>
        <w:rPr>
          <w:rFonts w:eastAsia="Arial Unicode MS"/>
          <w:noProof/>
          <w:szCs w:val="24"/>
        </w:rPr>
      </w:pPr>
      <w:r>
        <w:rPr>
          <w:noProof/>
        </w:rPr>
        <w:t>Στην εκτίμηση επιπτώσεων διαπιστώθηκε μια σειρά προβλημάτων του ισχύοντος κανονισμού, τα σημαντικότερα από τα οποία ήταν τα εξής:</w:t>
      </w:r>
    </w:p>
    <w:p>
      <w:pPr>
        <w:pStyle w:val="Tiret0"/>
        <w:rPr>
          <w:noProof/>
        </w:rPr>
      </w:pPr>
      <w:r>
        <w:rPr>
          <w:noProof/>
        </w:rPr>
        <w:t>η μειωμένη αποτελεσματικότητα της σήμανσης των ελαστικών λόγω μειωμένης ορατότητάς της·</w:t>
      </w:r>
    </w:p>
    <w:p>
      <w:pPr>
        <w:pStyle w:val="Tiret0"/>
        <w:rPr>
          <w:noProof/>
        </w:rPr>
      </w:pPr>
      <w:r>
        <w:rPr>
          <w:noProof/>
        </w:rPr>
        <w:t>η μη συμμόρφωση λόγω αδυναμίας επιβολής.</w:t>
      </w:r>
    </w:p>
    <w:p>
      <w:pPr>
        <w:spacing w:after="240"/>
        <w:rPr>
          <w:rFonts w:eastAsia="Arial Unicode MS"/>
          <w:noProof/>
          <w:szCs w:val="24"/>
        </w:rPr>
      </w:pPr>
      <w:r>
        <w:rPr>
          <w:noProof/>
        </w:rPr>
        <w:t>Οι επιλογές πολιτικής που εξετάζονται είναι οι εξής:</w:t>
      </w:r>
    </w:p>
    <w:p>
      <w:pPr>
        <w:pStyle w:val="ManualNumPar1"/>
        <w:rPr>
          <w:noProof/>
        </w:rPr>
      </w:pPr>
      <w:r>
        <w:t>1.</w:t>
      </w:r>
      <w:r>
        <w:tab/>
      </w:r>
      <w:r>
        <w:rPr>
          <w:noProof/>
        </w:rPr>
        <w:t xml:space="preserve">μη ρυθμιστικά μέτρα, μεταξύ άλλων ενημερωτικές εκστρατείες, κοινές δράσεις επιβολής και αναθεώρηση των μεθόδων δοκιμής. </w:t>
      </w:r>
    </w:p>
    <w:p>
      <w:pPr>
        <w:pStyle w:val="ManualNumPar1"/>
        <w:rPr>
          <w:noProof/>
        </w:rPr>
      </w:pPr>
      <w:r>
        <w:t>2.</w:t>
      </w:r>
      <w:r>
        <w:tab/>
      </w:r>
      <w:r>
        <w:rPr>
          <w:noProof/>
        </w:rPr>
        <w:t>στοχευμένες νομοθετικές τροποποιήσεις, ώστε να επιτρέπονται τα εξής:</w:t>
      </w:r>
    </w:p>
    <w:p>
      <w:pPr>
        <w:pStyle w:val="Bullet1"/>
        <w:numPr>
          <w:ilvl w:val="0"/>
          <w:numId w:val="16"/>
        </w:numPr>
        <w:rPr>
          <w:noProof/>
        </w:rPr>
      </w:pPr>
      <w:r>
        <w:rPr>
          <w:noProof/>
        </w:rPr>
        <w:t xml:space="preserve">η σήμανση, πάντοτε, των ελαστικών που παραδίδονται με τα οχήματα· </w:t>
      </w:r>
    </w:p>
    <w:p>
      <w:pPr>
        <w:pStyle w:val="Bullet1"/>
        <w:rPr>
          <w:noProof/>
        </w:rPr>
      </w:pPr>
      <w:r>
        <w:rPr>
          <w:noProof/>
        </w:rPr>
        <w:t>η ηλεκτρονική σήμανση·</w:t>
      </w:r>
    </w:p>
    <w:p>
      <w:pPr>
        <w:pStyle w:val="Bullet1"/>
        <w:rPr>
          <w:noProof/>
        </w:rPr>
      </w:pPr>
      <w:r>
        <w:rPr>
          <w:noProof/>
        </w:rPr>
        <w:t>η ενσωμάτωση στη σήμανση πληροφοριών για τις επιδόσεις στο χιόνι και τον πάγο·</w:t>
      </w:r>
    </w:p>
    <w:p>
      <w:pPr>
        <w:pStyle w:val="Bullet1"/>
        <w:rPr>
          <w:noProof/>
        </w:rPr>
      </w:pPr>
      <w:r>
        <w:rPr>
          <w:noProof/>
        </w:rPr>
        <w:t>η επέκταση του εύρους της απαίτησης σήμανσης σε ελαστικά της κατηγορίας C3·</w:t>
      </w:r>
    </w:p>
    <w:p>
      <w:pPr>
        <w:pStyle w:val="Bullet1"/>
        <w:rPr>
          <w:noProof/>
        </w:rPr>
      </w:pPr>
      <w:r>
        <w:rPr>
          <w:noProof/>
        </w:rPr>
        <w:t>η ενίσχυση των απαιτήσεων που αφορούν την τεχνική τεκμηρίωση·</w:t>
      </w:r>
    </w:p>
    <w:p>
      <w:pPr>
        <w:pStyle w:val="Bullet1"/>
        <w:rPr>
          <w:noProof/>
        </w:rPr>
      </w:pPr>
      <w:r>
        <w:rPr>
          <w:noProof/>
        </w:rPr>
        <w:t>οι τροποποιήσεις των παραρτημάτων για τις μεθόδους δοκιμής και την επέκταση της διαδικασίας έγκρισης τύπου, ώστε να περιλαμβάνονται τα δηλωθέντα στη σήμανση χαρακτηριστικά·</w:t>
      </w:r>
    </w:p>
    <w:p>
      <w:pPr>
        <w:pStyle w:val="Bullet1"/>
        <w:rPr>
          <w:noProof/>
        </w:rPr>
      </w:pPr>
      <w:r>
        <w:rPr>
          <w:noProof/>
        </w:rPr>
        <w:t>η μελλοντική ενσωμάτωση του χιλιομετρικού προσδόκιμου και της αντοχής στη φθορά ως παραμέτρων επιδόσεων·</w:t>
      </w:r>
    </w:p>
    <w:p>
      <w:pPr>
        <w:pStyle w:val="Bullet1"/>
        <w:rPr>
          <w:noProof/>
        </w:rPr>
      </w:pPr>
      <w:r>
        <w:rPr>
          <w:noProof/>
        </w:rPr>
        <w:t>η αναπροσαρμογή των κατηγοριών σήμανσης· και</w:t>
      </w:r>
    </w:p>
    <w:p>
      <w:pPr>
        <w:pStyle w:val="Bullet1"/>
        <w:rPr>
          <w:noProof/>
        </w:rPr>
      </w:pPr>
      <w:r>
        <w:rPr>
          <w:noProof/>
        </w:rPr>
        <w:t>η ενσωμάτωση των ελαστικών στη βάση δεδομένων καταχώρισης προϊόντων που δημιουργήθηκε δυνάμει του κανονισμού (ΕΕ) 2017/1369.</w:t>
      </w:r>
    </w:p>
    <w:p>
      <w:pPr>
        <w:rPr>
          <w:noProof/>
        </w:rPr>
      </w:pPr>
      <w:r>
        <w:rPr>
          <w:noProof/>
        </w:rPr>
        <w:t xml:space="preserve">Εξετάστηκαν επίσης επιμέρους επιλογές, στο πλαίσιο των οποίων αποκλείστηκαν ορισμένες στοχευμένες νομοθετικές τροποποιήσεις που αναφέρονται παραπάνω. </w:t>
      </w:r>
    </w:p>
    <w:p>
      <w:pPr>
        <w:pStyle w:val="ManualNumPar1"/>
        <w:rPr>
          <w:noProof/>
        </w:rPr>
      </w:pPr>
      <w:r>
        <w:t>3.</w:t>
      </w:r>
      <w:r>
        <w:tab/>
      </w:r>
      <w:r>
        <w:rPr>
          <w:noProof/>
        </w:rPr>
        <w:t>συνδυασμός των επιλογών πολιτικής 1 και 2.</w:t>
      </w:r>
    </w:p>
    <w:p>
      <w:pPr>
        <w:spacing w:after="240"/>
        <w:rPr>
          <w:rFonts w:eastAsia="Arial Unicode MS"/>
          <w:noProof/>
          <w:szCs w:val="24"/>
        </w:rPr>
      </w:pPr>
      <w:r>
        <w:rPr>
          <w:noProof/>
        </w:rPr>
        <w:t>Προτιμήθηκε η επιλογή 3. Από τη μελέτη της επιλογής αυτής διαπιστώθηκαν οι εξής εκτιμώμενες επιπτώσεις (τμήμα 6 της έκθεσης εκτίμησης επιπτώσεων):</w:t>
      </w:r>
    </w:p>
    <w:p>
      <w:pPr>
        <w:pStyle w:val="Bullet1"/>
        <w:rPr>
          <w:noProof/>
        </w:rPr>
      </w:pPr>
      <w:r>
        <w:rPr>
          <w:noProof/>
        </w:rPr>
        <w:lastRenderedPageBreak/>
        <w:t>αυξημένος κύκλος εργασιών για επιχειρήσεις ύψους 9 δισ. EUR ετησίως έως το 2030·</w:t>
      </w:r>
    </w:p>
    <w:p>
      <w:pPr>
        <w:pStyle w:val="Bullet1"/>
        <w:rPr>
          <w:noProof/>
        </w:rPr>
      </w:pPr>
      <w:r>
        <w:rPr>
          <w:noProof/>
        </w:rPr>
        <w:t>ετήσια εξοικονόμηση καυσίμων 129 PJ έως το 2030·</w:t>
      </w:r>
    </w:p>
    <w:p>
      <w:pPr>
        <w:pStyle w:val="Bullet1"/>
        <w:rPr>
          <w:noProof/>
        </w:rPr>
      </w:pPr>
      <w:r>
        <w:rPr>
          <w:noProof/>
        </w:rPr>
        <w:t>ετήσια εξοικονόμηση 10 Mt ισοδύναμου CO</w:t>
      </w:r>
      <w:r>
        <w:rPr>
          <w:noProof/>
          <w:vertAlign w:val="subscript"/>
        </w:rPr>
        <w:t>2</w:t>
      </w:r>
      <w:r>
        <w:rPr>
          <w:noProof/>
        </w:rPr>
        <w:t xml:space="preserve"> έως το 2030·</w:t>
      </w:r>
    </w:p>
    <w:p>
      <w:pPr>
        <w:pStyle w:val="Bullet1"/>
        <w:rPr>
          <w:noProof/>
        </w:rPr>
      </w:pPr>
      <w:r>
        <w:rPr>
          <w:noProof/>
        </w:rPr>
        <w:t>μειωμένες εκπομπές θορύβου από τα ελαστικά και επακόλουθα οφέλη για την υγεία· και</w:t>
      </w:r>
    </w:p>
    <w:p>
      <w:pPr>
        <w:pStyle w:val="Bullet1"/>
        <w:rPr>
          <w:noProof/>
        </w:rPr>
      </w:pPr>
      <w:r>
        <w:rPr>
          <w:noProof/>
        </w:rPr>
        <w:t>μεγαλύτερη ασφάλεια και λιγότερα ατυχήματα.</w:t>
      </w:r>
    </w:p>
    <w:p>
      <w:pPr>
        <w:rPr>
          <w:noProof/>
        </w:rPr>
      </w:pPr>
      <w:r>
        <w:rPr>
          <w:noProof/>
        </w:rPr>
        <w:t>Η παρούσα πρόταση εφαρμόζει το νομοθετικό μέρος της προτιμώμενης επιλογής. Άλλες μη νομοθετικές δράσεις για την εφαρμογή της επιλογής περιγράφονται στην εκτίμηση επιπτώσεων.</w:t>
      </w:r>
    </w:p>
    <w:p>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pPr>
        <w:spacing w:after="240"/>
        <w:rPr>
          <w:rFonts w:eastAsia="Arial Unicode MS"/>
          <w:noProof/>
          <w:szCs w:val="24"/>
        </w:rPr>
      </w:pPr>
      <w:r>
        <w:rPr>
          <w:noProof/>
        </w:rPr>
        <w:t xml:space="preserve">Δεδομένου ότι η παρούσα πρόταση αναθεωρεί την υφιστάμενη νομοθεσία, διερευνήθηκαν τρόποι απλούστευσης και βελτίωσης της εν λόγω νομοθεσίας. Το κείμενο επικαιροποιήθηκε ώστε να εξασφαλίζει τη μέγιστη συνοχή με άλλη επικαιροποιημένη νομοθεσία στον τομέα, ιδίως με τον νέο κανονισμό για το πλαίσιο ενεργειακής σήμανσης. </w:t>
      </w:r>
    </w:p>
    <w:p>
      <w:pPr>
        <w:spacing w:after="240"/>
        <w:rPr>
          <w:rFonts w:eastAsia="Arial Unicode MS"/>
          <w:noProof/>
          <w:szCs w:val="24"/>
        </w:rPr>
      </w:pPr>
      <w:r>
        <w:rPr>
          <w:noProof/>
        </w:rPr>
        <w:t>Εντοπίστηκαν και ενσωματώθηκαν στην πρόταση τρεις βασικές δυνατότητες απλούστευσης της νομοθεσίας και μείωσης του διοικητικού φόρτου:</w:t>
      </w:r>
    </w:p>
    <w:p>
      <w:pPr>
        <w:pStyle w:val="Bullet1"/>
        <w:rPr>
          <w:noProof/>
        </w:rPr>
      </w:pPr>
      <w:r>
        <w:rPr>
          <w:noProof/>
        </w:rPr>
        <w:t>βάση δεδομένων καταχώρισης προϊόντων·</w:t>
      </w:r>
    </w:p>
    <w:p>
      <w:pPr>
        <w:pStyle w:val="Bullet1"/>
        <w:rPr>
          <w:noProof/>
        </w:rPr>
      </w:pPr>
      <w:r>
        <w:rPr>
          <w:noProof/>
        </w:rPr>
        <w:t>εναρμόνιση με μεθόδους δοκιμής του ΚΓΑ· και</w:t>
      </w:r>
    </w:p>
    <w:p>
      <w:pPr>
        <w:pStyle w:val="Bullet1"/>
        <w:rPr>
          <w:noProof/>
        </w:rPr>
      </w:pPr>
      <w:r>
        <w:rPr>
          <w:noProof/>
        </w:rPr>
        <w:t xml:space="preserve">εκτενέστερη χρήση των κατ’ εξουσιοδότηση πράξεων. </w:t>
      </w:r>
    </w:p>
    <w:p>
      <w:pPr>
        <w:spacing w:after="240"/>
        <w:rPr>
          <w:noProof/>
        </w:rPr>
      </w:pPr>
      <w:r>
        <w:rPr>
          <w:noProof/>
        </w:rPr>
        <w:t>Η εκτιμώμενη εξοικονόμηση κόστους REFIT από τις παραπάνω τρεις δυνατότητες έχει ως εξής:</w:t>
      </w:r>
    </w:p>
    <w:p>
      <w:pPr>
        <w:spacing w:before="0" w:after="200" w:line="276" w:lineRule="auto"/>
        <w:jc w:val="left"/>
        <w:rPr>
          <w:noProof/>
        </w:rPr>
      </w:pPr>
      <w:r>
        <w:rPr>
          <w:noProof/>
        </w:rPr>
        <w:br w:type="page"/>
      </w: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5245"/>
      </w:tblGrid>
      <w:tr>
        <w:tc>
          <w:tcPr>
            <w:tcW w:w="9640" w:type="dxa"/>
            <w:gridSpan w:val="3"/>
            <w:tcBorders>
              <w:top w:val="double" w:sz="4" w:space="0" w:color="auto"/>
            </w:tcBorders>
            <w:shd w:val="clear" w:color="auto" w:fill="C6D9F1"/>
          </w:tcPr>
          <w:p>
            <w:pPr>
              <w:tabs>
                <w:tab w:val="num" w:pos="425"/>
              </w:tabs>
              <w:jc w:val="center"/>
              <w:rPr>
                <w:b/>
                <w:bCs/>
                <w:i/>
                <w:iCs/>
                <w:noProof/>
                <w:szCs w:val="24"/>
              </w:rPr>
            </w:pPr>
            <w:r>
              <w:rPr>
                <w:b/>
                <w:i/>
                <w:noProof/>
              </w:rPr>
              <w:lastRenderedPageBreak/>
              <w:t>Εξοικονόμηση κόστους στο πλαίσιο του προγράμματος βελτίωσης της καταλληλότητας και της αποδοτικότητας του κανονιστικού πλαισίου (REFIT ) – προτιμώμενη/-ες επιλογή/-ές</w:t>
            </w:r>
          </w:p>
        </w:tc>
      </w:tr>
      <w:tr>
        <w:tc>
          <w:tcPr>
            <w:tcW w:w="2694" w:type="dxa"/>
            <w:shd w:val="clear" w:color="auto" w:fill="F2F2F2"/>
          </w:tcPr>
          <w:p>
            <w:pPr>
              <w:tabs>
                <w:tab w:val="num" w:pos="425"/>
              </w:tabs>
              <w:jc w:val="center"/>
              <w:rPr>
                <w:b/>
                <w:bCs/>
                <w:i/>
                <w:iCs/>
                <w:noProof/>
                <w:szCs w:val="24"/>
              </w:rPr>
            </w:pPr>
            <w:r>
              <w:rPr>
                <w:b/>
                <w:i/>
                <w:noProof/>
              </w:rPr>
              <w:t>Περιγραφή</w:t>
            </w:r>
          </w:p>
        </w:tc>
        <w:tc>
          <w:tcPr>
            <w:tcW w:w="1701" w:type="dxa"/>
            <w:tcBorders>
              <w:bottom w:val="double" w:sz="4" w:space="0" w:color="auto"/>
            </w:tcBorders>
            <w:shd w:val="clear" w:color="auto" w:fill="F2F2F2"/>
          </w:tcPr>
          <w:p>
            <w:pPr>
              <w:tabs>
                <w:tab w:val="num" w:pos="425"/>
              </w:tabs>
              <w:jc w:val="center"/>
              <w:rPr>
                <w:b/>
                <w:bCs/>
                <w:i/>
                <w:iCs/>
                <w:noProof/>
                <w:szCs w:val="24"/>
              </w:rPr>
            </w:pPr>
            <w:r>
              <w:rPr>
                <w:b/>
                <w:i/>
                <w:noProof/>
              </w:rPr>
              <w:t>Ποσό</w:t>
            </w:r>
          </w:p>
        </w:tc>
        <w:tc>
          <w:tcPr>
            <w:tcW w:w="5245" w:type="dxa"/>
            <w:tcBorders>
              <w:bottom w:val="double" w:sz="4" w:space="0" w:color="auto"/>
            </w:tcBorders>
            <w:shd w:val="clear" w:color="auto" w:fill="F2F2F2"/>
            <w:tcMar>
              <w:top w:w="57" w:type="dxa"/>
              <w:left w:w="57" w:type="dxa"/>
              <w:bottom w:w="57" w:type="dxa"/>
              <w:right w:w="57" w:type="dxa"/>
            </w:tcMar>
          </w:tcPr>
          <w:p>
            <w:pPr>
              <w:tabs>
                <w:tab w:val="num" w:pos="425"/>
              </w:tabs>
              <w:jc w:val="center"/>
              <w:rPr>
                <w:b/>
                <w:bCs/>
                <w:i/>
                <w:iCs/>
                <w:noProof/>
                <w:szCs w:val="24"/>
              </w:rPr>
            </w:pPr>
            <w:r>
              <w:rPr>
                <w:b/>
                <w:i/>
                <w:noProof/>
              </w:rPr>
              <w:t>Παρατηρήσεις</w:t>
            </w:r>
          </w:p>
        </w:tc>
      </w:tr>
      <w:tr>
        <w:trPr>
          <w:trHeight w:val="1649"/>
        </w:trPr>
        <w:tc>
          <w:tcPr>
            <w:tcW w:w="2694" w:type="dxa"/>
            <w:tcBorders>
              <w:top w:val="double" w:sz="4" w:space="0" w:color="auto"/>
            </w:tcBorders>
          </w:tcPr>
          <w:p>
            <w:pPr>
              <w:tabs>
                <w:tab w:val="num" w:pos="425"/>
              </w:tabs>
              <w:rPr>
                <w:noProof/>
                <w:szCs w:val="24"/>
              </w:rPr>
            </w:pPr>
            <w:r>
              <w:rPr>
                <w:noProof/>
              </w:rPr>
              <w:t>Βάση δεδομένων καταχώρισης προϊόντων</w:t>
            </w:r>
          </w:p>
          <w:p>
            <w:pPr>
              <w:tabs>
                <w:tab w:val="num" w:pos="425"/>
              </w:tabs>
              <w:rPr>
                <w:noProof/>
                <w:szCs w:val="24"/>
              </w:rPr>
            </w:pPr>
          </w:p>
        </w:tc>
        <w:tc>
          <w:tcPr>
            <w:tcW w:w="1701" w:type="dxa"/>
            <w:tcBorders>
              <w:top w:val="double" w:sz="4" w:space="0" w:color="auto"/>
            </w:tcBorders>
            <w:tcMar>
              <w:top w:w="57" w:type="dxa"/>
              <w:left w:w="57" w:type="dxa"/>
              <w:bottom w:w="57" w:type="dxa"/>
              <w:right w:w="57" w:type="dxa"/>
            </w:tcMar>
          </w:tcPr>
          <w:p>
            <w:pPr>
              <w:tabs>
                <w:tab w:val="num" w:pos="425"/>
              </w:tabs>
              <w:jc w:val="center"/>
              <w:rPr>
                <w:noProof/>
                <w:szCs w:val="24"/>
              </w:rPr>
            </w:pPr>
            <w:r>
              <w:rPr>
                <w:noProof/>
              </w:rPr>
              <w:t>80 000 EUR ετησίως</w:t>
            </w:r>
          </w:p>
        </w:tc>
        <w:tc>
          <w:tcPr>
            <w:tcW w:w="5245" w:type="dxa"/>
            <w:tcBorders>
              <w:top w:val="double" w:sz="4" w:space="0" w:color="auto"/>
            </w:tcBorders>
            <w:tcMar>
              <w:top w:w="57" w:type="dxa"/>
              <w:left w:w="57" w:type="dxa"/>
              <w:bottom w:w="57" w:type="dxa"/>
              <w:right w:w="57" w:type="dxa"/>
            </w:tcMar>
          </w:tcPr>
          <w:p>
            <w:pPr>
              <w:tabs>
                <w:tab w:val="num" w:pos="425"/>
              </w:tabs>
              <w:rPr>
                <w:noProof/>
                <w:szCs w:val="24"/>
              </w:rPr>
            </w:pPr>
            <w:r>
              <w:rPr>
                <w:noProof/>
              </w:rPr>
              <w:t>Εξοικονόμηση επαναλαμβανόμενου κόστους για τις αρχές εποπτείας των αγορών των κρατών μελών, τους κατασκευαστές και τους εμπόρους λιανικής πώλησης. Πιθανή εξοικονόμηση κόστους και για τους κατασκευαστές.</w:t>
            </w:r>
          </w:p>
          <w:p>
            <w:pPr>
              <w:tabs>
                <w:tab w:val="num" w:pos="425"/>
              </w:tabs>
              <w:rPr>
                <w:noProof/>
                <w:szCs w:val="24"/>
              </w:rPr>
            </w:pPr>
            <w:r>
              <w:rPr>
                <w:noProof/>
              </w:rPr>
              <w:t>Αρχικό οριακό κόστος προκειμένου η Επιτροπή να συμπεριλάβει τα ελαστικά στη βάση δεδομένων για συνδεόμενα με την ενέργεια προϊόντα.</w:t>
            </w:r>
          </w:p>
        </w:tc>
      </w:tr>
      <w:tr>
        <w:tc>
          <w:tcPr>
            <w:tcW w:w="2694" w:type="dxa"/>
          </w:tcPr>
          <w:p>
            <w:pPr>
              <w:tabs>
                <w:tab w:val="num" w:pos="425"/>
              </w:tabs>
              <w:rPr>
                <w:noProof/>
                <w:szCs w:val="24"/>
              </w:rPr>
            </w:pPr>
            <w:r>
              <w:rPr>
                <w:noProof/>
              </w:rPr>
              <w:t xml:space="preserve">Εναρμόνιση με τον ΚΓΑ </w:t>
            </w:r>
          </w:p>
          <w:p>
            <w:pPr>
              <w:tabs>
                <w:tab w:val="num" w:pos="425"/>
              </w:tabs>
              <w:rPr>
                <w:noProof/>
                <w:szCs w:val="24"/>
              </w:rPr>
            </w:pPr>
          </w:p>
        </w:tc>
        <w:tc>
          <w:tcPr>
            <w:tcW w:w="1701" w:type="dxa"/>
            <w:tcMar>
              <w:top w:w="57" w:type="dxa"/>
              <w:left w:w="57" w:type="dxa"/>
              <w:bottom w:w="57" w:type="dxa"/>
              <w:right w:w="57" w:type="dxa"/>
            </w:tcMar>
          </w:tcPr>
          <w:p>
            <w:pPr>
              <w:tabs>
                <w:tab w:val="num" w:pos="425"/>
              </w:tabs>
              <w:jc w:val="center"/>
              <w:rPr>
                <w:noProof/>
                <w:szCs w:val="24"/>
              </w:rPr>
            </w:pPr>
            <w:r>
              <w:rPr>
                <w:noProof/>
              </w:rPr>
              <w:t>420 000 EUR ετησίως</w:t>
            </w:r>
          </w:p>
        </w:tc>
        <w:tc>
          <w:tcPr>
            <w:tcW w:w="5245" w:type="dxa"/>
            <w:tcMar>
              <w:top w:w="57" w:type="dxa"/>
              <w:left w:w="57" w:type="dxa"/>
              <w:bottom w:w="57" w:type="dxa"/>
              <w:right w:w="57" w:type="dxa"/>
            </w:tcMar>
          </w:tcPr>
          <w:p>
            <w:pPr>
              <w:tabs>
                <w:tab w:val="num" w:pos="425"/>
              </w:tabs>
              <w:rPr>
                <w:noProof/>
                <w:szCs w:val="24"/>
              </w:rPr>
            </w:pPr>
            <w:r>
              <w:rPr>
                <w:noProof/>
              </w:rPr>
              <w:t>Θα μπορούσε να περιλαμβάνει πιο ακριβές δοκιμές για τους κατασκευαστές σε εγκεκριμένα εργαστήρια δοκιμών, αλλά, σε αντάλλαγμα, δεν θα χρειαστεί να διενεργήσουν άλλες δοκιμές. Μειωμένο κόστος εποπτείας της αγοράς (επαναλαμβανόμενη εξοικονόμηση).</w:t>
            </w:r>
          </w:p>
        </w:tc>
      </w:tr>
      <w:tr>
        <w:trPr>
          <w:trHeight w:val="780"/>
        </w:trPr>
        <w:tc>
          <w:tcPr>
            <w:tcW w:w="2694" w:type="dxa"/>
            <w:tcBorders>
              <w:bottom w:val="double" w:sz="4" w:space="0" w:color="auto"/>
            </w:tcBorders>
          </w:tcPr>
          <w:p>
            <w:pPr>
              <w:tabs>
                <w:tab w:val="num" w:pos="425"/>
              </w:tabs>
              <w:rPr>
                <w:noProof/>
                <w:szCs w:val="24"/>
              </w:rPr>
            </w:pPr>
            <w:r>
              <w:rPr>
                <w:noProof/>
              </w:rPr>
              <w:t xml:space="preserve">ΚΣΕ / κατ’ εξουσιοδότηση πράξεις </w:t>
            </w:r>
          </w:p>
        </w:tc>
        <w:tc>
          <w:tcPr>
            <w:tcW w:w="1701" w:type="dxa"/>
            <w:tcBorders>
              <w:bottom w:val="double" w:sz="4" w:space="0" w:color="auto"/>
            </w:tcBorders>
            <w:tcMar>
              <w:top w:w="57" w:type="dxa"/>
              <w:left w:w="57" w:type="dxa"/>
              <w:bottom w:w="57" w:type="dxa"/>
              <w:right w:w="57" w:type="dxa"/>
            </w:tcMar>
          </w:tcPr>
          <w:p>
            <w:pPr>
              <w:tabs>
                <w:tab w:val="num" w:pos="425"/>
              </w:tabs>
              <w:jc w:val="center"/>
              <w:rPr>
                <w:noProof/>
                <w:szCs w:val="24"/>
              </w:rPr>
            </w:pPr>
            <w:r>
              <w:rPr>
                <w:noProof/>
              </w:rPr>
              <w:t>110 000 EUR ανά κατ’ εξουσιοδότηση πράξη</w:t>
            </w:r>
          </w:p>
        </w:tc>
        <w:tc>
          <w:tcPr>
            <w:tcW w:w="5245" w:type="dxa"/>
            <w:tcBorders>
              <w:bottom w:val="double" w:sz="4" w:space="0" w:color="auto"/>
            </w:tcBorders>
            <w:tcMar>
              <w:top w:w="57" w:type="dxa"/>
              <w:left w:w="57" w:type="dxa"/>
              <w:bottom w:w="57" w:type="dxa"/>
              <w:right w:w="57" w:type="dxa"/>
            </w:tcMar>
          </w:tcPr>
          <w:p>
            <w:pPr>
              <w:tabs>
                <w:tab w:val="num" w:pos="425"/>
              </w:tabs>
              <w:rPr>
                <w:noProof/>
                <w:szCs w:val="24"/>
              </w:rPr>
            </w:pPr>
            <w:r>
              <w:rPr>
                <w:noProof/>
              </w:rPr>
              <w:t>Θα μειωθεί το διοικητικό κόστος των νομοθετικών θεσμικών οργάνων και των κρατών μελών της ΕΕ.</w:t>
            </w:r>
          </w:p>
        </w:tc>
      </w:tr>
    </w:tbl>
    <w:p>
      <w:pPr>
        <w:spacing w:after="240"/>
        <w:rPr>
          <w:rFonts w:eastAsia="Arial Unicode MS"/>
          <w:noProof/>
          <w:szCs w:val="24"/>
        </w:rPr>
      </w:pPr>
      <w:r>
        <w:rPr>
          <w:noProof/>
        </w:rPr>
        <w:t>Για τη διασφάλιση του θεμιτού ανταγωνισμού στην ενιαία αγορά και συνεκτικών και συνεπών πληροφοριών για τους καταναλωτές, θα πρέπει να ισχύουν ίδιοι κανόνες για όλους τους οικονομικούς φορείς. Επομένως, όλοι οι έμποροι λιανικής πώλησης θα πρέπει να υπόκεινται στους ίδιους κανόνες, δεδομένου ότι η σήμανση των ελαστικών είναι χρήσιμη για τους καταναλωτές μόνο αν όλα τα προϊόντα έχουν επισημανθεί σε όλα τα καταστήματα λιανικής πώλησης. Ως εκ τούτου, η πρόταση δεν απαλλάσσει τις ΜΜΕ ή πολύ μικρές επιχειρήσεις. Ωστόσο, δεν υπάρχουν ευρωπαϊκές ΜΜΕ ή πολύ μικρές επιχειρήσεις κατασκευής ελαστικών, και οποιοδήποτε πιθανό κόστος δεν αναμένεται να είναι ασήμαντο και συνδέεται κυρίως με την υποχρέωση των κατασκευαστών και των εμπόρων λιανικής πώλησης να καθιστούν εμφανή τη σήμανση όταν τα ελαστικά διατίθενται προς πώληση μέσω διαδικτύου.</w:t>
      </w:r>
    </w:p>
    <w:p>
      <w:pPr>
        <w:spacing w:after="240"/>
        <w:rPr>
          <w:rFonts w:eastAsia="Arial Unicode MS"/>
          <w:noProof/>
          <w:szCs w:val="24"/>
        </w:rPr>
      </w:pPr>
      <w:r>
        <w:rPr>
          <w:noProof/>
        </w:rPr>
        <w:t>Η πρόταση αξιοποιεί τις δυνατότητες του διαδικτύου, καθώς περιλαμβάνει τη σήμανση των ελαστικών στην ηλεκτρονική βάση δεδομένων καταχώρισης προϊόντων που δημιουργήθηκε δυνάμει του κανονισμού (ΕΕ) 2017/1369, η οποία θα απλουστεύσει, θα επιταχύνει και θα βελτιώσει τη μετάδοση πληροφοριών σχετικά με τα προϊόντα μεταξύ κατασκευαστών, εμπόρων λιανικής πώλησης, αρχών εποπτείας της αγοράς και καταναλωτών. Όπως τα υπόλοιπα προϊόντα, για τα ελαστικά χρησιμοποιούνται κωδικοί QR που παρέχουν στους καταναλωτές ηλεκτρονική πρόσβαση σε λεπτομερείς πληροφορίες. Οι εν λόγω κωδικοί θα ενσωματωθούν στη νέα σήμανση.</w:t>
      </w:r>
    </w:p>
    <w:p>
      <w:pPr>
        <w:pStyle w:val="ManualHeading2"/>
        <w:rPr>
          <w:rFonts w:eastAsia="Arial Unicode MS"/>
          <w:noProof/>
          <w:u w:color="000000"/>
          <w:bdr w:val="nil"/>
        </w:rPr>
      </w:pPr>
      <w:r>
        <w:rPr>
          <w:noProof/>
        </w:rPr>
        <w:lastRenderedPageBreak/>
        <w:t>•</w:t>
      </w:r>
      <w:r>
        <w:rPr>
          <w:noProof/>
        </w:rPr>
        <w:tab/>
        <w:t>Θεμελιώδη δικαιώματα</w:t>
      </w:r>
    </w:p>
    <w:p>
      <w:pPr>
        <w:rPr>
          <w:noProof/>
        </w:rPr>
      </w:pPr>
      <w:r>
        <w:rPr>
          <w:noProof/>
        </w:rPr>
        <w:t>Η πρόταση δεν θεωρείται ότι έχει επιπτώσεις στα θεμελιώδη δικαιώματα.</w:t>
      </w:r>
    </w:p>
    <w:p>
      <w:pPr>
        <w:pStyle w:val="ManualHeading1"/>
        <w:rPr>
          <w:noProof/>
        </w:rPr>
      </w:pPr>
      <w:r>
        <w:rPr>
          <w:noProof/>
        </w:rPr>
        <w:t>4.</w:t>
      </w:r>
      <w:r>
        <w:rPr>
          <w:noProof/>
        </w:rPr>
        <w:tab/>
        <w:t>ΔΗΜΟΣΙΟΝΟΜΙΚΕΣ ΕΠΙΠΤΩΣΕΙΣ</w:t>
      </w:r>
    </w:p>
    <w:p>
      <w:pPr>
        <w:spacing w:after="240"/>
        <w:rPr>
          <w:rFonts w:eastAsia="Arial Unicode MS"/>
          <w:noProof/>
        </w:rPr>
      </w:pPr>
      <w:r>
        <w:rPr>
          <w:noProof/>
        </w:rPr>
        <w:t>Η παρούσα πρόταση αντικαθιστά έναν ισχύοντα κανονισμό για τη σήμανση των ελαστικών και, επομένως, οι διοικητικές επιπτώσεις και το κόστος αναμένεται να είναι περιορισμένα, καθώς υπάρχουν οι περισσότερες από τις απαραίτητες δομές και κανόνες.</w:t>
      </w:r>
    </w:p>
    <w:p>
      <w:pPr>
        <w:rPr>
          <w:noProof/>
        </w:rPr>
      </w:pPr>
      <w:r>
        <w:rPr>
          <w:noProof/>
        </w:rPr>
        <w:t xml:space="preserve">Οι δαπάνες αυτές θα υποστηριχθούν από τους πόρους που προβλέπονται ήδη στον επίσημο δημοσιονομικό προγραμματισμό. Δεν θα χρειαστούν πρόσθετοι πόροι από τον προϋπολογισμό της ΕΕ. Επιπλέον, πρόθεση της εν λόγω πρωτοβουλίας δεν είναι να προδικάσει την πρόταση της Επιτροπής για το επόμενο πολυετές δημοσιονομικό πλαίσιο. </w:t>
      </w:r>
    </w:p>
    <w:p>
      <w:pPr>
        <w:pStyle w:val="ManualHeading1"/>
        <w:spacing w:after="240"/>
        <w:ind w:left="851" w:hanging="85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spacing w:after="240"/>
        <w:rPr>
          <w:rFonts w:eastAsia="Arial Unicode MS"/>
          <w:noProof/>
        </w:rPr>
      </w:pPr>
      <w:r>
        <w:rPr>
          <w:noProof/>
        </w:rPr>
        <w:t>Οι επιπτώσεις του νέου κανονισμού θα πρέπει να παρακολουθούνται και να αξιολογηθούν σε μελέτη αξιολόγησης που θα διεξαχθεί έξι χρόνια μετά την έναρξη ισχύος του. Η αξιολόγηση θα καθορίσει κατά πόσο έχουν επιτευχθεί οι στόχοι της πρωτοβουλίας.</w:t>
      </w:r>
    </w:p>
    <w:p>
      <w:pPr>
        <w:spacing w:after="240"/>
        <w:rPr>
          <w:rFonts w:eastAsia="Arial Unicode MS"/>
          <w:noProof/>
        </w:rPr>
      </w:pPr>
      <w:r>
        <w:rPr>
          <w:noProof/>
        </w:rPr>
        <w:t>Η υποβολή εκθέσεων από κράτη μέλη στην ομάδα εμπειρογνωμόνων για τη σήμανση των ελαστικών – διοικητική συνεργασία για την εποπτεία της αγοράς, θα παρέχει δεδομένα για τις δραστηριότητες εποπτείας της αγοράς και τα ποσοστά συμμόρφωσης. Περισσότερα δεδομένα θα προκύψουν από τη συνεχή δράση κοινής εποπτείας MSTyre15</w:t>
      </w:r>
      <w:r>
        <w:rPr>
          <w:rStyle w:val="FootnoteReference"/>
          <w:noProof/>
        </w:rPr>
        <w:footnoteReference w:id="8"/>
      </w:r>
      <w:r>
        <w:rPr>
          <w:noProof/>
        </w:rPr>
        <w:t xml:space="preserve"> και επακόλουθα έργα.</w:t>
      </w:r>
    </w:p>
    <w:p>
      <w:pPr>
        <w:spacing w:after="240"/>
        <w:rPr>
          <w:rFonts w:eastAsia="Arial Unicode MS"/>
          <w:noProof/>
        </w:rPr>
      </w:pPr>
      <w:r>
        <w:rPr>
          <w:noProof/>
        </w:rPr>
        <w:t>Η προτεινόμενη υποχρεωτική βάση δεδομένων καταχώρισης προϊόντων θα είναι επίσης μια πηγή δεδομένων, στο πλαίσιο της οποίας θα παρακολουθείται και θα αξιολογείται η πρόοδος για την επίτευξη των στόχων του κανονισμού. Θα παρέχει δεδομένα για την κατανομή των ελαστικών σε διαφορετικές κατηγορίες επιδόσεων. Θα υποστηρίζει επίσης την εποπτεία της αγοράς, η οποία είναι απαραίτητη για την εφαρμογή του κανονισμού. Η εφαρμογή θα επικουρείται επίσης από την απαίτηση προς τα κράτη μέλη να ενημερώνουν την Επιτροπή για τις κυρώσεις και τους μηχανισμούς εφαρμογής που επιβάλλονται σε περίπτωση παράβασης του κανονισμού.</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szCs w:val="24"/>
          <w:highlight w:val="yellow"/>
        </w:rPr>
      </w:pPr>
      <w:r>
        <w:rPr>
          <w:noProof/>
        </w:rPr>
        <w:t>Η πρόταση διατηρεί τους στόχους και τις βασικές αρχές του ισχύοντος ΚΣΕ, αλλά διασαφηνίζει, ενισχύει και επεκτείνει το εύρος του:</w:t>
      </w:r>
    </w:p>
    <w:p>
      <w:pPr>
        <w:pStyle w:val="Bullet1"/>
        <w:rPr>
          <w:noProof/>
        </w:rPr>
      </w:pPr>
      <w:r>
        <w:rPr>
          <w:noProof/>
        </w:rPr>
        <w:t>επικαιροποιώντας τη σήμανση των ελαστικών και επιτρέποντας την αναθεώρησή της·</w:t>
      </w:r>
    </w:p>
    <w:p>
      <w:pPr>
        <w:pStyle w:val="Bullet1"/>
        <w:rPr>
          <w:noProof/>
        </w:rPr>
      </w:pPr>
      <w:r>
        <w:rPr>
          <w:noProof/>
        </w:rPr>
        <w:t>βελτιώνοντας την ορατότητα της σήμανσης για τους καταναλωτές με την απαίτηση να είναι εμφανής σε κάθε περίπτωση πώλησης ελαστικών· και θέτοντας απαιτήσεις όσον αφορά την πώληση μέσω διαδικτύου και εξ αποστάσεως, καθώς και σε άλλες περιπτώσεις στις οποίες ο καταναλωτής δεν είναι φυσικά παρών για να μπορεί να δει τα ελαστικά·</w:t>
      </w:r>
    </w:p>
    <w:p>
      <w:pPr>
        <w:pStyle w:val="Bullet1"/>
        <w:rPr>
          <w:noProof/>
        </w:rPr>
      </w:pPr>
      <w:r>
        <w:rPr>
          <w:noProof/>
        </w:rPr>
        <w:lastRenderedPageBreak/>
        <w:t>απαιτώντας να ενσωματωθούν στη σήμανση πληροφορίες για τις επιδόσεις των ελαστικών στο χιόνι και τον πάγο·</w:t>
      </w:r>
    </w:p>
    <w:p>
      <w:pPr>
        <w:pStyle w:val="Bullet1"/>
        <w:rPr>
          <w:noProof/>
        </w:rPr>
      </w:pPr>
      <w:r>
        <w:rPr>
          <w:noProof/>
        </w:rPr>
        <w:t>επιτρέποντας τη μελλοντική ενσωμάτωση του χιλιομετρικού προσδόκιμου και της αντοχής στη φθορά, κατά περίπτωση, ως παραμέτρων της σήμανσης·</w:t>
      </w:r>
    </w:p>
    <w:p>
      <w:pPr>
        <w:pStyle w:val="Bullet1"/>
        <w:rPr>
          <w:noProof/>
        </w:rPr>
      </w:pPr>
      <w:r>
        <w:rPr>
          <w:noProof/>
        </w:rPr>
        <w:t>επιτρέποντας τη μελλοντική ενσωμάτωση αναγομωμένων ελαστικών, κατά περίπτωση·</w:t>
      </w:r>
    </w:p>
    <w:p>
      <w:pPr>
        <w:pStyle w:val="Bullet1"/>
        <w:rPr>
          <w:noProof/>
        </w:rPr>
      </w:pPr>
      <w:r>
        <w:rPr>
          <w:noProof/>
        </w:rPr>
        <w:t>απαιτώντας να εμφανίζεται η σήμανση σε οπτικές διαφημίσεις και τεχνικό διαφημιστικό υλικό·</w:t>
      </w:r>
    </w:p>
    <w:p>
      <w:pPr>
        <w:pStyle w:val="Bullet1"/>
        <w:rPr>
          <w:noProof/>
        </w:rPr>
      </w:pPr>
      <w:r>
        <w:rPr>
          <w:noProof/>
        </w:rPr>
        <w:t>επεκτείνοντας στα ελαστικά της κατηγορίας C3 την απαίτηση η σήμανση να είναι εμφανής·</w:t>
      </w:r>
    </w:p>
    <w:p>
      <w:pPr>
        <w:pStyle w:val="Bullet1"/>
        <w:rPr>
          <w:noProof/>
        </w:rPr>
      </w:pPr>
      <w:r>
        <w:rPr>
          <w:noProof/>
        </w:rPr>
        <w:t>επεκτείνοντας τη διαδικασία έγκρισης τύπου προκειμένου να συμπεριληφθούν τα δηλωθέντα στη σήμανση χαρακτηριστικά·</w:t>
      </w:r>
    </w:p>
    <w:p>
      <w:pPr>
        <w:pStyle w:val="Bullet1"/>
        <w:rPr>
          <w:noProof/>
        </w:rPr>
      </w:pPr>
      <w:r>
        <w:rPr>
          <w:noProof/>
        </w:rPr>
        <w:t>βελτιώνοντας την εφαρμογή του κανονισμού με τη θέσπιση υποχρέωσης καταχώρισης των ελαστικών στη βάση δεδομένων προϊόντων που δημιουργήθηκε δυνάμει του κανονισμού (ΕΕ) 2017/1369·</w:t>
      </w:r>
    </w:p>
    <w:p>
      <w:pPr>
        <w:pStyle w:val="Bullet1"/>
        <w:rPr>
          <w:noProof/>
        </w:rPr>
      </w:pPr>
      <w:r>
        <w:rPr>
          <w:noProof/>
        </w:rPr>
        <w:t>προσαρμόζοντας τη διαβάθμιση των παραμέτρων των ελαστικών στο παράρτημα Ι·</w:t>
      </w:r>
    </w:p>
    <w:p>
      <w:pPr>
        <w:pStyle w:val="Bullet1"/>
        <w:rPr>
          <w:noProof/>
        </w:rPr>
      </w:pPr>
      <w:r>
        <w:rPr>
          <w:noProof/>
        </w:rPr>
        <w:t>επικαιροποιώντας τη σήμανση στο παράρτημα ΙΙ (ιδίως για να εμφανίζεται ένα εικονίδιο που δείχνει «χιόνι»)·</w:t>
      </w:r>
    </w:p>
    <w:p>
      <w:pPr>
        <w:pStyle w:val="Bullet1"/>
        <w:rPr>
          <w:noProof/>
        </w:rPr>
      </w:pPr>
      <w:r>
        <w:rPr>
          <w:noProof/>
        </w:rPr>
        <w:t>προσθέτοντας παραρτήματα για τις απαιτήσεις πληροφόρησης·</w:t>
      </w:r>
    </w:p>
    <w:p>
      <w:pPr>
        <w:pStyle w:val="Bullet1"/>
        <w:rPr>
          <w:noProof/>
        </w:rPr>
      </w:pPr>
      <w:r>
        <w:rPr>
          <w:noProof/>
        </w:rPr>
        <w:t>αντικαθιστώντας το παράρτημα για τη μέθοδο δοκιμής με μέτρηση του δείκτη πρόσφυσης σε υγρό οδόστρωμα (G) των ελαστικών κατηγορίας C1 με παραπομπή στις αντίστοιχες μεθόδους μέτρησης.</w:t>
      </w:r>
    </w:p>
    <w:p>
      <w:pPr>
        <w:rPr>
          <w:noProof/>
          <w:u w:val="single"/>
        </w:rPr>
      </w:pPr>
      <w:r>
        <w:rPr>
          <w:noProof/>
          <w:u w:val="single"/>
        </w:rPr>
        <w:t>Επικαιροποίηση της σήμανσης των ελαστικών και δυνατότητα αναθεώρησής της:</w:t>
      </w:r>
    </w:p>
    <w:p>
      <w:pPr>
        <w:rPr>
          <w:noProof/>
        </w:rPr>
      </w:pPr>
      <w:r>
        <w:rPr>
          <w:noProof/>
        </w:rPr>
        <w:t>Η σήμανση καλύπτει τρεις παραμέτρους: την αντίσταση κύλισης, την πρόσφυση σε υγρό οδόστρωμα και τον εξωτερικό θόρυβο κύλισης. Οι κατηγορίες αυτών των παραμέτρων χρειάζονται προσαρμογή, ώστε να λαμβάνεται υπόψη η τεχνική πρόοδος και το γεγονός ότι οι απαιτήσεις του ΚΓΑ συνεπάγονται ότι οι χαμηλότερες κατηγορίες είναι στην πραγματικότητα κενές, διότι αυτά τα ελαστικά δεν πωλούνται πλέον στην αγορά της Ένωσης.</w:t>
      </w:r>
    </w:p>
    <w:p>
      <w:pPr>
        <w:rPr>
          <w:noProof/>
        </w:rPr>
      </w:pPr>
      <w:r>
        <w:rPr>
          <w:noProof/>
        </w:rPr>
        <w:t>Το άρθρο 11 του ισχύοντος κανονισμού αναθέτει στην Επιτροπή την έκδοση κατ’ εξουσιοδότηση πράξεων για την τροποποίηση μη ουσιωδών στοιχείων και τη συμπλήρωση του κανονισμού, καθώς και την προσαρμογή των παραρτημάτων με βάση την τεχνική πρόοδο. Το πεδίο εφαρμογής του άρθρου επεκτείνεται ώστε να συμπεριλάβει αλλαγές στην ίδια τη σήμανση, ώστε να μπορεί να επιτευχθεί η μελλοντική ενσωμάτωση των παραμέτρων που αφορούν τον πάγο, το χιλιομετρικό προσδόκιμο και την αντοχή στη φθορά και η μελλοντική αναπροσαρμογή των κατηγοριών σήμανσης μέσω κατ’ εξουσιοδότηση πράξεων.</w:t>
      </w:r>
    </w:p>
    <w:p>
      <w:pPr>
        <w:rPr>
          <w:noProof/>
          <w:u w:val="single"/>
        </w:rPr>
      </w:pPr>
      <w:r>
        <w:rPr>
          <w:noProof/>
          <w:u w:val="single"/>
        </w:rPr>
        <w:t>Βελτίωση της ορατότητας της σήμανσης για τους καταναλωτές:</w:t>
      </w:r>
    </w:p>
    <w:p>
      <w:pPr>
        <w:pBdr>
          <w:top w:val="nil"/>
          <w:left w:val="nil"/>
          <w:bottom w:val="nil"/>
          <w:right w:val="nil"/>
          <w:between w:val="nil"/>
          <w:bar w:val="nil"/>
        </w:pBdr>
        <w:spacing w:before="0" w:after="240"/>
        <w:rPr>
          <w:noProof/>
        </w:rPr>
      </w:pPr>
      <w:r>
        <w:rPr>
          <w:noProof/>
        </w:rPr>
        <w:t xml:space="preserve">Όλα τα ελαστικά που διατίθενται στην αγορά πρέπει να συνοδεύονται από σήμανση, είτε με τη μορφή ξεχωριστού εγγράφου είτε αυτοκόλλητου. Η υποχρέωση αυτή θα ισχύει για τα ελαστικά της κατηγορίας C3, για τα οποία σήμερα δεν απαιτείται πλήρης σήμανση παρά μόνο μια παραπομπή στις παραμέτρους επιδόσεων στο διαφημιστικό υλικό. Η πλήρης σήμανση θα πρέπει να εμφανίζεται όταν τα ελαστικά πωλούνται μέσω διαδικτύου και σε εξ αποστάσεως </w:t>
      </w:r>
      <w:r>
        <w:rPr>
          <w:noProof/>
        </w:rPr>
        <w:lastRenderedPageBreak/>
        <w:t>πώληση με χρήση έντυπου υλικού. Θα εμφανίζεται επίσης όταν τα ελαστικά πωλούνται με νέο όχημα και όταν τα οχήματα μισθώνονται ή αποτελούν μέρος στόλου.</w:t>
      </w:r>
    </w:p>
    <w:p>
      <w:pPr>
        <w:pBdr>
          <w:top w:val="nil"/>
          <w:left w:val="nil"/>
          <w:bottom w:val="nil"/>
          <w:right w:val="nil"/>
          <w:between w:val="nil"/>
          <w:bar w:val="nil"/>
        </w:pBdr>
        <w:spacing w:before="0" w:after="240"/>
        <w:rPr>
          <w:noProof/>
          <w:u w:val="single"/>
        </w:rPr>
      </w:pPr>
      <w:r>
        <w:rPr>
          <w:noProof/>
          <w:u w:val="single"/>
        </w:rPr>
        <w:t>Απαίτηση ενσωμάτωσης στη σήμανση πληροφοριών για τις επιδόσεις των ελαστικών στο χιόνι και τον πάγο:</w:t>
      </w:r>
    </w:p>
    <w:p>
      <w:pPr>
        <w:pBdr>
          <w:top w:val="nil"/>
          <w:left w:val="nil"/>
          <w:bottom w:val="nil"/>
          <w:right w:val="nil"/>
          <w:between w:val="nil"/>
          <w:bar w:val="nil"/>
        </w:pBdr>
        <w:spacing w:before="0" w:after="240"/>
        <w:rPr>
          <w:i/>
          <w:noProof/>
        </w:rPr>
      </w:pPr>
      <w:r>
        <w:rPr>
          <w:noProof/>
        </w:rPr>
        <w:t>Η εν λόγω απαίτηση θα δώσει στους καταναλωτές πληρέστερη εικόνα για τις επιδόσεις των ελαστικών σε χειμερινές συνθήκες, ιδίως όσον αφορά την πρόσφυση σε υγρό οδόστρωμα. Ήδη έγινε κατάλληλη δοκιμή και υπάρχει λογότυπος για τις επιδόσεις στο χιόνι που πρόκειται να συμπεριληφθεί στη σήμανση. Αναπτύσσεται μια δοκιμή για επιδόσεις στο χιόνι και προτείνεται η χρήση κατ’ εξουσιοδότηση αρμοδιοτήτων, προκειμένου η παράμετρος αυτή να συμπεριληφθεί στο μέλλον μετά την ολοκλήρωση του προτύπου δοκιμής.</w:t>
      </w:r>
    </w:p>
    <w:p>
      <w:pPr>
        <w:pBdr>
          <w:top w:val="nil"/>
          <w:left w:val="nil"/>
          <w:bottom w:val="nil"/>
          <w:right w:val="nil"/>
          <w:between w:val="nil"/>
          <w:bar w:val="nil"/>
        </w:pBdr>
        <w:spacing w:before="0" w:after="240"/>
        <w:rPr>
          <w:noProof/>
          <w:u w:val="single"/>
        </w:rPr>
      </w:pPr>
      <w:r>
        <w:rPr>
          <w:noProof/>
          <w:u w:val="single"/>
        </w:rPr>
        <w:t>Δυνατότητα μελλοντικής ενσωμάτωσης του χιλιομετρικού προσδόκιμου και της αντοχής στη φθορά, κατά περίπτωση, ως παραμέτρων της σήμανσης:</w:t>
      </w:r>
    </w:p>
    <w:p>
      <w:pPr>
        <w:pBdr>
          <w:top w:val="nil"/>
          <w:left w:val="nil"/>
          <w:bottom w:val="nil"/>
          <w:right w:val="nil"/>
          <w:between w:val="nil"/>
          <w:bar w:val="nil"/>
        </w:pBdr>
        <w:spacing w:before="0" w:after="240"/>
        <w:rPr>
          <w:noProof/>
        </w:rPr>
      </w:pPr>
      <w:r>
        <w:rPr>
          <w:noProof/>
        </w:rPr>
        <w:t>Το χιλιομετρικό προσδόκιμο των ελαστικών σχετίζεται με την ανθεκτικότητα και τη διάρκεια ζωής τους. Η φθορά των ελαστικών είναι σημαντική πηγή μικροπλαστικών που ελευθερώνονται στο περιβάλλον. Δεν έχει αναπτυχθεί ακόμα δοκιμή που θα επιτρέπει την αξιόπιστη μέτρηση του χιλιομετρικού προσδόκιμου ή του ρυθμού φθοράς. Επομένως, προτείνεται η εξέταση χρήσης κατ’ εξουσιοδότηση αρμοδιοτήτων, ώστε αυτές οι παράμετροι να συμπεριληφθούν στο μέλλον, εφόσον ολοκληρωθεί ένα κατάλληλο πρότυπο δοκιμής.</w:t>
      </w:r>
    </w:p>
    <w:p>
      <w:pPr>
        <w:pBdr>
          <w:top w:val="nil"/>
          <w:left w:val="nil"/>
          <w:bottom w:val="nil"/>
          <w:right w:val="nil"/>
          <w:between w:val="nil"/>
          <w:bar w:val="nil"/>
        </w:pBdr>
        <w:spacing w:before="0" w:after="240"/>
        <w:rPr>
          <w:noProof/>
        </w:rPr>
      </w:pPr>
      <w:r>
        <w:rPr>
          <w:noProof/>
        </w:rPr>
        <w:t>Η αναγόμωση ελαστικών είναι μια διαδικασία που χρησιμοποιείται για την παράταση της ζωής των χρησιμοποιημένων ελαστικών επισώτρων. Είναι ιδιαίτερα σημαντική για τα ελαστικά της κατηγορίας C3 που αποτελούν περίπου το 30 % του μεριδίου της αγοράς αναγομωμένων ελαστικών στην Ευρώπη και αντιστοιχούν σε περίπου 5 εκατ. ελαστικά. Η ενσωμάτωση των αναγομωμένων ελαστικών θα παρέχει σημαντικές δυνατότητες εξοικονόμησης ενέργειας και θα συμβάλλει στην επίτευξη των στόχων κυκλικής οικονομίας, όπως τη μείωση των αποβλήτων. Ωστόσο, δεδομένου ότι δεν υπάρχει κατάλληλη μέθοδος δοκιμής, προτείνεται η εξέταση της χρήσης κατ’ εξουσιοδότηση αρμοδιοτήτων, προκειμένου τα αναγομωμένα ελαστικά να συμπεριληφθούν στο μέλλον, εφόσον ολοκληρωθεί ένα κατάλληλο πρότυπο δοκιμής.</w:t>
      </w:r>
    </w:p>
    <w:p>
      <w:pPr>
        <w:pBdr>
          <w:top w:val="nil"/>
          <w:left w:val="nil"/>
          <w:bottom w:val="nil"/>
          <w:right w:val="nil"/>
          <w:between w:val="nil"/>
          <w:bar w:val="nil"/>
        </w:pBdr>
        <w:spacing w:before="0" w:after="240"/>
        <w:rPr>
          <w:noProof/>
          <w:u w:val="single"/>
        </w:rPr>
      </w:pPr>
      <w:r>
        <w:rPr>
          <w:noProof/>
          <w:u w:val="single"/>
        </w:rPr>
        <w:t>Απαίτηση εμφάνισης της σήμανσης σε οπτικές διαφημίσεις και τεχνικό διαφημιστικό υλικό:</w:t>
      </w:r>
    </w:p>
    <w:p>
      <w:pPr>
        <w:pBdr>
          <w:top w:val="nil"/>
          <w:left w:val="nil"/>
          <w:bottom w:val="nil"/>
          <w:right w:val="nil"/>
          <w:between w:val="nil"/>
          <w:bar w:val="nil"/>
        </w:pBdr>
        <w:spacing w:before="0" w:after="240"/>
        <w:rPr>
          <w:noProof/>
        </w:rPr>
      </w:pPr>
      <w:r>
        <w:rPr>
          <w:noProof/>
        </w:rPr>
        <w:t>Σύμφωνα με υποχρεώσεις σε προμηθευτές συνδεόμενων με την ενέργεια προϊόντων στο πλαίσιο του κανονισμού (ΕΕ) 2017/369, οι προμηθευτές ελαστικών θα πρέπει να παρέχουν πληροφορίες σχετικά με τις επιδόσεις των ελαστικών τους σε διαφημίσεις και τεχνικό διαφημιστικό υλικό. Ωστόσο, θα πρέπει να εμφανίζεται ολόκληρη η σήμανση, όχι μόνο η ενεργειακή τάξη και το φάσμα των διαθέσιμων τάξεων (όσον αφορά την ενεργειακή σήμανση).</w:t>
      </w:r>
    </w:p>
    <w:p>
      <w:pPr>
        <w:pBdr>
          <w:top w:val="nil"/>
          <w:left w:val="nil"/>
          <w:bottom w:val="nil"/>
          <w:right w:val="nil"/>
          <w:between w:val="nil"/>
          <w:bar w:val="nil"/>
        </w:pBdr>
        <w:spacing w:before="0" w:after="240"/>
        <w:rPr>
          <w:noProof/>
          <w:u w:val="single"/>
        </w:rPr>
      </w:pPr>
      <w:r>
        <w:rPr>
          <w:noProof/>
          <w:u w:val="single"/>
        </w:rPr>
        <w:t>Επέκταση</w:t>
      </w:r>
      <w:r>
        <w:rPr>
          <w:noProof/>
        </w:rPr>
        <w:t xml:space="preserve"> </w:t>
      </w:r>
      <w:r>
        <w:rPr>
          <w:noProof/>
          <w:u w:val="single"/>
        </w:rPr>
        <w:t>στα ελαστικά της κατηγορίας C3 της απαίτησης να εμφανίζεται η σήμανση:</w:t>
      </w:r>
    </w:p>
    <w:p>
      <w:pPr>
        <w:pBdr>
          <w:top w:val="nil"/>
          <w:left w:val="nil"/>
          <w:bottom w:val="nil"/>
          <w:right w:val="nil"/>
          <w:between w:val="nil"/>
          <w:bar w:val="nil"/>
        </w:pBdr>
        <w:spacing w:before="0" w:after="240"/>
        <w:rPr>
          <w:noProof/>
        </w:rPr>
      </w:pPr>
      <w:r>
        <w:rPr>
          <w:noProof/>
        </w:rPr>
        <w:t xml:space="preserve">Στο πλαίσιο του ισχύοντος κανονισμού, δεν απαιτείται πλήρης σήμανση για τα ελαστικά της κατηγορίας C3, αλλά μια παραπομπή στις παραμέτρους επιδόσεων στο διαφημιστικό υλικό. Τα ελαστικά της κατηγορίας C3 πλέον θα καλύπτονται από τις ίδιες απαιτήσεις σήμανσης με τα ελαστικά των κατηγοριών C1 και C2. </w:t>
      </w:r>
    </w:p>
    <w:p>
      <w:pPr>
        <w:pBdr>
          <w:top w:val="nil"/>
          <w:left w:val="nil"/>
          <w:bottom w:val="nil"/>
          <w:right w:val="nil"/>
          <w:between w:val="nil"/>
          <w:bar w:val="nil"/>
        </w:pBdr>
        <w:spacing w:before="0" w:after="240"/>
        <w:rPr>
          <w:noProof/>
          <w:u w:val="single"/>
        </w:rPr>
      </w:pPr>
      <w:r>
        <w:rPr>
          <w:noProof/>
          <w:u w:val="single"/>
        </w:rPr>
        <w:t>Επέκταση της διαδικασίας έγκρισης τύπου προκειμένου να συμπεριληφθούν τα δηλωθέντα στη σήμανση χαρακτηριστικά:</w:t>
      </w:r>
    </w:p>
    <w:p>
      <w:pPr>
        <w:pBdr>
          <w:top w:val="nil"/>
          <w:left w:val="nil"/>
          <w:bottom w:val="nil"/>
          <w:right w:val="nil"/>
          <w:between w:val="nil"/>
          <w:bar w:val="nil"/>
        </w:pBdr>
        <w:spacing w:before="0" w:after="240"/>
        <w:rPr>
          <w:noProof/>
        </w:rPr>
      </w:pPr>
      <w:r>
        <w:rPr>
          <w:noProof/>
        </w:rPr>
        <w:lastRenderedPageBreak/>
        <w:t xml:space="preserve">Οι κατασκευαστές ελαστικών θα υποχρεωθούν να υποβάλουν τα δηλωθέντα στη σήμανση χαρακτηριστικά στη διαδικασία έγκρισης τύπου, παρέχοντας έτσι πρόσθετη εγγύηση για την ορθότητα της σήμανσης. </w:t>
      </w:r>
    </w:p>
    <w:p>
      <w:pPr>
        <w:pBdr>
          <w:top w:val="nil"/>
          <w:left w:val="nil"/>
          <w:bottom w:val="nil"/>
          <w:right w:val="nil"/>
          <w:between w:val="nil"/>
          <w:bar w:val="nil"/>
        </w:pBdr>
        <w:spacing w:before="0" w:after="240"/>
        <w:rPr>
          <w:noProof/>
          <w:u w:val="single"/>
        </w:rPr>
      </w:pPr>
      <w:r>
        <w:rPr>
          <w:noProof/>
          <w:u w:val="single"/>
        </w:rPr>
        <w:t>Βελτίωση της εφαρμογής του κανονισμού με τη θέσπιση της υποχρέωσης καταχώρισης των ελαστικών στη βάση δεδομένων προϊόντων που δημιουργήθηκε δυνάμει του κανονισμού (ΕΕ) 2017/1369:</w:t>
      </w:r>
    </w:p>
    <w:p>
      <w:pPr>
        <w:pBdr>
          <w:top w:val="nil"/>
          <w:left w:val="nil"/>
          <w:bottom w:val="nil"/>
          <w:right w:val="nil"/>
          <w:between w:val="nil"/>
          <w:bar w:val="nil"/>
        </w:pBdr>
        <w:spacing w:before="0" w:after="240"/>
        <w:rPr>
          <w:noProof/>
        </w:rPr>
      </w:pPr>
      <w:r>
        <w:rPr>
          <w:noProof/>
        </w:rPr>
        <w:t>Η βάση δεδομένων προϊόντων που καλύπτονται από τους κανονισμούς ενεργειακής σήμανσης θα αρχίσει να λειτουργεί την 1η Ιανουαρίου 2019. Μετά από αυτή την ημερομηνία, οι προμηθευτές ελαστικών θα είναι υποχρεωμένοι να εισάγουν στη βάση δεδομένων τις πληροφορίες που ορίζονται στο παράρτημα 1 του κανονισμού (ΕΕ) 2017/1369 (ταυτοποίηση προμηθευτή, μοντέλο ελαστικών, σήμανση, κατηγορίες παραμέτρων και δελτίο πληροφοριών προϊόντος).</w:t>
      </w:r>
    </w:p>
    <w:p>
      <w:pPr>
        <w:pBdr>
          <w:top w:val="nil"/>
          <w:left w:val="nil"/>
          <w:bottom w:val="nil"/>
          <w:right w:val="nil"/>
          <w:between w:val="nil"/>
          <w:bar w:val="nil"/>
        </w:pBdr>
        <w:spacing w:before="0" w:after="240"/>
        <w:rPr>
          <w:noProof/>
          <w:u w:val="single"/>
        </w:rPr>
      </w:pPr>
      <w:r>
        <w:rPr>
          <w:noProof/>
          <w:u w:val="single"/>
        </w:rPr>
        <w:t>Τροποποιήσεις των παραρτημάτων:</w:t>
      </w:r>
    </w:p>
    <w:p>
      <w:pPr>
        <w:pBdr>
          <w:top w:val="nil"/>
          <w:left w:val="nil"/>
          <w:bottom w:val="nil"/>
          <w:right w:val="nil"/>
          <w:between w:val="nil"/>
          <w:bar w:val="nil"/>
        </w:pBdr>
        <w:spacing w:before="0" w:after="240"/>
        <w:rPr>
          <w:noProof/>
        </w:rPr>
      </w:pPr>
      <w:r>
        <w:rPr>
          <w:noProof/>
        </w:rPr>
        <w:t>Η διαβάθμιση των παραμέτρων στο παράρτημα Ι έχει προσαρμοστεί με τον εκ νέου ορισμό ορίων μεταξύ των ισχυουσών κατηγοριών A-G, ώστε να καταστούν πιο ακριβείς και να αποτυπώνουν το γεγονός ότι η χαμηλότερη κατηγορία (G) είναι πλέον κενή λόγω των απαιτήσεων του ΚΓΑ.</w:t>
      </w:r>
    </w:p>
    <w:p>
      <w:pPr>
        <w:pBdr>
          <w:top w:val="nil"/>
          <w:left w:val="nil"/>
          <w:bottom w:val="nil"/>
          <w:right w:val="nil"/>
          <w:between w:val="nil"/>
          <w:bar w:val="nil"/>
        </w:pBdr>
        <w:spacing w:before="0" w:after="240"/>
        <w:rPr>
          <w:noProof/>
        </w:rPr>
      </w:pPr>
      <w:r>
        <w:rPr>
          <w:noProof/>
        </w:rPr>
        <w:t>Στο παράρτημα II η σήμανση τροποποιήθηκε προκειμένου να καταργηθεί η χαμηλότερη κατηγορία αντίστασης κύλισης και να προστεθεί ένα εικονίδιο για το χιόνι και ένας κωδικός QR. Επίσης, η εμφάνιση της σήμανσης έχει εναρμονιστεί σε ένα βαθμό με τις σημάνσεις που προβλέπονται στον κανονισμό για το πλαίσιο ενεργειακής σήμανσης.</w:t>
      </w:r>
    </w:p>
    <w:p>
      <w:pPr>
        <w:pBdr>
          <w:top w:val="nil"/>
          <w:left w:val="nil"/>
          <w:bottom w:val="nil"/>
          <w:right w:val="nil"/>
          <w:between w:val="nil"/>
          <w:bar w:val="nil"/>
        </w:pBdr>
        <w:spacing w:before="0" w:after="240"/>
        <w:rPr>
          <w:noProof/>
        </w:rPr>
      </w:pPr>
      <w:r>
        <w:rPr>
          <w:noProof/>
        </w:rPr>
        <w:t>Για τη βελτίωση και τυποποίηση των πληροφοριών που είναι διαθέσιμες στους τελικούς χρήστες και για την εναρμόνιση με τις απαιτήσεις του κανονισμού για το πλαίσιο ενεργειακής σήμανσης, το νέο παράρτημα ΙΙΙ παραθέτει τις ελάχιστες πληροφορίες που απαιτούνται στην τεχνική τεκμηρίωση. Το νέο παράρτημα IV παραθέτει τις πληροφορίες που απαιτούνται στο δελτίο πληροφοριών προϊόντος, οι οποίες πρέπει να συνοδεύουν τα ελαστικά που διατίθενται στην αγορά και το νέο παράρτημα V ορίζει τις πληροφορίες που πρέπει να παρέχονται στο τεχνικό διαφημιστικό υλικό.</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2018/0148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τη σήμανση των ελαστικών επισώτρων όσον αφορά την εξοικονόμηση καυσίμου και άλλες ουσιώδεις παραμέτρους και την κατάργηση του κανονισμού (ΕΚ) αριθ. 1222/2009</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 και το άρθρο 194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 (</w:t>
      </w:r>
      <w:r>
        <w:rPr>
          <w:rStyle w:val="FootnoteReference"/>
          <w:noProof/>
        </w:rPr>
        <w:footnoteReference w:id="9"/>
      </w:r>
      <w:r>
        <w:rPr>
          <w:noProof/>
        </w:rPr>
        <w:t>),</w:t>
      </w:r>
    </w:p>
    <w:p>
      <w:pPr>
        <w:rPr>
          <w:noProof/>
        </w:rPr>
      </w:pPr>
      <w:r>
        <w:rPr>
          <w:noProof/>
        </w:rPr>
        <w:t>Έχοντας υπόψη τη γνώμη της Επιτροπής των Περιφερειών</w:t>
      </w:r>
      <w:r>
        <w:rPr>
          <w:rStyle w:val="FootnoteReference"/>
          <w:noProof/>
        </w:rPr>
        <w:footnoteReference w:id="10"/>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Η Ένωση έχει δεσμευθεί για τη δημιουργία Ενεργειακής Ένωσης με μια μακρόπνοη πολιτική για το κλίμα. Η εξοικονόμηση καυσίμου αποτελεί εξαιρετικά σημαντικό στοιχείο του πλαισίου πολιτικής της Ένωσης για το κλίμα και την ενέργεια έως το 2030 και έχει καθοριστική σημασία για τον περιορισμό της ζήτησης ενέργειας.</w:t>
      </w:r>
    </w:p>
    <w:p>
      <w:pPr>
        <w:pStyle w:val="ManualConsidrant"/>
        <w:rPr>
          <w:noProof/>
        </w:rPr>
      </w:pPr>
      <w:r>
        <w:t>(2)</w:t>
      </w:r>
      <w:r>
        <w:tab/>
      </w:r>
      <w:r>
        <w:rPr>
          <w:noProof/>
        </w:rPr>
        <w:t>Η Επιτροπή αξιολόγησε</w:t>
      </w:r>
      <w:r>
        <w:rPr>
          <w:rStyle w:val="FootnoteReference"/>
          <w:noProof/>
        </w:rPr>
        <w:footnoteReference w:id="11"/>
      </w:r>
      <w:r>
        <w:rPr>
          <w:noProof/>
        </w:rPr>
        <w:t xml:space="preserve"> την αποτελεσματικότητα του κανονισμού (ΕΚ) αριθ. 1222/2009 του Ευρωπαϊκού Κοινοβουλίου και του Συμβουλίου</w:t>
      </w:r>
      <w:r>
        <w:rPr>
          <w:rStyle w:val="FootnoteReference"/>
          <w:noProof/>
        </w:rPr>
        <w:footnoteReference w:id="12"/>
      </w:r>
      <w:r>
        <w:rPr>
          <w:noProof/>
        </w:rPr>
        <w:t xml:space="preserve"> και διαπίστωσε ότι χρειάζεται επικαιροποίηση των διατάξεών του, ώστε να βελτιωθεί η αποτελεσματικότητά του.</w:t>
      </w:r>
    </w:p>
    <w:p>
      <w:pPr>
        <w:pStyle w:val="ManualConsidrant"/>
        <w:rPr>
          <w:noProof/>
        </w:rPr>
      </w:pPr>
      <w:r>
        <w:t>(3)</w:t>
      </w:r>
      <w:r>
        <w:tab/>
      </w:r>
      <w:r>
        <w:rPr>
          <w:noProof/>
        </w:rPr>
        <w:t xml:space="preserve">Κρίνεται σκόπιμη η αντικατάσταση του κανονισμού (ΕΚ) αριθ. 1222/2009 από νέο κανονισμό, ο οποίος ενσωματώνει τις τροποποιήσεις που πραγματοποιήθηκαν το 2011 και τροποποιεί και βελτιώνει ορισμένες από τις διατάξεις του, ώστε να διασαφηνιστεί και να επικαιροποιηθεί το περιεχόμενό τους, λαμβάνοντας υπόψη την τεχνική πρόοδο των ελαστικών τα τελευταία έτη. </w:t>
      </w:r>
    </w:p>
    <w:p>
      <w:pPr>
        <w:pStyle w:val="ManualConsidrant"/>
        <w:rPr>
          <w:noProof/>
        </w:rPr>
      </w:pPr>
      <w:r>
        <w:t>(4)</w:t>
      </w:r>
      <w:r>
        <w:tab/>
      </w:r>
      <w:r>
        <w:rPr>
          <w:noProof/>
        </w:rPr>
        <w:t xml:space="preserve">Ο τομέας των μεταφορών ευθύνεται για το ένα τρίτο της κατανάλωσης ενέργειας της Ένωσης. Οι οδικές μεταφορές ευθύνονταν για περίπου το 22 % των συνολικών </w:t>
      </w:r>
      <w:r>
        <w:rPr>
          <w:noProof/>
        </w:rPr>
        <w:lastRenderedPageBreak/>
        <w:t>εκπομπών αερίων του θερμοκηπίου της Ένωσης το 2015. Τα ελαστικά επίσωτρα, ιδίως λόγω της αντίστασης κύλισης, ευθύνονται για το 5 % έως 10 % της κατανάλωσης καυσίμου των οχημάτων. Ως εκ τούτου, η μείωση της αντίστασης κύλισης των ελαστικών θα συμβάλλει σημαντικά στην εξοικονόμηση καυσίμου στις οδικές μεταφορές και, κατ’ επέκταση, στη μείωση των εκπομπών.</w:t>
      </w:r>
    </w:p>
    <w:p>
      <w:pPr>
        <w:pStyle w:val="ManualConsidrant"/>
        <w:rPr>
          <w:noProof/>
        </w:rPr>
      </w:pPr>
      <w:r>
        <w:t>(5)</w:t>
      </w:r>
      <w:r>
        <w:tab/>
      </w:r>
      <w:r>
        <w:rPr>
          <w:noProof/>
        </w:rPr>
        <w:t>Τα ελαστικά επίσωτρα χαρακτηρίζονται από ένα σύνολο παραμέτρων που είναι αλληλένδετες. Η βελτίωση μιας παραμέτρου, όπως η αντίσταση κύλισης, μπορεί να έχει δυσμενείς επιπτώσεις σε άλλες παραμέτρους, όπως η πρόσφυση σε υγρό οδόστρωμα, ενώ η βελτίωση της πρόσφυσης σε υγρό οδόστρωμα μπορεί να έχει δυσμενείς επιπτώσεις στον εξωτερικό θόρυβο κύλισης. Θα πρέπει να δοθούν κίνητρα στους κατασκευαστές ελαστικών επισώτρων ώστε να βελτιστοποιήσουν όλες τις παραμέτρους πέραν των προδιαγραφών που έχουν ήδη επιτευχθεί.</w:t>
      </w:r>
    </w:p>
    <w:p>
      <w:pPr>
        <w:pStyle w:val="ManualConsidrant"/>
        <w:rPr>
          <w:noProof/>
        </w:rPr>
      </w:pPr>
      <w:r>
        <w:t>(6)</w:t>
      </w:r>
      <w:r>
        <w:tab/>
      </w:r>
      <w:r>
        <w:rPr>
          <w:noProof/>
        </w:rPr>
        <w:t>Τα οικονομικά σε καύσιμα ελαστικά επίσωτρα μπορεί να συμφέρουν οικονομικώς, καθώς η εξοικονόμηση καυσίμου αντισταθμίζει με το παραπάνω την αυξημένη τιμή αγοράς των ελαστικών επισώτρων που προκύπτει από το υψηλό κόστος παραγωγής τους.</w:t>
      </w:r>
    </w:p>
    <w:p>
      <w:pPr>
        <w:pStyle w:val="ManualConsidrant"/>
        <w:rPr>
          <w:noProof/>
        </w:rPr>
      </w:pPr>
      <w:r>
        <w:t>(7)</w:t>
      </w:r>
      <w:r>
        <w:tab/>
      </w:r>
      <w:r>
        <w:rPr>
          <w:noProof/>
        </w:rPr>
        <w:t>Ο κανονισμός (ΕΚ) αριθ. 661/2009 του Ευρωπαϊκού Κοινοβουλίου και του Συμβουλίου</w:t>
      </w:r>
      <w:r>
        <w:rPr>
          <w:rStyle w:val="FootnoteReference"/>
          <w:noProof/>
        </w:rPr>
        <w:footnoteReference w:id="13"/>
      </w:r>
      <w:r>
        <w:rPr>
          <w:noProof/>
        </w:rPr>
        <w:t xml:space="preserve"> θεσπίζει ελάχιστες απαιτήσεις για την αντίσταση κύλισης των ελαστικών. Οι τεχνολογικές εξελίξεις καθιστούν εφικτή τη σημαντική μείωση των ενεργειακών απωλειών λόγω της αντίστασης κύλισης των ελαστικών επισώτρων πέραν των εν λόγω ελάχιστων απαιτήσεων. Συνεπώς, για τη μείωση των περιβαλλοντικών επιπτώσεων των οδικών μεταφορών κρίνεται σκόπιμο να επικαιροποιηθούν οι διατάξεις για τη σήμανση των ελαστικών ώστε να ενθαρρυνθούν οι τελικοί χρήστες να αγοράζουν πιο οικονομικά σε καύσιμο ελαστικά επίσωτρα παρέχοντας επικαιροποιημένες και εναρμονισμένες πληροφορίες σχετικά με αυτή την παράμετρο.</w:t>
      </w:r>
    </w:p>
    <w:p>
      <w:pPr>
        <w:pStyle w:val="ManualConsidrant"/>
        <w:rPr>
          <w:noProof/>
        </w:rPr>
      </w:pPr>
      <w:r>
        <w:t>(8)</w:t>
      </w:r>
      <w:r>
        <w:tab/>
      </w:r>
      <w:r>
        <w:rPr>
          <w:noProof/>
        </w:rPr>
        <w:t>Ο κυκλοφοριακός θόρυβος αποτελεί σοβαρή όχληση με επιβλαβείς συνέπειες για την υγεία. Ο κανονισμός (ΕΚ) αριθ. 661/2009 θεσπίζει ελάχιστες απαιτήσεις σχετικά με τον εξωτερικό θόρυβο κύλισης των ελαστικών επισώτρων. Οι τεχνολογικές εξελίξεις καθιστούν εφικτή τη σημαντική μείωση του εξωτερικού θορύβου κύλισης πέραν των εν λόγω ελάχιστων απαιτήσεων. Συνεπώς, για τη μείωση του κυκλοφοριακού θορύβου κρίνεται σκόπιμη η επικαιροποίηση των διατάξεων για τη σήμανση ελαστικών που θα ενθαρρύνουν τους τελικούς χρήστες να αγοράζουν ελαστικά επίσωτρα με χαμηλότερο εξωτερικό θόρυβο κύλισης, παρέχοντας εναρμονισμένες πληροφορίες σχετικά με αυτή την παράμετρο.</w:t>
      </w:r>
    </w:p>
    <w:p>
      <w:pPr>
        <w:pStyle w:val="ManualConsidrant"/>
        <w:rPr>
          <w:noProof/>
        </w:rPr>
      </w:pPr>
      <w:r>
        <w:t>(9)</w:t>
      </w:r>
      <w:r>
        <w:tab/>
      </w:r>
      <w:r>
        <w:rPr>
          <w:noProof/>
        </w:rPr>
        <w:t>Η παροχή εναρμονισμένων πληροφοριών σχετικά με τον εξωτερικό θόρυβο κύλισης διευκολύνει επίσης την εφαρμογή μέτρων για την καταπολέμηση του κυκλοφοριακού θορύβου και συμβάλλει στην ενίσχυση της ευαισθητοποίησης σχετικά με την επίδραση των ελαστικών επισώτρων στον κυκλοφοριακό θόρυβο, στο πλαίσιο της οδηγίας 2002/49/ΕΚ του Ευρωπαϊκού Κοινοβουλίου και του Συμβουλίου</w:t>
      </w:r>
      <w:r>
        <w:rPr>
          <w:rStyle w:val="FootnoteReference"/>
          <w:noProof/>
        </w:rPr>
        <w:footnoteReference w:id="14"/>
      </w:r>
      <w:r>
        <w:rPr>
          <w:noProof/>
        </w:rPr>
        <w:t>.</w:t>
      </w:r>
    </w:p>
    <w:p>
      <w:pPr>
        <w:pStyle w:val="ManualConsidrant"/>
        <w:rPr>
          <w:noProof/>
        </w:rPr>
      </w:pPr>
      <w:r>
        <w:lastRenderedPageBreak/>
        <w:t>(10)</w:t>
      </w:r>
      <w:r>
        <w:tab/>
      </w:r>
      <w:r>
        <w:rPr>
          <w:noProof/>
        </w:rPr>
        <w:t>Ο κανονισμός (ΕΚ) αριθ. 661/2009 θεσπίζει ελάχιστες απαιτήσεις σχετικά με τις επιδόσεις πρόσφυσης των ελαστικών επισώτρων σε υγρό οδόστρωμα. Οι τεχνολογικές εξελίξεις καθιστούν εφικτή τη σημαντική βελτίωση της πρόσφυσης σε υγρό οδόστρωμα πέραν των εν λόγω απαιτήσεων και, κατ’ επέκταση, τη μείωση των αποστάσεων πέδησης σε υγρό οδόστρωμα. Συνεπώς, για τη βελτίωση της οδικής ασφάλειας κρίνεται σκόπιμη η επικαιροποίηση των διατάξεων για τη σήμανση ελαστικών που ενθαρρύνουν τους τελικούς χρήστες να αγοράζουν ελαστικά επίσωτρα με υψηλές επιδόσεις πρόσφυσης σε υγρό οδόστρωμα, παρέχοντας εναρμονισμένες πληροφορίες σχετικά με αυτή την παράμετρο.</w:t>
      </w:r>
    </w:p>
    <w:p>
      <w:pPr>
        <w:pStyle w:val="ManualConsidrant"/>
        <w:rPr>
          <w:noProof/>
        </w:rPr>
      </w:pPr>
      <w:r>
        <w:t>(11)</w:t>
      </w:r>
      <w:r>
        <w:tab/>
      </w:r>
      <w:r>
        <w:rPr>
          <w:noProof/>
        </w:rPr>
        <w:t>Για να διασφαλίζεται η εναρμόνιση με το διεθνές πλαίσιο, ο κανονισμός (ΕΚ) αριθ. 661/2009 παραπέμπει στον κανονισμό αριθ. 117 της Οικονομικής Eπιτροπής των Ηνωμένων Εθνών για την Ευρώπη (ΟΕΕ/ΗΕ)</w:t>
      </w:r>
      <w:r>
        <w:rPr>
          <w:rStyle w:val="FootnoteReference"/>
          <w:noProof/>
        </w:rPr>
        <w:footnoteReference w:id="15"/>
      </w:r>
      <w:r>
        <w:rPr>
          <w:noProof/>
        </w:rPr>
        <w:t>, που περιλαμβάνει τις σχετικές μεθόδους μέτρησης των επιδόσεων αντίστασης κύλισης, θορύβου και πρόσφυσης των ελαστικών σε υγρό οδόστρωμα και στο χιόνι.</w:t>
      </w:r>
    </w:p>
    <w:p>
      <w:pPr>
        <w:pStyle w:val="ManualConsidrant"/>
        <w:rPr>
          <w:noProof/>
        </w:rPr>
      </w:pPr>
      <w:r>
        <w:t>(12)</w:t>
      </w:r>
      <w:r>
        <w:tab/>
      </w:r>
      <w:r>
        <w:rPr>
          <w:noProof/>
        </w:rPr>
        <w:t>Για να παρέχονται στους τελικούς χρήστες πληροφορίες σχετικά με τις επιδόσεις των ελαστικών που έχουν σχεδιαστεί ειδικά για συνθήκες χιονιού και πάγου, κρίνεται σκόπιμο να απαιτηθεί να περιλαμβάνονται στη σήμανση απαιτήσεις παροχής πληροφοριών για τα ελαστικά χιονιού και πάγου.</w:t>
      </w:r>
    </w:p>
    <w:p>
      <w:pPr>
        <w:pStyle w:val="ManualConsidrant"/>
        <w:rPr>
          <w:noProof/>
        </w:rPr>
      </w:pPr>
      <w:r>
        <w:t>(13)</w:t>
      </w:r>
      <w:r>
        <w:tab/>
      </w:r>
      <w:r>
        <w:rPr>
          <w:noProof/>
        </w:rPr>
        <w:t>Η φθορά των ελαστικών κατά τη χρήση είναι σημαντική πηγή μικροπλαστικών, τα οποία είναι επιβλαβή για το περιβάλλον και, ως εκ τούτου, η ανακοίνωση της Επιτροπής «Ευρωπαϊκή στρατηγική για τις πλαστικές ύλες σε μια κυκλική οικονομία»</w:t>
      </w:r>
      <w:r>
        <w:rPr>
          <w:rStyle w:val="FootnoteReference"/>
          <w:noProof/>
        </w:rPr>
        <w:footnoteReference w:id="16"/>
      </w:r>
      <w:r>
        <w:rPr>
          <w:noProof/>
        </w:rPr>
        <w:t xml:space="preserve"> αναφέρει την ανάγκη αντιμετώπισης της ακούσιας ελευθέρωσης μικροπλαστικών από τα ελαστικά, μεταξύ άλλων με μέτρα πληροφόρησης όπως η σήμανση και οι ελάχιστες απαιτήσεις για ελαστικά. Ωστόσο, δεν υπάρχει ακόμα κατάλληλη μέθοδος δοκιμής για τη μέτρηση της αντοχής των ελαστικών στη φθορά. Ως εκ τούτου, η Επιτροπή θα πρέπει να αναθέσει την ανάπτυξη μιας τέτοιας μεθόδου, λαμβάνοντας υπόψη συνολικά όλα τα προηγμένα διεθνώς εκπονηθέντα ή προταθέντα πρότυπα ή κανονισμούς, με στόχο την εκπόνηση κατάλληλης μεθόδου δοκιμής το συντομότερο δυνατό.</w:t>
      </w:r>
    </w:p>
    <w:p>
      <w:pPr>
        <w:pStyle w:val="ManualConsidrant"/>
        <w:rPr>
          <w:noProof/>
        </w:rPr>
      </w:pPr>
      <w:r>
        <w:t>(14)</w:t>
      </w:r>
      <w:r>
        <w:tab/>
      </w:r>
      <w:r>
        <w:rPr>
          <w:noProof/>
        </w:rPr>
        <w:t>Τα αναγομωμένα ελαστικά αποτελούν σημαντικό μέρος της αγοράς ελαστικών για βαρέα επαγγελματικά οχήματα. Η αναγόμωση των ελαστικών παρατείνει τη ζωή τους και συμβάλλει στην επίτευξη των στόχων της κυκλικής οικονομίας, όπως η μείωση των αποβλήτων. Η εφαρμογή απαιτήσεων σήμανσης σε αυτά τα ελαστικά θα επιφέρει σημαντική εξοικονόμηση ενέργειας. Ωστόσο, καθώς η κατάλληλη μέθοδος δοκιμής για τη μέτρηση των επιδόσεων των αναγομωμένων ελαστικών δεν είναι ακόμα διαθέσιμη, ο παρών κανονισμός θα πρέπει να προβλέπει τη μελλοντική ενσωμάτωσή της.</w:t>
      </w:r>
    </w:p>
    <w:p>
      <w:pPr>
        <w:pStyle w:val="ManualConsidrant"/>
        <w:rPr>
          <w:noProof/>
        </w:rPr>
      </w:pPr>
      <w:r>
        <w:t>(15)</w:t>
      </w:r>
      <w:r>
        <w:tab/>
      </w:r>
      <w:r>
        <w:rPr>
          <w:noProof/>
        </w:rPr>
        <w:t>Η ενεργειακή σήμανση σύμφωνα με τον κανονισμό (ΕΕ) 2017/1369 του Ευρωπαϊκού Κοινοβουλίου και του Συμβουλίου</w:t>
      </w:r>
      <w:r>
        <w:rPr>
          <w:rStyle w:val="FootnoteReference"/>
          <w:noProof/>
        </w:rPr>
        <w:footnoteReference w:id="17"/>
      </w:r>
      <w:r>
        <w:rPr>
          <w:noProof/>
        </w:rPr>
        <w:t xml:space="preserve">, η οποία κατατάσσει την κατανάλωση ενέργειας των προϊόντων σε μια κλίμακα από το A έως το G, αναγνωρίζεται από περισσότερο από το 85 % των καταναλωτών της Ένωσης και έχει αποδειχτεί αποτελεσματική στην προώθηση αποδοτικότερων προϊόντων. Για τη σήμανση των ελαστικών θα πρέπει να </w:t>
      </w:r>
      <w:r>
        <w:rPr>
          <w:noProof/>
        </w:rPr>
        <w:lastRenderedPageBreak/>
        <w:t>εξακολουθήσει να χρησιμοποιείται το ίδιο σχέδιο, στο μέτρο του δυνατού, αναγνωρίζοντας ταυτόχρονα τις ιδιαιτερότητες των παραμέτρων των ελαστικών.</w:t>
      </w:r>
    </w:p>
    <w:p>
      <w:pPr>
        <w:pStyle w:val="ManualConsidrant"/>
        <w:rPr>
          <w:noProof/>
        </w:rPr>
      </w:pPr>
      <w:r>
        <w:t>(16)</w:t>
      </w:r>
      <w:r>
        <w:tab/>
      </w:r>
      <w:r>
        <w:rPr>
          <w:noProof/>
        </w:rPr>
        <w:t xml:space="preserve">Η παροχή συγκρίσιμων πληροφοριών σχετικά με τις παραμέτρους των ελαστικών επισώτρων υπό μορφή τυποποιημένης σήμανσης ενδέχεται να επηρεάσει τις αποφάσεις αγοράς των τελικών χρηστών υπέρ ασφαλέστερων, πιο αθόρυβων και οικονομικότερων σε καύσιμα ελαστικών επισώτρων. Αυτό μπορεί αντίστοιχα να ενθαρρύνει τους κατασκευαστές ελαστικών επισώτρων να βελτιστοποιήσουν τις συγκεκριμένες παραμέτρους, γεγονός το οποίο αναμένεται να προετοιμάσει το έδαφος για βιωσιμότερη κατανάλωση και παραγωγή. </w:t>
      </w:r>
    </w:p>
    <w:p>
      <w:pPr>
        <w:pStyle w:val="ManualConsidrant"/>
        <w:rPr>
          <w:noProof/>
        </w:rPr>
      </w:pPr>
      <w:r>
        <w:t>(17)</w:t>
      </w:r>
      <w:r>
        <w:tab/>
      </w:r>
      <w:r>
        <w:rPr>
          <w:noProof/>
        </w:rPr>
        <w:t>Η ανάγκη για ευρύτερη πληροφόρηση σχετικά με την εξοικονόμηση καυσίμου των ελαστικών επισώτρων και άλλες παραμέτρους αφορά όλους τους τελικούς χρήστες, συμπεριλαμβανομένων των αγοραστών ανταλλακτικών ελαστικών, των αγοραστών ελαστικών που τοποθετούνται σε καινούργια οχήματα και των διαχειριστών στόλων και των επιχειρήσεων μεταφορών, οι οποίοι δεν μπορούν εύκολα να συγκρίνουν τις παραμέτρους διαφορετικών εμπορικών ονομασιών ελαστικών επισώτρων, απουσία καθεστώτος σήμανσης και εναρμονισμένων δοκιμών. Ως εκ τούτου, κρίνεται σκόπιμο να απαιτείται πάντοτε η σήμανση των ελαστικών που παραδίδονται με τα οχήματα.</w:t>
      </w:r>
    </w:p>
    <w:p>
      <w:pPr>
        <w:pStyle w:val="ManualConsidrant"/>
        <w:rPr>
          <w:noProof/>
        </w:rPr>
      </w:pPr>
      <w:r>
        <w:t>(18)</w:t>
      </w:r>
      <w:r>
        <w:tab/>
      </w:r>
      <w:r>
        <w:rPr>
          <w:noProof/>
        </w:rPr>
        <w:t>Προς το παρόν οι σημάνσεις απαιτούνται ρητώς για τα ελαστικά αυτοκινήτων (ελαστικά της κατηγορίας C1) και φορτηγών (ελαστικά της κατηγορίας C2), αλλά δεν απαιτούνται για βαρέα επαγγελματικά οχήματα (ελαστικά της κατηγορίας C3). Τα ελαστικά της κατηγορίας C3 καταναλώνουν περισσότερα καύσιμα και καλύπτουν περισσότερα χιλιόμετρα ετησίως σε σχέση με τα ελαστικά των κατηγοριών C1 και C2 και, ως εκ τούτου, υπάρχουν βάσιμες πιθανότητες μείωσης της κατανάλωσης καυσίμων και εκπομπών από βαρέα επαγγελματικά οχήματα.</w:t>
      </w:r>
    </w:p>
    <w:p>
      <w:pPr>
        <w:pStyle w:val="ManualConsidrant"/>
        <w:rPr>
          <w:noProof/>
        </w:rPr>
      </w:pPr>
      <w:r>
        <w:t>(19)</w:t>
      </w:r>
      <w:r>
        <w:tab/>
      </w:r>
      <w:r>
        <w:rPr>
          <w:noProof/>
        </w:rPr>
        <w:t>Η πλήρης ενσωμάτωση των ελαστικών της κατηγορίας C3 στο πεδίο εφαρμογής του παρόντος κανονισμού εναρμονίζεται επίσης με την πρόταση κανονισμού της Επιτροπής για την παρακολούθηση και τη δήλωση των εκπομπών CO</w:t>
      </w:r>
      <w:r>
        <w:rPr>
          <w:noProof/>
          <w:vertAlign w:val="subscript"/>
        </w:rPr>
        <w:t>2</w:t>
      </w:r>
      <w:r>
        <w:rPr>
          <w:noProof/>
        </w:rPr>
        <w:t xml:space="preserve"> και της κατανάλωσης καυσίμου από τα νέα βαρέα οχήματα</w:t>
      </w:r>
      <w:r>
        <w:rPr>
          <w:rStyle w:val="FootnoteReference"/>
          <w:noProof/>
        </w:rPr>
        <w:footnoteReference w:id="18"/>
      </w:r>
      <w:r>
        <w:rPr>
          <w:noProof/>
        </w:rPr>
        <w:t xml:space="preserve"> και την πρόταση της Επιτροπής για πρότυπα εκπομπών CO</w:t>
      </w:r>
      <w:r>
        <w:rPr>
          <w:noProof/>
          <w:vertAlign w:val="subscript"/>
        </w:rPr>
        <w:t>2</w:t>
      </w:r>
      <w:r>
        <w:rPr>
          <w:noProof/>
        </w:rPr>
        <w:t xml:space="preserve"> για τα βαρέα οχήματα</w:t>
      </w:r>
      <w:r>
        <w:rPr>
          <w:rStyle w:val="FootnoteReference"/>
          <w:noProof/>
        </w:rPr>
        <w:footnoteReference w:id="19"/>
      </w:r>
      <w:r>
        <w:rPr>
          <w:noProof/>
        </w:rPr>
        <w:t xml:space="preserve">. </w:t>
      </w:r>
    </w:p>
    <w:p>
      <w:pPr>
        <w:pStyle w:val="ManualConsidrant"/>
        <w:rPr>
          <w:noProof/>
        </w:rPr>
      </w:pPr>
      <w:r>
        <w:t>(20)</w:t>
      </w:r>
      <w:r>
        <w:tab/>
      </w:r>
      <w:r>
        <w:rPr>
          <w:noProof/>
        </w:rPr>
        <w:t>Πολλοί τελικοί χρήστες λαμβάνουν αποφάσεις για αγορά ελαστικών χωρίς να βλέπουν στην πραγματικότητα το ελαστικό και, επομένως, χωρίς να βλέπουν τη σήμανση που έχει τοποθετηθεί. Σε όλες τις περιπτώσεις, η σήμανση θα πρέπει να επιδεικνύεται στον τελικό χρήστη πριν λάβει την τελική απόφαση αγοράς. Η τοποθέτηση σήμανσης στα ελαστικά επίσωτρα στο σημείο πώλησης, καθώς και στο τεχνικό διαφημιστικό υλικό, αναμένεται να διασφαλίσει την παροχή στους διανομείς καθώς και στους δυνητικούς τελικούς χρήστες εναρμονισμένων πληροφοριών σχετικά με τις συναφείς παραμέτρους των ελαστικών κατά τον χρόνο και στον τόπο όπου λαμβάνεται η απόφαση αγοράς.</w:t>
      </w:r>
    </w:p>
    <w:p>
      <w:pPr>
        <w:pStyle w:val="ManualConsidrant"/>
        <w:rPr>
          <w:noProof/>
        </w:rPr>
      </w:pPr>
      <w:r>
        <w:t>(21)</w:t>
      </w:r>
      <w:r>
        <w:tab/>
      </w:r>
      <w:r>
        <w:rPr>
          <w:noProof/>
        </w:rPr>
        <w:t xml:space="preserve">Μερικοί τελικοί χρήστες επιλέγουν ελαστικά επίσωτρα πριν φτάσουν στο σημείο πώλησης ή τα αγοράζουν μέσω ταχυδρομικής παραγγελίας ή μέσω διαδικτύου. Για να διασφαλιστεί ότι οι εν λόγω τελικοί χρήστες μπορούν επίσης να προβαίνουν σε τεκμηριωμένες επιλογές βάσει εναρμονισμένων πληροφοριών σχετικά με την εξοικονόμηση καυσίμου των ελαστικών επισώτρων, τις επιδόσεις πρόσφυσης σε υγρό οδόστρωμα, τον εξωτερικό θόρυβο κύλισης και άλλες παραμέτρους, η σήμανση θα </w:t>
      </w:r>
      <w:r>
        <w:rPr>
          <w:noProof/>
        </w:rPr>
        <w:lastRenderedPageBreak/>
        <w:t xml:space="preserve">πρέπει να εμφανίζεται σε κάθε τεχνικό διαφημιστικό υλικό, συμπεριλαμβανομένων των ιστοτόπων όπου διατίθεται το υλικό αυτό. </w:t>
      </w:r>
    </w:p>
    <w:p>
      <w:pPr>
        <w:pStyle w:val="ManualConsidrant"/>
        <w:rPr>
          <w:noProof/>
        </w:rPr>
      </w:pPr>
      <w:r>
        <w:t>(22)</w:t>
      </w:r>
      <w:r>
        <w:tab/>
      </w:r>
      <w:r>
        <w:rPr>
          <w:noProof/>
        </w:rPr>
        <w:t xml:space="preserve">Στους δυνητικούς τελικούς χρήστες θα πρέπει να παρέχονται πληροφορίες οι οποίες να επεξηγούν κάθε στοιχείο της σήμανσης και τη σημασία του. Οι εν λόγω πληροφορίες θα πρέπει να παρέχονται στο τεχνικό διαφημιστικό υλικό, π.χ. στους ιστοτόπους των προμηθευτών. </w:t>
      </w:r>
    </w:p>
    <w:p>
      <w:pPr>
        <w:pStyle w:val="ManualConsidrant"/>
        <w:rPr>
          <w:noProof/>
        </w:rPr>
      </w:pPr>
      <w:r>
        <w:t>(23)</w:t>
      </w:r>
      <w:r>
        <w:tab/>
      </w:r>
      <w:r>
        <w:rPr>
          <w:noProof/>
        </w:rPr>
        <w:t>Η εξοικονόμηση καυσίμου, οι επιδόσεις πρόσφυσης σε υγρό οδόστρωμα, ο εξωτερικός θόρυβος κύλισης και άλλες παράμετροι σχετικά με τα ελαστικά θα πρέπει να υπολογίζονται με τη χρήση αξιόπιστων, επακριβών και αναπαραγώγιμων μεθόδων που λαμβάνουν υπόψη τις γενικώς αναγνωρισμένες προηγμένες μεθόδους μέτρησης και υπολογισμού. Οι εν λόγω μέθοδοι θα πρέπει, στο μέτρο του δυνατού, να αντικατοπτρίζουν τη συμπεριφορά του μέσου καταναλωτή και να χαρακτηρίζονται από αυστηρότητα, ώστε να αποτρέπουν την εκούσια ή ακούσια καταστρατήγηση. Στις σημάνσεις των ελαστικών θα πρέπει να αναγράφονται οι συγκριτικές επιδόσεις της πραγματικής χρήσης των ελαστικών, στο πλαίσιο των περιορισμών που οφείλονται στην ανάγκη αξιόπιστων, επακριβών και αναπαραγώγιμων εργαστηριακών δοκιμών, προκειμένου να παρέχεται στους τελικούς χρήστες η δυνατότητα να συγκρίνουν διαφορετικά ελαστικά επίσωτρα και να περιορίζεται έτσι το κόστος δοκιμών για τους κατασκευαστές.</w:t>
      </w:r>
    </w:p>
    <w:p>
      <w:pPr>
        <w:pStyle w:val="ManualConsidrant"/>
        <w:rPr>
          <w:noProof/>
        </w:rPr>
      </w:pPr>
      <w:r>
        <w:t>(24)</w:t>
      </w:r>
      <w:r>
        <w:tab/>
      </w:r>
      <w:r>
        <w:rPr>
          <w:noProof/>
        </w:rPr>
        <w:t>Η συμμόρφωση προμηθευτών και διανομέων προς τις διατάξεις σχετικά με τη σήμανση των ελαστικών είναι ουσιώδους σημασίας για τη διασφάλιση ισότιμων όρων ανταγωνισμού εντός της Ένωσης. Τα κράτη μέλη θα πρέπει, ως εκ τούτου, να παρακολουθούν τη συμμόρφωση μέσω εποπτείας της αγοράς και τακτικών εκ των υστέρων ελέγχων, σύμφωνα με τον κανονισμό (ΕΚ) αριθ. 765/2008 του Ευρωπαϊκού Κοινοβουλίου και του Συμβουλίου</w:t>
      </w:r>
      <w:r>
        <w:rPr>
          <w:rStyle w:val="FootnoteReference"/>
          <w:noProof/>
        </w:rPr>
        <w:footnoteReference w:id="20"/>
      </w:r>
      <w:r>
        <w:rPr>
          <w:noProof/>
        </w:rPr>
        <w:t>.</w:t>
      </w:r>
    </w:p>
    <w:p>
      <w:pPr>
        <w:pStyle w:val="ManualConsidrant"/>
        <w:rPr>
          <w:noProof/>
        </w:rPr>
      </w:pPr>
      <w:r>
        <w:t>(25)</w:t>
      </w:r>
      <w:r>
        <w:tab/>
      </w:r>
      <w:r>
        <w:rPr>
          <w:noProof/>
        </w:rPr>
        <w:t>Για να διευκολυνθεί η παρακολούθηση της συμμόρφωσης, να παρέχεται ένα χρήσιμο εργαλείο στους τελικούς χρήστες και να δοθούν στους εμπόρους εναλλακτικοί τρόποι λήψης δελτίων πληροφοριών προϊόντος, τα ελαστικά θα πρέπει να περιλαμβάνονται στη βάση δεδομένων προϊόντων που δημιουργήθηκε δυνάμει του κανονισμού (ΕΕ) 2017/1369. Κατά συνέπεια, ο κανονισμός (ΕΕ) 2017/1369 θα πρέπει να τροποποιηθεί αναλόγως.</w:t>
      </w:r>
    </w:p>
    <w:p>
      <w:pPr>
        <w:pStyle w:val="ManualConsidrant"/>
        <w:rPr>
          <w:noProof/>
        </w:rPr>
      </w:pPr>
      <w:r>
        <w:t>(26)</w:t>
      </w:r>
      <w:r>
        <w:tab/>
      </w:r>
      <w:r>
        <w:rPr>
          <w:noProof/>
        </w:rPr>
        <w:t>Με την επιφύλαξη των υποχρεώσεων των κρατών μελών για εποπτεία της αγοράς και των υποχρεώσεων του προμηθευτή να ελέγχει τη συμμόρφωση του προϊόντος, οι προμηθευτές θα πρέπει να θέτουν στη βάση δεδομένων προϊόντων ηλεκτρονικώς τις απαιτούμενες πληροφορίες για τη συμμόρφωση του προϊόντος.</w:t>
      </w:r>
    </w:p>
    <w:p>
      <w:pPr>
        <w:pStyle w:val="ManualConsidrant"/>
        <w:rPr>
          <w:noProof/>
        </w:rPr>
      </w:pPr>
      <w:r>
        <w:t>(27)</w:t>
      </w:r>
      <w:r>
        <w:tab/>
      </w:r>
      <w:r>
        <w:rPr>
          <w:noProof/>
        </w:rPr>
        <w:t>Για να διατηρηθεί η εμπιστοσύνη των τελικών χρηστών στη σήμανση των ελαστικών, δεν θα πρέπει να επιτρέπονται άλλες σημάνσεις που την απομιμούνται. Τυχόν συμπληρωματικές σημάνσεις, σήματα, σύμβολα ή επιγραφές που ενδέχεται να παραπλανήσουν ή να προκαλέσουν σύγχυση στους τελικούς χρήστες όσον αφορά τις παραμέτρους που καλύπτονται από τη σήμανση των ελαστικών δεν θα πρέπει να επιτρέπονται, για τον ίδιο λόγο.</w:t>
      </w:r>
    </w:p>
    <w:p>
      <w:pPr>
        <w:pStyle w:val="ManualConsidrant"/>
        <w:rPr>
          <w:noProof/>
        </w:rPr>
      </w:pPr>
      <w:r>
        <w:lastRenderedPageBreak/>
        <w:t>(28)</w:t>
      </w:r>
      <w:r>
        <w:tab/>
      </w:r>
      <w:r>
        <w:rPr>
          <w:noProof/>
        </w:rPr>
        <w:t>Οι κυρώσεις που επιβάλλονται για παραβιάσεις των διατάξεων του παρόντος κανονισμού και των κατ’ εξουσιοδότηση πράξεων που εκδίδονται δυνάμει αυτού θα πρέπει να είναι αποτελεσματικές, αναλογικές και αποτρεπτικές.</w:t>
      </w:r>
    </w:p>
    <w:p>
      <w:pPr>
        <w:pStyle w:val="ManualConsidrant"/>
        <w:rPr>
          <w:noProof/>
        </w:rPr>
      </w:pPr>
      <w:r>
        <w:t>(29)</w:t>
      </w:r>
      <w:r>
        <w:tab/>
      </w:r>
      <w:r>
        <w:rPr>
          <w:noProof/>
        </w:rPr>
        <w:t>Για την προώθηση της ενεργειακής απόδοσης, του μετριασμού της κλιματικής αλλαγής και της προστασίας του περιβάλλοντος, τα κράτη μέλη θα πρέπει να μπορούν να δημιουργούν κίνητρα για τη χρήση ενεργειακά αποδοτικών προϊόντων. Τα κράτη μέλη μπορούν να αποφασίζουν ελεύθερα τον χαρακτήρα αυτών των κινήτρων. Τα κίνητρα αυτά θα πρέπει να συμμορφώνονται με τους κανόνες της Ένωσης για τις κρατικές ενισχύσεις και δεν θα πρέπει να δημιουργούν αδικαιολόγητους φραγμούς στην αγορά. Ο παρών κανονισμός δεν προδικάζει το αποτέλεσμα οποιασδήποτε μελλοντικής διαδικασίας για κρατικές ενισχύσεις, η οποία είναι δυνατόν να κινηθεί σύμφωνα με τα άρθρα 107 και 108 της Συνθήκης για τη λειτουργία της Ευρωπαϊκής Ένωσης (ΣΛΕΕ), όσον αφορά τα εν λόγω κίνητρα.</w:t>
      </w:r>
    </w:p>
    <w:p>
      <w:pPr>
        <w:pStyle w:val="ManualConsidrant"/>
        <w:rPr>
          <w:noProof/>
        </w:rPr>
      </w:pPr>
      <w:r>
        <w:t>(30)</w:t>
      </w:r>
      <w:r>
        <w:tab/>
      </w:r>
      <w:r>
        <w:rPr>
          <w:noProof/>
        </w:rPr>
        <w:t>Για την τροποποίηση του περιεχομένου και της μορφής της σήμανσης, τη θέσπιση απαιτήσεων όσον αφορά τα αναγομωμένα ελαστικά, την αντοχή στη φθορά και το χιλιομετρικό προσδόκιμο, καθώς και την προσαρμογή των παραστημάτων στην τεχνική πρόοδο, η εξουσία έκδοσης πράξεων σύμφωνα με το άρθρο 290 της Συνθήκης για τη λειτουργία της Ευρωπαϊκής Ένωσης θα πρέπει να ανατίθεται στην Επιτροπή. Είναι ιδιαίτερα σημαντικό η Επιτροπή να διεξάγει, κατά τις προπαρασκευαστικές εργασίες της, τις κατάλληλες διαβουλεύσεις, μεταξύ άλλων και σε επίπεδο εμπειρογνωμόνων, οι δε διαβουλεύσεις να πραγματοποιούνται σύμφωνα με τις αρχές που ορίζονται στη διοργανική συμφωνία της 13ης Απριλίου 2016 για τη βελτίωση του νομοθετικού έργου</w:t>
      </w:r>
      <w:r>
        <w:rPr>
          <w:rStyle w:val="FootnoteReference"/>
          <w:noProof/>
        </w:rPr>
        <w:footnoteReference w:id="21"/>
      </w:r>
      <w:r>
        <w:rPr>
          <w:noProof/>
        </w:rPr>
        <w:t>. Πιο συγκεκριμένα, προκειμένου να εξασφαλιστεί η ισότιμη συμμετοχή στην προετοιμασία των κατ’ εξουσιοδότηση πράξεων, το Ευρωπαϊκό Κοινοβούλιο και το Συμβούλιο θα πρέπει να λαμβάνουν όλα τα έγγραφα κατά τον ίδιο χρόνο με τους εμπειρογνώμονες των κρατών μελών, και οι εμπειρογνώμονές τους θα πρέπει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t>(31)</w:t>
      </w:r>
      <w:r>
        <w:tab/>
      </w:r>
      <w:r>
        <w:rPr>
          <w:noProof/>
        </w:rPr>
        <w:t>Δεν θα πρέπει να υφίσταται ανάγκη νέας σήμανσης των ελαστικών τα οποία είχαν ήδη διατεθεί στην αγορά πριν την ημερομηνία εφαρμογής των απαιτήσεων που περιλαμβάνονται στον παρόντα κανονισμό.</w:t>
      </w:r>
    </w:p>
    <w:p>
      <w:pPr>
        <w:pStyle w:val="ManualConsidrant"/>
        <w:rPr>
          <w:noProof/>
        </w:rPr>
      </w:pPr>
      <w:r>
        <w:t>(32)</w:t>
      </w:r>
      <w:r>
        <w:tab/>
      </w:r>
      <w:r>
        <w:rPr>
          <w:noProof/>
        </w:rPr>
        <w:t xml:space="preserve">Προκειμένου να ενισχυθεί η εμπιστοσύνη στη σήμανση και να διασφαλιστεί η ακρίβειά της, η δήλωση των προμηθευτών στη σήμανση όσον αφορά τις τιμές της αντίστασης κύλισης, της πρόσφυσης σε υγρό οδόστρωμα και του θορύβου θα πρέπει να υπόκεινται στη διαδικασία έγκρισης τύπου που προβλέπεται στον κανονισμό (ΕΚ) αριθ. 661/2009. </w:t>
      </w:r>
    </w:p>
    <w:p>
      <w:pPr>
        <w:pStyle w:val="ManualConsidrant"/>
        <w:rPr>
          <w:noProof/>
        </w:rPr>
      </w:pPr>
      <w:r>
        <w:t>(33)</w:t>
      </w:r>
      <w:r>
        <w:tab/>
      </w:r>
      <w:r>
        <w:rPr>
          <w:noProof/>
        </w:rPr>
        <w:t>Η Επιτροπή θα πρέπει να διενεργήσει αξιολόγηση του παρόντος κανονισμού. Σύμφωνα με την παράγραφο 22 της διοργανικής συμφωνίας μεταξύ του Ευρωπαϊκού Κοινοβουλίου, του Συμβουλίου της Ευρωπαϊκής Ένωσης και της Ευρωπαϊκής Επιτροπής, της 13ης Απριλίου 2016, για τη βελτίωση του νομοθετικού έργου, η εν λόγω αξιολόγηση θα πρέπει να βασίζεται στα πέντε κριτήρια της αποδοτικότητας, της αποτελεσματικότητας, της συνάφειας και της συνοχής και στην προστιθέμενη αξία της ΕΕ, και θα πρέπει να παρέχει τη βάση για εκτιμήσεις επιπτώσεων πιθανών πρόσθετων μέτρων.</w:t>
      </w:r>
    </w:p>
    <w:p>
      <w:pPr>
        <w:pStyle w:val="ManualConsidrant"/>
        <w:rPr>
          <w:noProof/>
        </w:rPr>
      </w:pPr>
      <w:r>
        <w:lastRenderedPageBreak/>
        <w:t>(34)</w:t>
      </w:r>
      <w:r>
        <w:tab/>
      </w:r>
      <w:r>
        <w:rPr>
          <w:noProof/>
        </w:rPr>
        <w:t xml:space="preserve">Δεδομένου ότι οι στόχοι του παρόντος κανονισμού, ήτοι η αύξηση της ασφάλειας και η οικονομική και περιβαλλοντική αποδοτικότητα των οδικών μεταφορών με την παροχή πληροφοριών στους τελικούς χρήστες ώστε να έχουν τη δυνατότητα να επιλέγουν ασφαλέστερα και χαμηλότερης κατανάλωσης καυσίμων ελαστικά που εκπέμπουν λιγότερο θόρυβο, δεν μπορούν να επιτευχθούν επαρκώς από τα κράτη μέλη, επειδή απαιτούνται εναρμονισμένες πληροφορίες για τους τελικούς χρήστες, μπορούν όμως, βάσει ενός εναρμονισμένου κανονιστικού πλαισίου και με τη διασφάλιση ισότιμων όρων ανταγωνισμού για τους κατασκευαστές, να επιτευχθούν καλύτερα σε ενωσιακό επίπεδο, η Ένωση δύναται να θεσπίσει μέτρα, σύμφωνα με την αρχή της επικουρικότητας όπως ορίζεται στο άρθρο 5 της Συνθήκης για την Ευρωπαϊκή Ένωση. Ο κανονισμός εξακολουθεί να αποτελεί το κατάλληλο νομικό μέσο, καθώς επιβάλλει σαφείς και λεπτομερείς κανόνες που αποκλείουν τυχόν αποκλίσεις κατά τη μεταφορά στο εθνικό δίκαιο των κρατών μελών, διασφαλίζοντας έτσι υψηλότερο βαθμό εναρμόνισης σε ολόκληρη την Ένωση. Το εναρμονισμένο κανονιστικό πλαίσιο σε επίπεδο Ένωσης αντί σε επίπεδο κράτους μέλους μειώνει το κόστος για τους προμηθευτές, εξασφαλίζει ισότιμους όρους ανταγωνισμού και εξασφαλίζει την ελεύθερη κυκλοφορία των εμπορευμάτων στην εσωτερική αγορά. Σύμφωνα με την αρχή της αναλογικότητας του ιδίου άρθρου, ο παρών κανονισμός δεν υπερβαίνει όσα είναι αναγκαία για την επίτευξη των εν λόγω στόχων. </w:t>
      </w:r>
    </w:p>
    <w:p>
      <w:pPr>
        <w:pStyle w:val="ManualConsidrant"/>
        <w:rPr>
          <w:noProof/>
        </w:rPr>
      </w:pPr>
      <w:r>
        <w:t>(35)</w:t>
      </w:r>
      <w:r>
        <w:tab/>
      </w:r>
      <w:r>
        <w:rPr>
          <w:noProof/>
        </w:rPr>
        <w:t xml:space="preserve">Συνεπώς, ο κανονισμός (ΕΚ) αριθ. 1222/2009 θα πρέπει να καταργηθεί. </w:t>
      </w:r>
    </w:p>
    <w:p>
      <w:pPr>
        <w:pStyle w:val="Formuledadoption"/>
        <w:rPr>
          <w:noProof/>
        </w:rPr>
      </w:pPr>
      <w:r>
        <w:rPr>
          <w:noProof/>
        </w:rPr>
        <w:t>ΕΞΕΔΩΣΑΝ ΤΟΝ ΠΑΡΟΝΤΑ ΚΑΝΟΝΙΣΜΟ:</w:t>
      </w:r>
    </w:p>
    <w:p>
      <w:pPr>
        <w:pStyle w:val="Titrearticle"/>
        <w:rPr>
          <w:b/>
          <w:i w:val="0"/>
          <w:noProof/>
        </w:rPr>
      </w:pPr>
      <w:r>
        <w:rPr>
          <w:noProof/>
        </w:rPr>
        <w:t>Άρθρο 1</w:t>
      </w:r>
      <w:r>
        <w:rPr>
          <w:noProof/>
        </w:rPr>
        <w:br/>
      </w:r>
      <w:r>
        <w:rPr>
          <w:b/>
          <w:i w:val="0"/>
          <w:noProof/>
        </w:rPr>
        <w:t>Σκοπός και αντικείμενο</w:t>
      </w:r>
    </w:p>
    <w:p>
      <w:pPr>
        <w:pStyle w:val="ManualNumPar1"/>
        <w:rPr>
          <w:noProof/>
        </w:rPr>
      </w:pPr>
      <w:r>
        <w:t>1.</w:t>
      </w:r>
      <w:r>
        <w:tab/>
      </w:r>
      <w:r>
        <w:rPr>
          <w:noProof/>
        </w:rPr>
        <w:t xml:space="preserve">Σκοπός του παρόντος κανονισμού είναι η αύξηση της ασφάλειας, η προστασία της υγείας και η οικονομική και περιβαλλοντική αποδοτικότητα των οδικών μεταφορών μέσω της προώθησης οικονομικών σε καύσιμα και ασφαλών ελαστικών επισώτρων με χαμηλά επίπεδα θορύβου. </w:t>
      </w:r>
    </w:p>
    <w:p>
      <w:pPr>
        <w:pStyle w:val="ManualNumPar1"/>
        <w:rPr>
          <w:noProof/>
        </w:rPr>
      </w:pPr>
      <w:r>
        <w:t>2.</w:t>
      </w:r>
      <w:r>
        <w:tab/>
      </w:r>
      <w:r>
        <w:rPr>
          <w:noProof/>
        </w:rPr>
        <w:t>Ο παρών κανονισμός καθορίζει το πλαίσιο παροχής εναρμονισμένων πληροφοριών για τις παραμέτρους των ελαστικών επισώτρων μέσω της σήμανσης, δίνοντας στους καταναλωτές τη δυνατότητα να προβαίνουν σε τεκμηριωμένες επιλογές όταν αγοράζουν ελαστικά.</w:t>
      </w:r>
    </w:p>
    <w:p>
      <w:pPr>
        <w:pStyle w:val="Titrearticle"/>
        <w:rPr>
          <w:b/>
          <w:i w:val="0"/>
          <w:noProof/>
        </w:rPr>
      </w:pPr>
      <w:r>
        <w:rPr>
          <w:noProof/>
        </w:rPr>
        <w:t>Άρθρο 2</w:t>
      </w:r>
      <w:r>
        <w:rPr>
          <w:noProof/>
        </w:rPr>
        <w:br/>
      </w:r>
      <w:r>
        <w:rPr>
          <w:b/>
          <w:i w:val="0"/>
          <w:noProof/>
        </w:rPr>
        <w:t>Πεδίο εφαρμογής</w:t>
      </w:r>
    </w:p>
    <w:p>
      <w:pPr>
        <w:pStyle w:val="ManualNumPar1"/>
        <w:rPr>
          <w:noProof/>
        </w:rPr>
      </w:pPr>
      <w:r>
        <w:t>1.</w:t>
      </w:r>
      <w:r>
        <w:tab/>
      </w:r>
      <w:r>
        <w:rPr>
          <w:noProof/>
        </w:rPr>
        <w:t>Ο παρών κανονισμός εφαρμόζεται σε ελαστικά επίσωτρα των κατηγοριών C1, C2 και C3.</w:t>
      </w:r>
    </w:p>
    <w:p>
      <w:pPr>
        <w:pStyle w:val="ManualNumPar1"/>
        <w:rPr>
          <w:noProof/>
        </w:rPr>
      </w:pPr>
      <w:r>
        <w:t>2.</w:t>
      </w:r>
      <w:r>
        <w:tab/>
      </w:r>
      <w:r>
        <w:rPr>
          <w:noProof/>
        </w:rPr>
        <w:t>Ο παρών κανονισμός εφαρμόζεται επίσης σε αναγομωμένα ελαστικά εφόσον προστεθεί στα παραρτήματα μια κατάλληλη μέθοδος δοκιμής για τη μέτρηση των επιδόσεων αναγομωμένων ελαστικών με κατ’ εξουσιοδότηση πράξη σύμφωνα με το άρθρο 12.</w:t>
      </w:r>
    </w:p>
    <w:p>
      <w:pPr>
        <w:pStyle w:val="ManualNumPar1"/>
        <w:rPr>
          <w:noProof/>
        </w:rPr>
      </w:pPr>
      <w:r>
        <w:t>3.</w:t>
      </w:r>
      <w:r>
        <w:tab/>
      </w:r>
      <w:r>
        <w:rPr>
          <w:noProof/>
        </w:rPr>
        <w:t>Ο παρών κανονισμός δεν εφαρμόζεται σε:</w:t>
      </w:r>
    </w:p>
    <w:p>
      <w:pPr>
        <w:pStyle w:val="Point1"/>
        <w:rPr>
          <w:noProof/>
        </w:rPr>
      </w:pPr>
      <w:r>
        <w:rPr>
          <w:noProof/>
        </w:rPr>
        <w:t>α)</w:t>
      </w:r>
      <w:r>
        <w:rPr>
          <w:noProof/>
        </w:rPr>
        <w:tab/>
        <w:t>επαγγελματικά ελαστικά παντός εδάφους·</w:t>
      </w:r>
    </w:p>
    <w:p>
      <w:pPr>
        <w:pStyle w:val="Point1"/>
        <w:rPr>
          <w:noProof/>
        </w:rPr>
      </w:pPr>
      <w:r>
        <w:rPr>
          <w:noProof/>
        </w:rPr>
        <w:t>β)</w:t>
      </w:r>
      <w:r>
        <w:rPr>
          <w:noProof/>
        </w:rPr>
        <w:tab/>
        <w:t>ελαστικά σχεδιασμένα αποκλειστικά προκειμένου να τοποθετούνται σε οχήματα που ταξινομήθηκαν για πρώτη φορά πριν από την 1η Οκτωβρίου 1990·</w:t>
      </w:r>
    </w:p>
    <w:p>
      <w:pPr>
        <w:pStyle w:val="Point1"/>
        <w:rPr>
          <w:noProof/>
        </w:rPr>
      </w:pPr>
      <w:r>
        <w:rPr>
          <w:noProof/>
        </w:rPr>
        <w:lastRenderedPageBreak/>
        <w:t>γ)</w:t>
      </w:r>
      <w:r>
        <w:rPr>
          <w:noProof/>
        </w:rPr>
        <w:tab/>
        <w:t>εφεδρικά ελαστικά προσωρινής χρήσης τύπου Τ·</w:t>
      </w:r>
    </w:p>
    <w:p>
      <w:pPr>
        <w:pStyle w:val="Point1"/>
        <w:rPr>
          <w:noProof/>
        </w:rPr>
      </w:pPr>
      <w:r>
        <w:rPr>
          <w:noProof/>
        </w:rPr>
        <w:t>δ)</w:t>
      </w:r>
      <w:r>
        <w:rPr>
          <w:noProof/>
        </w:rPr>
        <w:tab/>
        <w:t>ελαστικά κατηγοριών ταχύτητας κάτω των 80 km/h·</w:t>
      </w:r>
    </w:p>
    <w:p>
      <w:pPr>
        <w:pStyle w:val="Point1"/>
        <w:rPr>
          <w:noProof/>
        </w:rPr>
      </w:pPr>
      <w:r>
        <w:rPr>
          <w:noProof/>
        </w:rPr>
        <w:t>ε)</w:t>
      </w:r>
      <w:r>
        <w:rPr>
          <w:noProof/>
        </w:rPr>
        <w:tab/>
        <w:t xml:space="preserve">ελαστικά των οποίων η ονομαστική διάμετρος σώτρου δεν υπερβαίνει τα 254 mm ή είναι 635 mm ή μεγαλύτερη· </w:t>
      </w:r>
    </w:p>
    <w:p>
      <w:pPr>
        <w:pStyle w:val="Point1"/>
        <w:rPr>
          <w:noProof/>
        </w:rPr>
      </w:pPr>
      <w:r>
        <w:rPr>
          <w:noProof/>
        </w:rPr>
        <w:t>στ)</w:t>
      </w:r>
      <w:r>
        <w:rPr>
          <w:noProof/>
        </w:rPr>
        <w:tab/>
        <w:t>ελαστικά εξοπλισμένα με πρόσθετα εξαρτήματα για τη βελτίωση των ιδιοτήτων πρόσφυσης, όπως τα ελαστικά με καρφιά·</w:t>
      </w:r>
    </w:p>
    <w:p>
      <w:pPr>
        <w:pStyle w:val="Point1"/>
        <w:rPr>
          <w:noProof/>
        </w:rPr>
      </w:pPr>
      <w:r>
        <w:rPr>
          <w:noProof/>
        </w:rPr>
        <w:t>ζ)</w:t>
      </w:r>
      <w:r>
        <w:rPr>
          <w:noProof/>
        </w:rPr>
        <w:tab/>
        <w:t>ελαστικά σχεδιασμένα για να τοποθετηθούν μόνον σε οχήματα προοριζόμενα αποκλειστικά για αγώνες.</w:t>
      </w:r>
    </w:p>
    <w:p>
      <w:pPr>
        <w:pStyle w:val="Titrearticle"/>
        <w:rPr>
          <w:b/>
          <w:i w:val="0"/>
          <w:noProof/>
        </w:rPr>
      </w:pPr>
      <w:r>
        <w:rPr>
          <w:noProof/>
        </w:rPr>
        <w:t>Άρθρο 3</w:t>
      </w:r>
      <w:r>
        <w:rPr>
          <w:noProof/>
        </w:rPr>
        <w:br/>
      </w:r>
      <w:r>
        <w:rPr>
          <w:b/>
          <w:i w:val="0"/>
          <w:noProof/>
        </w:rPr>
        <w:t>Ορισμοί</w:t>
      </w:r>
    </w:p>
    <w:p>
      <w:pPr>
        <w:rPr>
          <w:noProof/>
        </w:rPr>
      </w:pPr>
      <w:r>
        <w:rPr>
          <w:noProof/>
        </w:rPr>
        <w:t>Για τους σκοπούς του παρόντος κανονισμού ισχύουν οι ακόλουθοι ορισμοί:</w:t>
      </w:r>
    </w:p>
    <w:p>
      <w:pPr>
        <w:pStyle w:val="Point1number"/>
        <w:numPr>
          <w:ilvl w:val="2"/>
          <w:numId w:val="23"/>
        </w:numPr>
        <w:rPr>
          <w:noProof/>
        </w:rPr>
      </w:pPr>
      <w:r>
        <w:rPr>
          <w:noProof/>
        </w:rPr>
        <w:t>«ελαστικά κατηγοριών C1, C2 και C3»: οι κατηγορίες ελαστικών επισώτρων όπως ορίζονται στο άρθρο 8 του κανονισμού (ΕΚ) αριθ. 661/2009·</w:t>
      </w:r>
    </w:p>
    <w:p>
      <w:pPr>
        <w:pStyle w:val="Point1number"/>
        <w:numPr>
          <w:ilvl w:val="2"/>
          <w:numId w:val="23"/>
        </w:numPr>
        <w:rPr>
          <w:noProof/>
        </w:rPr>
      </w:pPr>
      <w:r>
        <w:rPr>
          <w:noProof/>
        </w:rPr>
        <w:t>«αναγομωμένο ελαστικό»: χρησιμοποιημένο ελαστικό που επιδιορθώνεται με αντικατάσταση του φθαρμένου πέλματος με νέο υλικό·</w:t>
      </w:r>
    </w:p>
    <w:p>
      <w:pPr>
        <w:pStyle w:val="Point1number"/>
        <w:numPr>
          <w:ilvl w:val="2"/>
          <w:numId w:val="23"/>
        </w:numPr>
        <w:rPr>
          <w:noProof/>
        </w:rPr>
      </w:pPr>
      <w:r>
        <w:rPr>
          <w:noProof/>
        </w:rPr>
        <w:t>«εφεδρικό ελαστικό προσωρινής χρήσης τύπου Τ»: τύπος εφεδρικού ελαστικού προσωρινής χρήσης που σχεδιάστηκε για να χρησιμοποιείται υπό εσωτερική πίεση υψηλότερη της καθιερωμένης για συνήθη και ενισχυμένα ελαστικά·</w:t>
      </w:r>
    </w:p>
    <w:p>
      <w:pPr>
        <w:pStyle w:val="Point1number"/>
        <w:numPr>
          <w:ilvl w:val="2"/>
          <w:numId w:val="23"/>
        </w:numPr>
        <w:rPr>
          <w:noProof/>
        </w:rPr>
      </w:pPr>
      <w:r>
        <w:rPr>
          <w:noProof/>
        </w:rPr>
        <w:t>«σήμανση»: ένα γραφικό διάγραμμα, είτε σε έντυπη είτε σε ηλεκτρονική μορφή, μεταξύ άλλων υπό μορφή αυτοκόλλητου, που περιλαμβάνει σύμβολα προκειμένου να ενημερωθούν οι τελικοί χρήστες για τις επιδόσεις ενός ελαστικού ή παρτίδας ελαστικών, όσον αφορά τις παραμέτρους που ορίζονται στο παράρτημα Ι·</w:t>
      </w:r>
    </w:p>
    <w:p>
      <w:pPr>
        <w:pStyle w:val="Point1number"/>
        <w:numPr>
          <w:ilvl w:val="2"/>
          <w:numId w:val="23"/>
        </w:numPr>
        <w:rPr>
          <w:noProof/>
        </w:rPr>
      </w:pPr>
      <w:r>
        <w:rPr>
          <w:noProof/>
        </w:rPr>
        <w:t>«σημείο πώλησης»: ο χώρος όπου τα ελαστικά εκτίθενται ή αποθηκεύονται και διατίθενται προς πώληση στους τελικούς χρήστες, συμπεριλαμβανομένων των εκθέσεων αυτοκινήτων, σε ό,τι αφορά ελαστικά που διατίθενται προς πώληση στους τελικούς χρήστες χωρίς να έχουν τοποθετηθεί στα οχήματα·</w:t>
      </w:r>
    </w:p>
    <w:p>
      <w:pPr>
        <w:pStyle w:val="Point1number"/>
        <w:numPr>
          <w:ilvl w:val="2"/>
          <w:numId w:val="23"/>
        </w:numPr>
        <w:rPr>
          <w:noProof/>
        </w:rPr>
      </w:pPr>
      <w:r>
        <w:rPr>
          <w:noProof/>
        </w:rPr>
        <w:t xml:space="preserve">«τεχνικό διαφημιστικό υλικό»: υλικό τεκμηρίωσης, σε έντυπη ή ηλεκτρονική μορφή, το οποίο παράγεται από τον προμηθευτή για να συμπληρώσει τυχόν διαφημιστικά έντυπα τουλάχιστον με τις τεχνικές πληροφορίες σύμφωνα με το παράρτημα V· </w:t>
      </w:r>
    </w:p>
    <w:p>
      <w:pPr>
        <w:pStyle w:val="Point1number"/>
        <w:numPr>
          <w:ilvl w:val="2"/>
          <w:numId w:val="23"/>
        </w:numPr>
        <w:rPr>
          <w:noProof/>
        </w:rPr>
      </w:pPr>
      <w:r>
        <w:rPr>
          <w:noProof/>
        </w:rPr>
        <w:t>«δελτίο πληροφοριών προϊόντος»: τυποποιημένο έγγραφο που περιλαμβάνει τις πληροφορίες που ορίζονται στο παράρτημα IV, σε έντυπη ή σε ηλεκτρονική μορφή·</w:t>
      </w:r>
    </w:p>
    <w:p>
      <w:pPr>
        <w:pStyle w:val="Point1number"/>
        <w:numPr>
          <w:ilvl w:val="2"/>
          <w:numId w:val="23"/>
        </w:numPr>
        <w:rPr>
          <w:noProof/>
        </w:rPr>
      </w:pPr>
      <w:r>
        <w:rPr>
          <w:noProof/>
        </w:rPr>
        <w:t>«τεχνική τεκμηρίωση»: επαρκής τεκμηρίωση ώστε οι αρχές εποπτείας της αγοράς να έχουν τη δυνατότητα να αξιολογήσουν την ακρίβεια μίας σήμανσης και ενός δελτίου πληροφοριών προϊόντος, συμπεριλαμβανομένων των πληροφοριών που ορίζονται στο παράρτημα ΙΙΙ·</w:t>
      </w:r>
    </w:p>
    <w:p>
      <w:pPr>
        <w:pStyle w:val="Point1number"/>
        <w:numPr>
          <w:ilvl w:val="2"/>
          <w:numId w:val="23"/>
        </w:numPr>
        <w:rPr>
          <w:noProof/>
        </w:rPr>
      </w:pPr>
      <w:r>
        <w:rPr>
          <w:noProof/>
        </w:rPr>
        <w:t xml:space="preserve">«βάση δεδομένων προϊόντων»: η βάση δεδομένων που δημιουργήθηκε δυνάμει του κανονισμού (ΕΕ) 1369/2017 και αποτελείται από ένα δημόσιο τμήμα, προσανατολισμένο στους καταναλωτές, όπου οι πληροφορίες σχετικά με τις επιμέρους παραμέτρους των προϊόντων είναι προσβάσιμες με ηλεκτρονικά </w:t>
      </w:r>
      <w:r>
        <w:rPr>
          <w:noProof/>
        </w:rPr>
        <w:lastRenderedPageBreak/>
        <w:t>μέσα, μια διαδικτυακή πύλη για την προσβασιμότητα και ένα τμήμα για τη συμμόρφωση, με σαφώς καθορισμένες απαιτήσεις προσβασιμότητας και ασφάλειας·</w:t>
      </w:r>
    </w:p>
    <w:p>
      <w:pPr>
        <w:pStyle w:val="Point1number"/>
        <w:numPr>
          <w:ilvl w:val="2"/>
          <w:numId w:val="23"/>
        </w:numPr>
        <w:rPr>
          <w:noProof/>
        </w:rPr>
      </w:pPr>
      <w:r>
        <w:rPr>
          <w:noProof/>
        </w:rPr>
        <w:t>«πωλήσεις εξ αποστάσεως»: η προσφορά προς πώληση, μίσθωση ή πώληση με δόσεις που πραγματοποιείται με ταχυδρομική παραγγελία, μέσω καταλόγου, μέσω διαδικτύου, μέσω τηλεπώλησης ή με άλλες μεθόδους οι οποίες συνεπάγονται ότι ο υποψήφιος τελικός χρήστης δεν έχει τη δυνατότητα να είναι φυσικά παρών ώστε να εξετάσει το εκτιθέμενο προϊόν·</w:t>
      </w:r>
    </w:p>
    <w:p>
      <w:pPr>
        <w:pStyle w:val="Point1number"/>
        <w:numPr>
          <w:ilvl w:val="2"/>
          <w:numId w:val="23"/>
        </w:numPr>
        <w:rPr>
          <w:noProof/>
        </w:rPr>
      </w:pPr>
      <w:r>
        <w:rPr>
          <w:noProof/>
        </w:rPr>
        <w:t xml:space="preserve">«κατασκευαστής»: φυσικό ή νομικό πρόσωπο που κατασκευάζει ένα προϊόν ή αναθέτει σε άλλους τον σχεδιασμό ή την κατασκευή ενός προϊόντος, και διαθέτει στην αγορά αυτό το προϊόν υπό την επωνυμία ή το εμπορικό του σήμα· </w:t>
      </w:r>
    </w:p>
    <w:p>
      <w:pPr>
        <w:pStyle w:val="Point1number"/>
        <w:numPr>
          <w:ilvl w:val="2"/>
          <w:numId w:val="23"/>
        </w:numPr>
        <w:rPr>
          <w:noProof/>
        </w:rPr>
      </w:pPr>
      <w:r>
        <w:rPr>
          <w:noProof/>
        </w:rPr>
        <w:t>«εισαγωγέας»: φυσικό ή νομικό πρόσωπο, εγκατεστημένο στην Ένωση, που διαθέτει προϊόν τρίτης χώρας στην αγορά της Ένωσης·</w:t>
      </w:r>
    </w:p>
    <w:p>
      <w:pPr>
        <w:pStyle w:val="Point1number"/>
        <w:numPr>
          <w:ilvl w:val="2"/>
          <w:numId w:val="23"/>
        </w:numPr>
        <w:rPr>
          <w:noProof/>
        </w:rPr>
      </w:pPr>
      <w:r>
        <w:rPr>
          <w:noProof/>
        </w:rPr>
        <w:t>«εξουσιοδοτημένος αντιπρόσωπος»: φυσικό ή νομικό πρόσωπο, εγκατεστημένο στην Ένωση, που έχει λάβει γραπτή εντολή από τον κατασκευαστή να ενεργεί εξ ονόματός του για την εκτέλεση συγκεκριμένων καθηκόντων·</w:t>
      </w:r>
    </w:p>
    <w:p>
      <w:pPr>
        <w:pStyle w:val="Point1number"/>
        <w:numPr>
          <w:ilvl w:val="2"/>
          <w:numId w:val="23"/>
        </w:numPr>
        <w:rPr>
          <w:noProof/>
        </w:rPr>
      </w:pPr>
      <w:r>
        <w:rPr>
          <w:noProof/>
        </w:rPr>
        <w:t>«προμηθευτής»: εγκατεστημένος στην Ένωση κατασκευαστής, εξουσιοδοτημένος αντιπρόσωπος κατασκευαστή μη εγκατεστημένου στην Ένωση ή εισαγωγέας που διαθέτει ένα προϊόν στην αγορά της Ένωσης·</w:t>
      </w:r>
    </w:p>
    <w:p>
      <w:pPr>
        <w:pStyle w:val="Point1number"/>
        <w:numPr>
          <w:ilvl w:val="2"/>
          <w:numId w:val="23"/>
        </w:numPr>
        <w:rPr>
          <w:noProof/>
        </w:rPr>
      </w:pPr>
      <w:r>
        <w:rPr>
          <w:noProof/>
        </w:rPr>
        <w:t>«διανομέας»: φυσικό ή νομικό πρόσωπο της αλυσίδας εφοδιασμού, εκτός του προμηθευτή, το οποίο διαθέτει ένα προϊόν στην αγορά·</w:t>
      </w:r>
    </w:p>
    <w:p>
      <w:pPr>
        <w:pStyle w:val="Point1number"/>
        <w:numPr>
          <w:ilvl w:val="2"/>
          <w:numId w:val="23"/>
        </w:numPr>
        <w:rPr>
          <w:noProof/>
        </w:rPr>
      </w:pPr>
      <w:r>
        <w:rPr>
          <w:noProof/>
        </w:rPr>
        <w:t>«κυκλοφορία στην αγορά»: προσφορά προϊόντος για διανομή ή χρήση στην αγορά της Ένωσης στο πλαίσιο εμπορικής δραστηριότητας, είτε επί πληρωμή είτε δωρεάν·</w:t>
      </w:r>
    </w:p>
    <w:p>
      <w:pPr>
        <w:pStyle w:val="Point1number"/>
        <w:numPr>
          <w:ilvl w:val="2"/>
          <w:numId w:val="23"/>
        </w:numPr>
        <w:rPr>
          <w:noProof/>
        </w:rPr>
      </w:pPr>
      <w:r>
        <w:rPr>
          <w:noProof/>
        </w:rPr>
        <w:t>«διάθεση στην αγορά»: η πρώτη φορά κατά την οποία ένα προϊόν κυκλοφορεί στην αγορά της Ένωσης·</w:t>
      </w:r>
    </w:p>
    <w:p>
      <w:pPr>
        <w:pStyle w:val="Point1number"/>
        <w:numPr>
          <w:ilvl w:val="2"/>
          <w:numId w:val="23"/>
        </w:numPr>
        <w:rPr>
          <w:noProof/>
        </w:rPr>
      </w:pPr>
      <w:r>
        <w:rPr>
          <w:noProof/>
        </w:rPr>
        <w:t>«τελικός χρήστης»: ο καταναλωτής, ο διαχειριστής στόλου ή η επιχείρηση οδικών μεταφορών, που αγοράζει ή αναμένεται να αγοράσει ένα ελαστικό·</w:t>
      </w:r>
    </w:p>
    <w:p>
      <w:pPr>
        <w:pStyle w:val="Point1number"/>
        <w:numPr>
          <w:ilvl w:val="2"/>
          <w:numId w:val="23"/>
        </w:numPr>
        <w:rPr>
          <w:noProof/>
        </w:rPr>
      </w:pPr>
      <w:r>
        <w:rPr>
          <w:noProof/>
        </w:rPr>
        <w:t>«παράμετρος»: η παράμετρος ελαστικών όπως ορίζεται στο παράρτημα Ι, όπως η αντίσταση κύλισης, η πρόσφυση σε υγρό οδόστρωμα, ο εξωτερικός θόρυβος κύλισης, το χιόνι, ο πάγος, το χιλιομετρικό προσδόκιμο ή η αντοχή στη φθορά, η οποία έχει σημαντικές επιπτώσεις στο περιβάλλον, την οδική ασφάλεια ή την υγεία κατά τη χρήση·</w:t>
      </w:r>
    </w:p>
    <w:p>
      <w:pPr>
        <w:pStyle w:val="Point1number"/>
        <w:numPr>
          <w:ilvl w:val="2"/>
          <w:numId w:val="23"/>
        </w:numPr>
        <w:rPr>
          <w:noProof/>
        </w:rPr>
      </w:pPr>
      <w:r>
        <w:rPr>
          <w:noProof/>
        </w:rPr>
        <w:t xml:space="preserve">«τύπος ελαστικού»: μια έκδοση ελαστικού όλες οι μονάδες της οποίας διαθέτουν τα ίδια τεχνικά χαρακτηριστικά όσον αφορά τη σήμανση και το δελτίο πληροφοριών προϊόντος, καθώς και το ίδιο αναγνωριστικό μοντέλου. </w:t>
      </w:r>
    </w:p>
    <w:p>
      <w:pPr>
        <w:pStyle w:val="Titrearticle"/>
        <w:rPr>
          <w:b/>
          <w:i w:val="0"/>
          <w:noProof/>
        </w:rPr>
      </w:pPr>
      <w:r>
        <w:rPr>
          <w:noProof/>
        </w:rPr>
        <w:t>Άρθρο 4</w:t>
      </w:r>
      <w:r>
        <w:rPr>
          <w:noProof/>
        </w:rPr>
        <w:br/>
      </w:r>
      <w:r>
        <w:rPr>
          <w:b/>
          <w:i w:val="0"/>
          <w:noProof/>
        </w:rPr>
        <w:t>Υποχρεώσεις των προμηθευτών ελαστικών</w:t>
      </w:r>
    </w:p>
    <w:p>
      <w:pPr>
        <w:pStyle w:val="ManualNumPar1"/>
        <w:rPr>
          <w:noProof/>
        </w:rPr>
      </w:pPr>
      <w:r>
        <w:t>1.</w:t>
      </w:r>
      <w:r>
        <w:tab/>
      </w:r>
      <w:r>
        <w:rPr>
          <w:noProof/>
        </w:rPr>
        <w:t>Ο προμηθευτής μεριμνά ώστε τα ελαστικά των κατηγοριών C1, C2 και C3 που διατίθενται στην αγορά να συνοδεύονται:</w:t>
      </w:r>
    </w:p>
    <w:p>
      <w:pPr>
        <w:pStyle w:val="Point1"/>
        <w:rPr>
          <w:noProof/>
        </w:rPr>
      </w:pPr>
      <w:r>
        <w:rPr>
          <w:noProof/>
        </w:rPr>
        <w:t>α)</w:t>
      </w:r>
      <w:r>
        <w:rPr>
          <w:noProof/>
        </w:rPr>
        <w:tab/>
        <w:t xml:space="preserve">από σήμανση που συμμορφώνεται με το παράρτημα ΙΙ, υπό μορφή αυτοκόλλητου, για κάθε επιμέρους ελαστικό, στην οποία αναγράφονται </w:t>
      </w:r>
      <w:r>
        <w:rPr>
          <w:noProof/>
        </w:rPr>
        <w:lastRenderedPageBreak/>
        <w:t>πληροφορίες για κάθε παράμετρο και η κατηγορία κάθε παραμέτρου που ορίζεται στο παράρτημα Ι, καθώς και από δελτίο πληροφοριών προϊόντος όπως ορίζεται στο παράρτημα IV·</w:t>
      </w:r>
    </w:p>
    <w:p>
      <w:pPr>
        <w:pStyle w:val="Point1"/>
        <w:rPr>
          <w:noProof/>
        </w:rPr>
      </w:pPr>
      <w:r>
        <w:rPr>
          <w:noProof/>
        </w:rPr>
        <w:t>β)</w:t>
      </w:r>
      <w:r>
        <w:rPr>
          <w:noProof/>
        </w:rPr>
        <w:tab/>
        <w:t>από σήμανση που συμμορφώνεται με το παράρτημα ΙΙ, σε έντυπη μορφή, για κάθε παρτίδα ενός ή περισσότερων πανομοιότυπων ελαστικών, στην οποία αναγράφονται πληροφορίες για κάθε παράμετρο και η κατηγορία κάθε παραμέτρου που ορίζεται στο παράρτημα Ι, καθώς και από δελτίο πληροφοριών προϊόντος όπως ορίζεται στο παράρτημα IV.</w:t>
      </w:r>
    </w:p>
    <w:p>
      <w:pPr>
        <w:pStyle w:val="ManualNumPar1"/>
        <w:rPr>
          <w:noProof/>
        </w:rPr>
      </w:pPr>
      <w:r>
        <w:t>2.</w:t>
      </w:r>
      <w:r>
        <w:tab/>
      </w:r>
      <w:r>
        <w:rPr>
          <w:noProof/>
        </w:rPr>
        <w:t>Όσον αφορά τα ελαστικά που πωλούνται μέσω διαδικτύου, οι προμηθευτές διασφαλίζουν ότι η σήμανση εμφανίζεται δίπλα στην τιμή και ότι το δελτίο πληροφοριών προϊόντος είναι προσβάσιμο.</w:t>
      </w:r>
    </w:p>
    <w:p>
      <w:pPr>
        <w:pStyle w:val="ManualNumPar1"/>
        <w:rPr>
          <w:noProof/>
        </w:rPr>
      </w:pPr>
      <w:r>
        <w:t>3.</w:t>
      </w:r>
      <w:r>
        <w:tab/>
      </w:r>
      <w:r>
        <w:rPr>
          <w:noProof/>
        </w:rPr>
        <w:t>Οι προμηθευτές διασφαλίζουν ότι η σήμανση εμφανίζεται σε κάθε οπτική διαφήμιση για συγκεκριμένο τύπο ελαστικού, συμπεριλαμβανομένων των διαφημίσεων μέσω διαδικτύου.</w:t>
      </w:r>
    </w:p>
    <w:p>
      <w:pPr>
        <w:pStyle w:val="ManualNumPar1"/>
        <w:rPr>
          <w:noProof/>
        </w:rPr>
      </w:pPr>
      <w:r>
        <w:t>4.</w:t>
      </w:r>
      <w:r>
        <w:tab/>
      </w:r>
      <w:r>
        <w:rPr>
          <w:noProof/>
        </w:rPr>
        <w:t>Οι προμηθευτές διασφαλίζουν ότι κάθε τεχνικό διαφημιστικό υλικό που αφορά συγκεκριμένο τύπο ελαστικού, συμπεριλαμβανομένου του διαδικτυακού διαφημιστικού υλικού, πληροί τις απαιτήσεις του παραρτήματος V.</w:t>
      </w:r>
    </w:p>
    <w:p>
      <w:pPr>
        <w:pStyle w:val="ManualNumPar1"/>
        <w:rPr>
          <w:noProof/>
        </w:rPr>
      </w:pPr>
      <w:r>
        <w:t>5.</w:t>
      </w:r>
      <w:r>
        <w:tab/>
      </w:r>
      <w:r>
        <w:rPr>
          <w:noProof/>
        </w:rPr>
        <w:t>Οι προμηθευτές διασφαλίζουν ότι οι τιμές, οι αντίστοιχες κατηγορίες και τυχόν πρόσθετες πληροφορίες για τις επιδόσεις τις οποίες δηλώνουν στη σήμανση για τις ουσιώδεις παραμέτρους που ορίζονται στο παράρτημα Ι έχουν υποβληθεί στη διαδικασία έγκρισης τύπου που ορίζεται στον κανονισμό (ΕΚ) αριθ. 661/2009.</w:t>
      </w:r>
    </w:p>
    <w:p>
      <w:pPr>
        <w:pStyle w:val="ManualNumPar1"/>
        <w:rPr>
          <w:noProof/>
        </w:rPr>
      </w:pPr>
      <w:r>
        <w:t>6.</w:t>
      </w:r>
      <w:r>
        <w:tab/>
      </w:r>
      <w:r>
        <w:rPr>
          <w:noProof/>
        </w:rPr>
        <w:t>Οι προμηθευτές διασφαλίζουν την ακρίβεια των παρεχόμενων σημάνσεων και δελτίων πληροφοριών προϊόντος.</w:t>
      </w:r>
    </w:p>
    <w:p>
      <w:pPr>
        <w:pStyle w:val="ManualNumPar1"/>
        <w:rPr>
          <w:noProof/>
        </w:rPr>
      </w:pPr>
      <w:r>
        <w:t>7.</w:t>
      </w:r>
      <w:r>
        <w:tab/>
      </w:r>
      <w:r>
        <w:rPr>
          <w:noProof/>
        </w:rPr>
        <w:t>Οι προμηθευτές θέτουν την τεχνική τεκμηρίωση σύμφωνα με το παράρτημα ΙΙΙ στη διάθεση των αρχών των κρατών μελών κατόπιν σχετικού αιτήματος.</w:t>
      </w:r>
    </w:p>
    <w:p>
      <w:pPr>
        <w:pStyle w:val="ManualNumPar1"/>
        <w:rPr>
          <w:noProof/>
        </w:rPr>
      </w:pPr>
      <w:r>
        <w:t>8.</w:t>
      </w:r>
      <w:r>
        <w:tab/>
      </w:r>
      <w:r>
        <w:rPr>
          <w:noProof/>
        </w:rPr>
        <w:t>Οι προμηθευτές συνεργάζονται με τις αρχές εποπτείας της αγοράς και λαμβάνουν αμέσως μέτρα για την επανόρθωση οποιασδήποτε περίπτωσης μη συμμόρφωσης με τις απαιτήσεις που ορίζονται στον παρόντα κανονισμό, η οποία εμπίπτει στο πεδίο ευθύνης τους, είτε με δική τους πρωτοβουλία είτε κατόπιν αιτήματος των αρχών εποπτείας της αγοράς.</w:t>
      </w:r>
    </w:p>
    <w:p>
      <w:pPr>
        <w:pStyle w:val="ManualNumPar1"/>
        <w:rPr>
          <w:noProof/>
        </w:rPr>
      </w:pPr>
      <w:r>
        <w:t>9.</w:t>
      </w:r>
      <w:r>
        <w:tab/>
      </w:r>
      <w:r>
        <w:rPr>
          <w:noProof/>
        </w:rPr>
        <w:t>Οι προμηθευτές δεν παρέχουν ούτε επιδεικνύουν άλλες σημάνσεις, σήματα, σύμβολα ή επιγραφές που δεν συμμορφώνονται με τις απαιτήσεις του παρόντος κανονισμού, εάν αυτό ενδέχεται να παραπλανήσει ή να προκαλέσει σύγχυση στους τελικούς χρήστες όσον αφορά τις ουσιώδεις παραμέτρους.</w:t>
      </w:r>
    </w:p>
    <w:p>
      <w:pPr>
        <w:pStyle w:val="ManualNumPar1"/>
        <w:rPr>
          <w:noProof/>
        </w:rPr>
      </w:pPr>
      <w:r>
        <w:t>10.</w:t>
      </w:r>
      <w:r>
        <w:tab/>
      </w:r>
      <w:r>
        <w:rPr>
          <w:noProof/>
        </w:rPr>
        <w:t>Οι προμηθευτές δεν παρέχουν ούτε επιδεικνύουν σημάνσεις που απομιμούνται τις σημάνσεις που ορίζονται στον παρόντα κανονισμό.</w:t>
      </w:r>
    </w:p>
    <w:p>
      <w:pPr>
        <w:pStyle w:val="Titrearticle"/>
        <w:rPr>
          <w:b/>
          <w:i w:val="0"/>
          <w:noProof/>
        </w:rPr>
      </w:pPr>
      <w:r>
        <w:rPr>
          <w:noProof/>
        </w:rPr>
        <w:t>Άρθρο 5</w:t>
      </w:r>
      <w:r>
        <w:rPr>
          <w:noProof/>
        </w:rPr>
        <w:br/>
      </w:r>
      <w:r>
        <w:rPr>
          <w:b/>
          <w:i w:val="0"/>
          <w:noProof/>
        </w:rPr>
        <w:t>Υποχρεώσεις των προμηθευτών ελαστικών σε σχέση με τη βάση δεδομένων προϊόντων</w:t>
      </w:r>
    </w:p>
    <w:p>
      <w:pPr>
        <w:pStyle w:val="ManualNumPar1"/>
        <w:rPr>
          <w:noProof/>
        </w:rPr>
      </w:pPr>
      <w:r>
        <w:t>1.</w:t>
      </w:r>
      <w:r>
        <w:tab/>
      </w:r>
      <w:r>
        <w:rPr>
          <w:noProof/>
        </w:rPr>
        <w:t>Από την 1η Ιανουαρίου 2020, οι προμηθευτές, πριν από τη διάθεση ενός ελαστικού στην αγορά, εισάγουν στη βάση δεδομένων προϊόντων τις πληροφορίες που ορίζονται στο παράρτημα I του κανονισμού (ΕΕ) 2017/1369.</w:t>
      </w:r>
    </w:p>
    <w:p>
      <w:pPr>
        <w:pStyle w:val="ManualNumPar1"/>
        <w:rPr>
          <w:noProof/>
        </w:rPr>
      </w:pPr>
      <w:r>
        <w:t>2.</w:t>
      </w:r>
      <w:r>
        <w:tab/>
      </w:r>
      <w:r>
        <w:rPr>
          <w:noProof/>
        </w:rPr>
        <w:t xml:space="preserve">Αν τα ελαστικά διατίθενται στην αγορά από </w:t>
      </w:r>
      <w:r>
        <w:rPr>
          <w:i/>
          <w:noProof/>
          <w:color w:val="FF0000"/>
        </w:rPr>
        <w:t>[να εισαχθεί η ημερομηνία έναρξης</w:t>
      </w:r>
      <w:r>
        <w:rPr>
          <w:i/>
          <w:noProof/>
        </w:rPr>
        <w:t xml:space="preserve"> </w:t>
      </w:r>
      <w:r>
        <w:rPr>
          <w:i/>
          <w:noProof/>
          <w:color w:val="FF0000"/>
        </w:rPr>
        <w:t>ισχύος του παρόντος κανονισμού]</w:t>
      </w:r>
      <w:r>
        <w:rPr>
          <w:noProof/>
          <w:color w:val="FF0000"/>
        </w:rPr>
        <w:t xml:space="preserve"> </w:t>
      </w:r>
      <w:r>
        <w:rPr>
          <w:noProof/>
        </w:rPr>
        <w:t xml:space="preserve">έως την 31η Δεκεμβρίου 2019, οι προμηθευτές, έως τις 30 Ιουνίου 2020, εισάγουν στη βάση δεδομένων προϊόντων τις πληροφορίες </w:t>
      </w:r>
      <w:r>
        <w:rPr>
          <w:noProof/>
        </w:rPr>
        <w:lastRenderedPageBreak/>
        <w:t>που ορίζονται στο παράρτημα I του κανονισμού (ΕΕ) 2017/1369 όσον αφορά τα εν λόγω ελαστικά.</w:t>
      </w:r>
    </w:p>
    <w:p>
      <w:pPr>
        <w:pStyle w:val="ManualNumPar1"/>
        <w:rPr>
          <w:noProof/>
        </w:rPr>
      </w:pPr>
      <w:r>
        <w:t>3.</w:t>
      </w:r>
      <w:r>
        <w:tab/>
      </w:r>
      <w:r>
        <w:rPr>
          <w:noProof/>
        </w:rPr>
        <w:t>Έως την εισαγωγή των πληροφοριών που αναφέρονται στις παραγράφους 1 και 2 στη βάση δεδομένων προϊόντων, οι προμηθευτές καθιστούν διαθέσιμη προς επιθεώρηση ηλεκτρονική έκδοση της τεχνικής τεκμηρίωσης εντός 10 ημερών από την παραλαβή σχετικής αίτησης των αρχών εποπτείας της αγοράς.</w:t>
      </w:r>
    </w:p>
    <w:p>
      <w:pPr>
        <w:pStyle w:val="ManualNumPar1"/>
        <w:rPr>
          <w:noProof/>
        </w:rPr>
      </w:pPr>
      <w:r>
        <w:t>4.</w:t>
      </w:r>
      <w:r>
        <w:tab/>
      </w:r>
      <w:r>
        <w:rPr>
          <w:noProof/>
        </w:rPr>
        <w:t>Ελαστικό επί του οποίου πραγματοποιήθηκαν τροποποιήσεις οι οποίες επηρεάζουν τη σήμανση ή το δελτίο πληροφοριών προϊόντος θεωρείται νέος τύπος ελαστικού. Οι προμηθευτές αναφέρουν στη βάση δεδομένων την ημερομηνία από την οποία δεν διαθέτουν πλέον στην αγορά μονάδες ενός τύπου ελαστικού.</w:t>
      </w:r>
    </w:p>
    <w:p>
      <w:pPr>
        <w:pStyle w:val="ManualNumPar1"/>
        <w:rPr>
          <w:noProof/>
        </w:rPr>
      </w:pPr>
      <w:r>
        <w:t>5.</w:t>
      </w:r>
      <w:r>
        <w:tab/>
      </w:r>
      <w:r>
        <w:rPr>
          <w:noProof/>
        </w:rPr>
        <w:t>Μετά τη διάθεση στην αγορά της τελικής μονάδας ενός τύπου ελαστικού, οι προμηθευτές διατηρούν τις πληροφορίες που αφορούν αυτό τον τύπο ελαστικού στο τμήμα συμμόρφωσης της βάσης δεδομένων προϊόντων για περίοδο πέντε ετών.</w:t>
      </w:r>
    </w:p>
    <w:p>
      <w:pPr>
        <w:pStyle w:val="Titrearticle"/>
        <w:rPr>
          <w:b/>
          <w:i w:val="0"/>
          <w:noProof/>
        </w:rPr>
      </w:pPr>
      <w:r>
        <w:rPr>
          <w:noProof/>
        </w:rPr>
        <w:t>Άρθρο 6</w:t>
      </w:r>
      <w:r>
        <w:rPr>
          <w:noProof/>
        </w:rPr>
        <w:br/>
      </w:r>
      <w:r>
        <w:rPr>
          <w:b/>
          <w:i w:val="0"/>
          <w:noProof/>
        </w:rPr>
        <w:t>Υποχρεώσεις των διανομέων ελαστικών</w:t>
      </w:r>
    </w:p>
    <w:p>
      <w:pPr>
        <w:pStyle w:val="ManualNumPar1"/>
        <w:rPr>
          <w:noProof/>
        </w:rPr>
      </w:pPr>
      <w:r>
        <w:t>1.</w:t>
      </w:r>
      <w:r>
        <w:tab/>
      </w:r>
      <w:r>
        <w:rPr>
          <w:noProof/>
        </w:rPr>
        <w:t>Οι διανομείς διασφαλίζουν ότι:</w:t>
      </w:r>
    </w:p>
    <w:p>
      <w:pPr>
        <w:pStyle w:val="Point1"/>
        <w:rPr>
          <w:noProof/>
        </w:rPr>
      </w:pPr>
      <w:r>
        <w:rPr>
          <w:noProof/>
        </w:rPr>
        <w:t>α)</w:t>
      </w:r>
      <w:r>
        <w:rPr>
          <w:noProof/>
        </w:rPr>
        <w:tab/>
        <w:t>τα ελαστικά στο σημείο πώλησης φέρουν τη σήμανση σύμφωνα με το παράρτημα ΙΙ υπό μορφή αυτοκόλλητου που παρέχεται από προμηθευτές σύμφωνα με το άρθρο 4 παράγραφος 1 σημείο α) σε απολύτως εμφανές σημείο·</w:t>
      </w:r>
    </w:p>
    <w:p>
      <w:pPr>
        <w:pStyle w:val="Point1"/>
        <w:rPr>
          <w:noProof/>
        </w:rPr>
      </w:pPr>
      <w:r>
        <w:rPr>
          <w:noProof/>
        </w:rPr>
        <w:t>β)</w:t>
      </w:r>
      <w:r>
        <w:rPr>
          <w:noProof/>
        </w:rPr>
        <w:tab/>
        <w:t>πριν από την πώληση ελαστικού που ανήκει σε παρτίδα ενός ή περισσότερων ίδιων ελαστικών, η σήμανση που προβλέπεται στο άρθρο 4 παράγραφος 1 στοιχείο β) παρουσιάζεται στον τελικό χρήστη και εμφανίζεται ευκρινώς σε άμεση γειτνίαση με το ελαστικό στο σημείο πώλησης.</w:t>
      </w:r>
    </w:p>
    <w:p>
      <w:pPr>
        <w:pStyle w:val="ManualNumPar1"/>
        <w:rPr>
          <w:noProof/>
        </w:rPr>
      </w:pPr>
      <w:r>
        <w:t>2.</w:t>
      </w:r>
      <w:r>
        <w:tab/>
      </w:r>
      <w:r>
        <w:rPr>
          <w:noProof/>
        </w:rPr>
        <w:t>Οι διανομείς διασφαλίζουν ότι η σήμανση εμφανίζεται σε κάθε οπτική διαφήμιση για συγκεκριμένο τύπο ελαστικού, συμπεριλαμβανομένων των διαφημίσεων μέσω διαδικτύου.</w:t>
      </w:r>
    </w:p>
    <w:p>
      <w:pPr>
        <w:pStyle w:val="ManualNumPar1"/>
        <w:rPr>
          <w:noProof/>
        </w:rPr>
      </w:pPr>
      <w:r>
        <w:t>3.</w:t>
      </w:r>
      <w:r>
        <w:tab/>
      </w:r>
      <w:r>
        <w:rPr>
          <w:noProof/>
        </w:rPr>
        <w:t>Οι διανομείς διασφαλίζουν ότι κάθε τεχνικό διαφημιστικό υλικό που αφορά συγκεκριμένο τύπο ελαστικού, συμπεριλαμβανομένου του διαδικτυακού διαφημιστικού υλικού, πληροί τις απαιτήσεις του παραρτήματος V.</w:t>
      </w:r>
    </w:p>
    <w:p>
      <w:pPr>
        <w:pStyle w:val="ManualNumPar1"/>
        <w:rPr>
          <w:noProof/>
        </w:rPr>
      </w:pPr>
      <w:r>
        <w:t>4.</w:t>
      </w:r>
      <w:r>
        <w:tab/>
      </w:r>
      <w:r>
        <w:rPr>
          <w:noProof/>
        </w:rPr>
        <w:t>Οι διανομείς διασφαλίζουν ότι, στις περιπτώσεις που τα προς πώληση ελαστικά δεν είναι ορατά από τον τελικό χρήστη, παρέχεται στον τελικό χρήστη αντίγραφο της σήμανσης πριν την πώληση.</w:t>
      </w:r>
    </w:p>
    <w:p>
      <w:pPr>
        <w:pStyle w:val="ManualNumPar1"/>
        <w:rPr>
          <w:noProof/>
        </w:rPr>
      </w:pPr>
      <w:r>
        <w:t>5.</w:t>
      </w:r>
      <w:r>
        <w:tab/>
      </w:r>
      <w:r>
        <w:rPr>
          <w:noProof/>
        </w:rPr>
        <w:t>Οι διανομείς διασφαλίζουν ότι σε κάθε πώληση εξ αποστάσεως με χρήση έντυπου υλικού πρέπει να εμφανίζεται η σήμανση και ότι ο τελικός χρήστης μπορεί να έχει πρόσβαση στο δελτίο πληροφοριών προϊόντος μέσω ιστοτόπου δωρεάν πρόσβασης ή να ζητήσει τυπωμένο αντίγραφο του εν λόγω δελτίου.</w:t>
      </w:r>
    </w:p>
    <w:p>
      <w:pPr>
        <w:pStyle w:val="ManualNumPar1"/>
        <w:rPr>
          <w:noProof/>
        </w:rPr>
      </w:pPr>
      <w:r>
        <w:t>6.</w:t>
      </w:r>
      <w:r>
        <w:tab/>
      </w:r>
      <w:r>
        <w:rPr>
          <w:noProof/>
        </w:rPr>
        <w:t>Οι διανομείς που πραγματοποιούν τηλεπωλήσεις εξ αποστάσεως ενημερώνουν συγκεκριμένα τους τελικούς χρήστες για τις κατηγορίες ουσιωδών παραμέτρων στη σήμανση, καθώς και ότι μπορούν να έχουν πρόσβαση στην πλήρη σήμανση και στο δελτίο πληροφοριών προϊόντος μέσω ενός ιστοτόπου δωρεάν πρόσβασης ή να ζητήσουν ένα τυπωμένο αντίγραφο.</w:t>
      </w:r>
    </w:p>
    <w:p>
      <w:pPr>
        <w:pStyle w:val="ManualNumPar1"/>
        <w:rPr>
          <w:noProof/>
        </w:rPr>
      </w:pPr>
      <w:r>
        <w:lastRenderedPageBreak/>
        <w:t>7.</w:t>
      </w:r>
      <w:r>
        <w:tab/>
      </w:r>
      <w:r>
        <w:rPr>
          <w:noProof/>
        </w:rPr>
        <w:t>Όσον αφορά τα ελαστικά που πωλούνται απευθείας μέσω διαδικτύου, οι διανομείς διασφαλίζουν ότι η σήμανση εμφανίζεται δίπλα στην τιμή και ότι το δελτίο πληροφοριών προϊόντος είναι προσβάσιμο.</w:t>
      </w:r>
    </w:p>
    <w:p>
      <w:pPr>
        <w:pStyle w:val="Titrearticle"/>
        <w:rPr>
          <w:b/>
          <w:i w:val="0"/>
          <w:noProof/>
        </w:rPr>
      </w:pPr>
      <w:r>
        <w:rPr>
          <w:noProof/>
        </w:rPr>
        <w:t>Άρθρο 7</w:t>
      </w:r>
      <w:r>
        <w:rPr>
          <w:noProof/>
        </w:rPr>
        <w:br/>
      </w:r>
      <w:r>
        <w:rPr>
          <w:b/>
          <w:i w:val="0"/>
          <w:noProof/>
        </w:rPr>
        <w:t>Ευθύνες των προμηθευτών και των διανομέων οχημάτων</w:t>
      </w:r>
    </w:p>
    <w:p>
      <w:pPr>
        <w:rPr>
          <w:noProof/>
        </w:rPr>
      </w:pPr>
      <w:r>
        <w:rPr>
          <w:noProof/>
        </w:rPr>
        <w:t>Στις περιπτώσεις που οι τελικοί χρήστες σκοπεύουν να αποκτήσουν νέο όχημα, οι προμηθευτές και διανομείς οχημάτων παρέχουν, πριν από την πώληση, τη σήμανση των ελαστικών που διατίθενται με το όχημα, καθώς και το σχετικό τεχνικό διαφημιστικό υλικό.</w:t>
      </w:r>
    </w:p>
    <w:p>
      <w:pPr>
        <w:pStyle w:val="Titrearticle"/>
        <w:rPr>
          <w:b/>
          <w:i w:val="0"/>
          <w:noProof/>
        </w:rPr>
      </w:pPr>
      <w:r>
        <w:rPr>
          <w:noProof/>
        </w:rPr>
        <w:t>Άρθρο 8</w:t>
      </w:r>
      <w:r>
        <w:rPr>
          <w:noProof/>
        </w:rPr>
        <w:br/>
      </w:r>
      <w:r>
        <w:rPr>
          <w:b/>
          <w:i w:val="0"/>
          <w:noProof/>
        </w:rPr>
        <w:t>Μέθοδοι δοκιμής και μέτρησης</w:t>
      </w:r>
    </w:p>
    <w:p>
      <w:pPr>
        <w:rPr>
          <w:noProof/>
        </w:rPr>
      </w:pPr>
      <w:r>
        <w:rPr>
          <w:noProof/>
        </w:rPr>
        <w:t>Οι πληροφορίες που παρέχονται σύμφωνα με τα άρθρα 4, 6 και 7 σχετικά με τις παραμέτρους που αναφέρονται στη σήμανση λαμβάνονται μέσω των μεθόδων δοκιμής και μέτρησης που αναφέρονται στο παράρτημα Ι και της διαδικασίας ευθυγράμμισης των εργαστηρίων που αναφέρεται στο παράρτημα VI.</w:t>
      </w:r>
    </w:p>
    <w:p>
      <w:pPr>
        <w:pStyle w:val="Titrearticle"/>
        <w:rPr>
          <w:b/>
          <w:i w:val="0"/>
          <w:noProof/>
        </w:rPr>
      </w:pPr>
      <w:r>
        <w:rPr>
          <w:noProof/>
        </w:rPr>
        <w:t>Άρθρο 9</w:t>
      </w:r>
      <w:r>
        <w:rPr>
          <w:noProof/>
        </w:rPr>
        <w:br/>
      </w:r>
      <w:r>
        <w:rPr>
          <w:b/>
          <w:i w:val="0"/>
          <w:noProof/>
        </w:rPr>
        <w:t>Διαδικασία επαλήθευσης</w:t>
      </w:r>
    </w:p>
    <w:p>
      <w:pPr>
        <w:rPr>
          <w:noProof/>
        </w:rPr>
      </w:pPr>
      <w:r>
        <w:rPr>
          <w:noProof/>
        </w:rPr>
        <w:t>Τα κράτη μέλη αξιολογούν τη συμμόρφωση προς τις δηλωθείσες κατηγορίες καθεμιάς εκ των ουσιωδών παραμέτρων που ορίζονται στο παράρτημα Ι σύμφωνα με τη διαδικασία που παρατίθεται στο παράρτημα VII.</w:t>
      </w:r>
    </w:p>
    <w:p>
      <w:pPr>
        <w:pStyle w:val="Titrearticle"/>
        <w:rPr>
          <w:b/>
          <w:i w:val="0"/>
          <w:noProof/>
        </w:rPr>
      </w:pPr>
      <w:r>
        <w:rPr>
          <w:noProof/>
        </w:rPr>
        <w:t>Άρθρο 10</w:t>
      </w:r>
      <w:r>
        <w:rPr>
          <w:noProof/>
        </w:rPr>
        <w:br/>
      </w:r>
      <w:r>
        <w:rPr>
          <w:b/>
          <w:i w:val="0"/>
          <w:noProof/>
        </w:rPr>
        <w:t>Υποχρεώσεις των κρατών μελών</w:t>
      </w:r>
    </w:p>
    <w:p>
      <w:pPr>
        <w:pStyle w:val="ManualNumPar1"/>
        <w:rPr>
          <w:noProof/>
        </w:rPr>
      </w:pPr>
      <w:r>
        <w:t>1.</w:t>
      </w:r>
      <w:r>
        <w:tab/>
      </w:r>
      <w:r>
        <w:rPr>
          <w:noProof/>
        </w:rPr>
        <w:t>Τα κράτη μέλη δεν παρεμποδίζουν τη διάθεση στην αγορά ούτε τη θέση σε λειτουργία, στην επικράτειά τους, ελαστικών που συμμορφώνονται με τον παρόντα κανονισμό.</w:t>
      </w:r>
    </w:p>
    <w:p>
      <w:pPr>
        <w:pStyle w:val="ManualNumPar1"/>
        <w:rPr>
          <w:noProof/>
        </w:rPr>
      </w:pPr>
      <w:r>
        <w:t>2.</w:t>
      </w:r>
      <w:r>
        <w:tab/>
      </w:r>
      <w:r>
        <w:rPr>
          <w:noProof/>
        </w:rPr>
        <w:t>Τα κράτη μέλη δεν παρέχουν κίνητρα σε σχέση με ελαστικά κάτω από την κατηγορία Β όσον αφορά είτε την εξοικονόμηση καυσίμου είτε την πρόσφυση σε υγρό οδόστρωμα κατά την έννοια του παραρτήματος Ι μέρη Α και Β αντιστοίχως. Φορολογικά και δημοσιονομικά μέτρα δεν αποτελούν κίνητρα για τους σκοπούς του παρόντος κανονισμού.</w:t>
      </w:r>
    </w:p>
    <w:p>
      <w:pPr>
        <w:pStyle w:val="ManualNumPar1"/>
        <w:rPr>
          <w:noProof/>
        </w:rPr>
      </w:pPr>
      <w:r>
        <w:t>3.</w:t>
      </w:r>
      <w:r>
        <w:tab/>
      </w:r>
      <w:r>
        <w:rPr>
          <w:noProof/>
        </w:rPr>
        <w:t>Τα κράτη μέλη καθορίζουν τους κανόνες για τις κυρώσεις που επιβάλλονται και τους μηχανισμούς επιβολής της νομοθεσίας που εφαρμόζονται σε περίπτωση παράβασης του παρόντος κανονισμού και των κατ’ εξουσιοδότηση πράξεων που εκδίδονται δυνάμει αυτού, και λαμβάνουν κάθε αναγκαίο μέτρο για να διασφαλίσουν την εφαρμογή τους. Οι προβλεπόμενες κυρώσεις είναι αποτελεσματικές, αναλογικές και αποτρεπτικές.</w:t>
      </w:r>
    </w:p>
    <w:p>
      <w:pPr>
        <w:pStyle w:val="ManualNumPar1"/>
        <w:rPr>
          <w:noProof/>
        </w:rPr>
      </w:pPr>
      <w:r>
        <w:t>4.</w:t>
      </w:r>
      <w:r>
        <w:tab/>
      </w:r>
      <w:r>
        <w:rPr>
          <w:noProof/>
        </w:rPr>
        <w:t>Τα κράτη μέλη κοινοποιούν στην Επιτροπή, έως την 1η Ιουνίου 2020, τους κανόνες που αναφέρονται στην παράγραφο 3 και που δεν της είχαν προηγουμένως κοινοποιηθεί, και της κοινοποιούν επίσης χωρίς καθυστέρηση κάθε μεταγενέστερη τροποποίηση που τους επηρεάζει.</w:t>
      </w:r>
    </w:p>
    <w:p>
      <w:pPr>
        <w:pStyle w:val="Titrearticle"/>
        <w:rPr>
          <w:b/>
          <w:i w:val="0"/>
          <w:noProof/>
        </w:rPr>
      </w:pPr>
      <w:r>
        <w:rPr>
          <w:noProof/>
        </w:rPr>
        <w:lastRenderedPageBreak/>
        <w:t>Άρθρο 11</w:t>
      </w:r>
      <w:r>
        <w:rPr>
          <w:noProof/>
        </w:rPr>
        <w:br/>
      </w:r>
      <w:r>
        <w:rPr>
          <w:b/>
          <w:i w:val="0"/>
          <w:noProof/>
        </w:rPr>
        <w:t>Εποπτεία της αγοράς της Ένωσης και έλεγχος των εισερχόμενων στην αγορά της Ένωσης προϊόντων</w:t>
      </w:r>
    </w:p>
    <w:p>
      <w:pPr>
        <w:pStyle w:val="ManualNumPar1"/>
        <w:rPr>
          <w:noProof/>
        </w:rPr>
      </w:pPr>
      <w:r>
        <w:t>1.</w:t>
      </w:r>
      <w:r>
        <w:tab/>
      </w:r>
      <w:r>
        <w:rPr>
          <w:noProof/>
        </w:rPr>
        <w:t>[Τα άρθρα 16 έως 29 του κανονισμού (ΕΚ) αριθ. 765/2008/Κανονισμός σχετικά με τη συμμόρφωση και την επιβολή που βασίστηκε στην πρόταση κανονισμού COM(2017)795] εφαρμόζονται στα προϊόντα που καλύπτονται από τον παρόντα κανονισμό και τις σχετικές κατ’ εξουσιοδότηση πράξεις που εκδίδονται δυνάμει αυτού.</w:t>
      </w:r>
    </w:p>
    <w:p>
      <w:pPr>
        <w:pStyle w:val="ManualNumPar1"/>
        <w:rPr>
          <w:noProof/>
        </w:rPr>
      </w:pPr>
      <w:r>
        <w:t>2.</w:t>
      </w:r>
      <w:r>
        <w:tab/>
      </w:r>
      <w:r>
        <w:rPr>
          <w:noProof/>
        </w:rPr>
        <w:t>Η Επιτροπή ενθαρρύνει και υποστηρίζει τη συνεργασία και την ανταλλαγή πληροφοριών για την εποπτεία της αγοράς όσον αφορά τη σήμανση των προϊόντων μεταξύ των εθνικών αρχών των κρατών μελών που είναι αρμόδιες για την εποπτεία της αγοράς ή είναι επιφορτισμένες με τον έλεγχο των προϊόντων που εισέρχονται στην αγορά της Ένωσης και μεταξύ των αρχών αυτών και της Επιτροπής, ιδίως με τη στενότερη συμμετοχή της ομάδας εμπειρογνωμόνων για τη σήμανση των ελαστικών «Διοικητική συνεργασία για την εποπτεία της αγοράς».</w:t>
      </w:r>
    </w:p>
    <w:p>
      <w:pPr>
        <w:pStyle w:val="ManualNumPar1"/>
        <w:rPr>
          <w:noProof/>
        </w:rPr>
      </w:pPr>
      <w:r>
        <w:t>3.</w:t>
      </w:r>
      <w:r>
        <w:tab/>
      </w:r>
      <w:r>
        <w:rPr>
          <w:noProof/>
        </w:rPr>
        <w:t>Τα γενικά προγράμματα εποπτείας της αγοράς των κρατών μελών που έχουν εγκριθεί βάσει του [άρθρου 13 του κανονισμού (ΕΚ) αριθ. 765/2008/Κανονισμός σχετικά με τη συμμόρφωση και την επιβολή που βασίστηκε στην πρόταση κανονισμού COM(2017)795] περιλαμβάνουν δράσεις προκειμένου να διασφαλίζεται η αποτελεσματική επιβολή του παρόντος κανονισμού.</w:t>
      </w:r>
    </w:p>
    <w:p>
      <w:pPr>
        <w:pStyle w:val="Titrearticle"/>
        <w:rPr>
          <w:noProof/>
        </w:rPr>
      </w:pPr>
      <w:r>
        <w:rPr>
          <w:noProof/>
        </w:rPr>
        <w:t>Άρθρο 12</w:t>
      </w:r>
    </w:p>
    <w:p>
      <w:pPr>
        <w:pStyle w:val="Titrearticle"/>
        <w:spacing w:before="120"/>
        <w:rPr>
          <w:b/>
          <w:i w:val="0"/>
          <w:noProof/>
        </w:rPr>
      </w:pPr>
      <w:r>
        <w:rPr>
          <w:b/>
          <w:i w:val="0"/>
          <w:noProof/>
        </w:rPr>
        <w:t>Κατ’ εξουσιοδότηση πράξεις</w:t>
      </w:r>
    </w:p>
    <w:p>
      <w:pPr>
        <w:rPr>
          <w:noProof/>
        </w:rPr>
      </w:pPr>
      <w:r>
        <w:rPr>
          <w:noProof/>
        </w:rPr>
        <w:t>Η Επιτροπή εξουσιοδοτείται να εκδίδει κατ’ εξουσιοδότηση πράξεις σύμφωνα με το άρθρο 13, προκειμένου:</w:t>
      </w:r>
    </w:p>
    <w:p>
      <w:pPr>
        <w:pStyle w:val="Point1"/>
        <w:rPr>
          <w:noProof/>
        </w:rPr>
      </w:pPr>
      <w:r>
        <w:rPr>
          <w:noProof/>
        </w:rPr>
        <w:t>α)</w:t>
      </w:r>
      <w:r>
        <w:rPr>
          <w:noProof/>
        </w:rPr>
        <w:tab/>
        <w:t>να τροποποιεί το περιεχόμενο και τη μορφή της σήμανσης·</w:t>
      </w:r>
    </w:p>
    <w:p>
      <w:pPr>
        <w:pStyle w:val="Point1"/>
        <w:rPr>
          <w:noProof/>
        </w:rPr>
      </w:pPr>
      <w:r>
        <w:rPr>
          <w:noProof/>
        </w:rPr>
        <w:t>β)</w:t>
      </w:r>
      <w:r>
        <w:rPr>
          <w:noProof/>
        </w:rPr>
        <w:tab/>
        <w:t>να εισάγει παραμέτρους ή απαιτήσεις πληροφόρησης στα παραρτήματα, ιδίως όσον αφορά το χιλιομετρικό προσδόκιμο και την αντοχή στη φθορά, υπό τον όρο ότι είναι διαθέσιμες κατάλληλες μέθοδοι δοκιμής·</w:t>
      </w:r>
    </w:p>
    <w:p>
      <w:pPr>
        <w:pStyle w:val="Point1"/>
        <w:rPr>
          <w:noProof/>
        </w:rPr>
      </w:pPr>
      <w:r>
        <w:rPr>
          <w:noProof/>
        </w:rPr>
        <w:t>γ)</w:t>
      </w:r>
      <w:r>
        <w:rPr>
          <w:noProof/>
        </w:rPr>
        <w:tab/>
        <w:t>να προσαρμόζει στην τεχνική πρόοδο τις τιμές, τις μεθόδους υπολογισμού και τις απαιτήσεις των παραρτημάτων.</w:t>
      </w:r>
    </w:p>
    <w:p>
      <w:pPr>
        <w:rPr>
          <w:noProof/>
        </w:rPr>
      </w:pPr>
      <w:r>
        <w:rPr>
          <w:noProof/>
        </w:rPr>
        <w:t>Όταν ενδείκνυται, κατά την εκπόνηση κατ’ εξουσιοδότηση πράξεων, η Επιτροπή υποβάλλει το σχέδιο και το περιεχόμενο των σημάνσεων ειδικών ομάδων προϊόντων στον έλεγχο αντιπροσωπευτικών ομάδων πελατών στην Ένωση, ώστε να εξασφαλίσει ότι αυτοί κατανοούν απόλυτα τις σημάνσεις.</w:t>
      </w:r>
    </w:p>
    <w:p>
      <w:pPr>
        <w:pStyle w:val="Titrearticle"/>
        <w:rPr>
          <w:b/>
          <w:i w:val="0"/>
          <w:noProof/>
        </w:rPr>
      </w:pPr>
      <w:r>
        <w:rPr>
          <w:noProof/>
        </w:rPr>
        <w:t>Άρθρο 13</w:t>
      </w:r>
      <w:r>
        <w:rPr>
          <w:noProof/>
        </w:rPr>
        <w:br/>
      </w:r>
      <w:r>
        <w:rPr>
          <w:b/>
          <w:i w:val="0"/>
          <w:noProof/>
        </w:rPr>
        <w:t>Άσκηση της εξουσιοδότησης</w:t>
      </w:r>
    </w:p>
    <w:p>
      <w:pPr>
        <w:pStyle w:val="ManualNumPar1"/>
        <w:rPr>
          <w:noProof/>
        </w:rPr>
      </w:pPr>
      <w:r>
        <w:t>1.</w:t>
      </w:r>
      <w:r>
        <w:tab/>
      </w:r>
      <w:r>
        <w:rPr>
          <w:noProof/>
        </w:rPr>
        <w:t>Ανατίθεται στην Επιτροπή η εξουσία να εκδίδει κατ’ εξουσιοδότηση πράξεις υπό τους όρους του παρόντος άρθρου.</w:t>
      </w:r>
    </w:p>
    <w:p>
      <w:pPr>
        <w:pStyle w:val="ManualNumPar1"/>
        <w:rPr>
          <w:noProof/>
        </w:rPr>
      </w:pPr>
      <w:r>
        <w:t>2.</w:t>
      </w:r>
      <w:r>
        <w:tab/>
      </w:r>
      <w:r>
        <w:rPr>
          <w:noProof/>
        </w:rPr>
        <w:t xml:space="preserve">Η εξουσία έκδοσης κατ’ εξουσιοδότηση πράξεων που αναφέρεται στο άρθρο 12 ανατίθεται στην Επιτροπή για περίοδο πέντε ετών από </w:t>
      </w:r>
      <w:r>
        <w:rPr>
          <w:i/>
          <w:noProof/>
          <w:color w:val="FF0000"/>
        </w:rPr>
        <w:t>[να εισαχθεί η ημερομηνία έναρξης ισχύος του παρόντος κανονισμού]</w:t>
      </w:r>
      <w:r>
        <w:rPr>
          <w:noProof/>
        </w:rPr>
        <w:t xml:space="preserve">. Η Επιτροπή υποβάλλει έκθεση σχετικά με τις εξουσίες που της έχουν ανατεθεί το αργότερο εννέα μήνες πριν τη λήξη της πενταετίας. Η εξουσιοδότηση ανανεώνεται σιωπηρά για περιόδους ίσης διάρκειας, </w:t>
      </w:r>
      <w:r>
        <w:rPr>
          <w:noProof/>
        </w:rPr>
        <w:lastRenderedPageBreak/>
        <w:t>εκτός αν το Ευρωπαϊκό Κοινοβούλιο ή το Συμβούλιο προβάλλουν αντιρρήσεις το αργότερο εντός τριών μηνών πριν από τη λήξη της κάθε περιόδου.</w:t>
      </w:r>
    </w:p>
    <w:p>
      <w:pPr>
        <w:pStyle w:val="ManualNumPar1"/>
        <w:rPr>
          <w:noProof/>
        </w:rPr>
      </w:pPr>
      <w:r>
        <w:t>3.</w:t>
      </w:r>
      <w:r>
        <w:tab/>
      </w:r>
      <w:r>
        <w:rPr>
          <w:noProof/>
        </w:rPr>
        <w:t xml:space="preserve">Η εξουσιοδότηση που προβλέπεται στο άρθρο 12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 Δεν θίγει το κύρος των κατ' εξουσιοδότηση πράξεων που ισχύουν ήδη.</w:t>
      </w:r>
    </w:p>
    <w:p>
      <w:pPr>
        <w:pStyle w:val="ManualNumPar1"/>
        <w:rPr>
          <w:noProof/>
        </w:rPr>
      </w:pPr>
      <w:r>
        <w:t>4.</w:t>
      </w:r>
      <w:r>
        <w:tab/>
      </w:r>
      <w:r>
        <w:rPr>
          <w:noProof/>
        </w:rPr>
        <w:t>Πριν από την έκδοση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της 13ης Απριλίου 2016 για τη βελτίωση του νομοθετικού έργου.</w:t>
      </w:r>
    </w:p>
    <w:p>
      <w:pPr>
        <w:pStyle w:val="ManualNumPar1"/>
        <w:rPr>
          <w:noProof/>
        </w:rPr>
      </w:pPr>
      <w:r>
        <w:t>5.</w:t>
      </w:r>
      <w:r>
        <w:tab/>
      </w:r>
      <w:r>
        <w:rPr>
          <w:noProof/>
        </w:rPr>
        <w:t>Μόλις εκδώσει κατ’ εξουσιοδότηση πράξη, η Επιτροπή την κοινοποιεί ταυτόχρονα στο Ευρωπαϊκό Κοινοβούλιο και το Συμβούλιο.</w:t>
      </w:r>
    </w:p>
    <w:p>
      <w:pPr>
        <w:pStyle w:val="ManualNumPar1"/>
        <w:rPr>
          <w:noProof/>
        </w:rPr>
      </w:pPr>
      <w:r>
        <w:t>6.</w:t>
      </w:r>
      <w:r>
        <w:tab/>
      </w:r>
      <w:r>
        <w:rPr>
          <w:noProof/>
        </w:rPr>
        <w:t>Η κατ’ εξουσιοδότηση πράξη που εκδίδεται δυνάμει του άρθρου 12 αρχίζει να ισχύει μόνο εφόσον δεν έχει διατυπωθεί αντίρρηση από το Ευρωπαϊκό Κοινοβούλιο ή το Συμβούλιο εντός δύο μηνών από την ημερομηνία κοινοποίηση της πράξης στο Ευρωπαϊκό Κοινοβούλιο και το Συμβούλιο ή αν, πριν λήξει αυτή η περίοδος, το Ευρωπαϊκό Κοινοβούλιο και το Συμβούλιο ενημερώσουν αμφότερα την Επιτροπή ότι δεν θα προβάλλουν αντιρρήσεις. Η προθεσμία αυτή παρατείνεται κατά δύο μήνες κατόπιν πρωτοβουλίας του Ευρωπαϊκού Κοινοβουλίου ή του Συμβουλίου.</w:t>
      </w:r>
    </w:p>
    <w:p>
      <w:pPr>
        <w:pStyle w:val="Titrearticle"/>
        <w:rPr>
          <w:b/>
          <w:i w:val="0"/>
          <w:noProof/>
        </w:rPr>
      </w:pPr>
      <w:r>
        <w:rPr>
          <w:noProof/>
        </w:rPr>
        <w:t>Άρθρο 14</w:t>
      </w:r>
      <w:r>
        <w:rPr>
          <w:noProof/>
        </w:rPr>
        <w:br/>
      </w:r>
      <w:r>
        <w:rPr>
          <w:b/>
          <w:i w:val="0"/>
          <w:noProof/>
        </w:rPr>
        <w:t>Αξιολόγηση και υποβολή εκθέσεων</w:t>
      </w:r>
    </w:p>
    <w:p>
      <w:pPr>
        <w:rPr>
          <w:noProof/>
        </w:rPr>
      </w:pPr>
      <w:r>
        <w:rPr>
          <w:noProof/>
        </w:rPr>
        <w:t xml:space="preserve">Έως την 1η Ιουνίου 2026 η Επιτροπή διενεργεί αξιολόγηση του παρόντος κανονισμού και υποβάλλει έκθεση στο Ευρωπαϊκό Κοινοβούλιο, το Συμβούλιο και την Ευρωπαϊκή Οικονομική και Κοινωνική Επιτροπή. </w:t>
      </w:r>
    </w:p>
    <w:p>
      <w:pPr>
        <w:rPr>
          <w:noProof/>
        </w:rPr>
      </w:pPr>
      <w:r>
        <w:rPr>
          <w:noProof/>
        </w:rPr>
        <w:t>Στην εν λόγω έκθεση αξιολογείται πόσο αποτελεσματικά ο κανονισμός και οι κατ’ εξουσιοδότηση πράξεις που εκδίδονται δυνάμει αυτού έχουν επιτρέψει στους τελικούς χρήστες να επιλέγουν ελαστικά υψηλότερων επιδόσεων, λαμβανομένων υπόψη των επιπτώσεών τους στις επιχειρήσεις, στην κατανάλωση καυσίμων, στην ασφάλεια, στις εκπομπές αερίων του θερμοκηπίου και στις δραστηριότητες εποπτείας της αγοράς. Εκτιμώνται επίσης το κόστος και τα οφέλη της ανεξάρτητης και υποχρεωτικής επαλήθευσης από τρίτο μέρος των πληροφοριών που παρέχονται στη σήμανση, λαμβάνοντας επίσης υπόψη την πείρα που αποκτήθηκε από το ευρύτερο πλαίσιο που παρέχει ο κανονισμός (ΕΚ) αριθ. 661/2009.</w:t>
      </w:r>
    </w:p>
    <w:p>
      <w:pPr>
        <w:pStyle w:val="Titrearticle"/>
        <w:rPr>
          <w:b/>
          <w:i w:val="0"/>
          <w:noProof/>
        </w:rPr>
      </w:pPr>
      <w:r>
        <w:rPr>
          <w:noProof/>
        </w:rPr>
        <w:t>Άρθρο 15</w:t>
      </w:r>
      <w:r>
        <w:rPr>
          <w:noProof/>
        </w:rPr>
        <w:br/>
      </w:r>
      <w:r>
        <w:rPr>
          <w:b/>
          <w:i w:val="0"/>
          <w:noProof/>
        </w:rPr>
        <w:t>Τροποποίηση του κανονισμού (ΕΕ) 2017/1369</w:t>
      </w:r>
    </w:p>
    <w:p>
      <w:pPr>
        <w:pStyle w:val="Titrearticle"/>
        <w:jc w:val="both"/>
        <w:rPr>
          <w:i w:val="0"/>
          <w:noProof/>
        </w:rPr>
      </w:pPr>
      <w:r>
        <w:rPr>
          <w:i w:val="0"/>
          <w:noProof/>
        </w:rPr>
        <w:t>Στο άρθρο 12 παράγραφος 2 του κανονισμού (ΕΕ) 2017/1369, το στοιχείο α) αντικαθίσταται από το ακόλουθο κείμενο:</w:t>
      </w:r>
    </w:p>
    <w:p>
      <w:pPr>
        <w:pStyle w:val="Text1"/>
        <w:rPr>
          <w:noProof/>
        </w:rPr>
      </w:pPr>
      <w:r>
        <w:rPr>
          <w:noProof/>
        </w:rPr>
        <w:t>«α)</w:t>
      </w:r>
      <w:r>
        <w:rPr>
          <w:noProof/>
        </w:rPr>
        <w:tab/>
        <w:t>στήριξη των αρχών εποπτείας της αγοράς κατά την εκτέλεση των καθηκόντων τους βάσει του παρόντος κανονισμού και των σχετικών κατ’ εξουσιοδότηση πράξεων, συμπεριλαμβανομένης της επιβολής αυτών, και βάσει του κανονισμού (ΕΕ)· [</w:t>
      </w:r>
      <w:r>
        <w:rPr>
          <w:i/>
          <w:noProof/>
          <w:color w:val="FF0000"/>
        </w:rPr>
        <w:t>να εισαχθεί παραπομπή στον παρόντα κανονισμό</w:t>
      </w:r>
      <w:r>
        <w:rPr>
          <w:noProof/>
        </w:rPr>
        <w:t>]».</w:t>
      </w:r>
    </w:p>
    <w:p>
      <w:pPr>
        <w:pStyle w:val="Titrearticle"/>
        <w:rPr>
          <w:b/>
          <w:i w:val="0"/>
          <w:noProof/>
        </w:rPr>
      </w:pPr>
      <w:r>
        <w:rPr>
          <w:noProof/>
        </w:rPr>
        <w:lastRenderedPageBreak/>
        <w:t>Άρθρο 16</w:t>
      </w:r>
      <w:r>
        <w:rPr>
          <w:noProof/>
        </w:rPr>
        <w:br/>
      </w:r>
      <w:r>
        <w:rPr>
          <w:b/>
          <w:i w:val="0"/>
          <w:noProof/>
        </w:rPr>
        <w:t>Κατάργηση του κανονισμού (ΕΚ) αριθ. 2009/1222</w:t>
      </w:r>
    </w:p>
    <w:p>
      <w:pPr>
        <w:rPr>
          <w:noProof/>
        </w:rPr>
      </w:pPr>
      <w:r>
        <w:rPr>
          <w:noProof/>
        </w:rPr>
        <w:t>Ο κανονισμός (ΕΚ) αριθ. 2009/1222 καταργείται.</w:t>
      </w:r>
    </w:p>
    <w:p>
      <w:pPr>
        <w:rPr>
          <w:noProof/>
        </w:rPr>
      </w:pPr>
      <w:r>
        <w:rPr>
          <w:noProof/>
        </w:rPr>
        <w:t>Οι παραπομπές στον καταργούμενο κανονισμό νοούνται ως παραπομπές στον παρόντα κανονισμό και διαβάζονται σύμφωνα με τον πίνακα αντιστοιχίας του παραρτήματος VIII.</w:t>
      </w:r>
    </w:p>
    <w:p>
      <w:pPr>
        <w:pStyle w:val="Titrearticle"/>
        <w:rPr>
          <w:b/>
          <w:i w:val="0"/>
          <w:noProof/>
        </w:rPr>
      </w:pPr>
      <w:r>
        <w:rPr>
          <w:noProof/>
        </w:rPr>
        <w:t>Άρθρο 17</w:t>
      </w:r>
      <w:r>
        <w:rPr>
          <w:noProof/>
        </w:rPr>
        <w:br/>
      </w:r>
      <w:r>
        <w:rPr>
          <w:b/>
          <w:i w:val="0"/>
          <w:noProof/>
        </w:rPr>
        <w:t>Έναρξη ισχύος</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rPr>
          <w:noProof/>
        </w:rPr>
      </w:pPr>
      <w:r>
        <w:rPr>
          <w:noProof/>
        </w:rPr>
        <w:t>Εφαρμόζεται από την 1η Ιουνίου 2020.</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pgSz w:w="11907" w:h="16839"/>
          <w:pgMar w:top="1134" w:right="1417" w:bottom="1134" w:left="1417" w:header="709" w:footer="709" w:gutter="0"/>
          <w:cols w:space="720"/>
          <w:docGrid w:linePitch="360"/>
        </w:sectPr>
      </w:pPr>
    </w:p>
    <w:p>
      <w:pPr>
        <w:pStyle w:val="Fichefinanciretitre"/>
        <w:rPr>
          <w:noProof/>
        </w:rPr>
      </w:pPr>
    </w:p>
    <w:p>
      <w:pPr>
        <w:jc w:val="center"/>
        <w:rPr>
          <w:b/>
          <w:noProof/>
          <w:u w:val="single"/>
        </w:rPr>
      </w:pPr>
      <w:r>
        <w:rPr>
          <w:b/>
          <w:noProof/>
          <w:u w:val="single"/>
        </w:rPr>
        <w:t>ΝΟΜΟΘΕΤΙΚΟ ΔΗΜΟΣΙΟΝΟΜΙΚΟ ΔΕΛΤΙΟ</w:t>
      </w:r>
    </w:p>
    <w:p>
      <w:pPr>
        <w:keepNext/>
        <w:tabs>
          <w:tab w:val="left" w:pos="850"/>
        </w:tabs>
        <w:spacing w:before="360"/>
        <w:ind w:left="850" w:hanging="850"/>
        <w:outlineLvl w:val="0"/>
        <w:rPr>
          <w:b/>
          <w:smallCaps/>
          <w:noProof/>
        </w:rPr>
      </w:pPr>
      <w:r>
        <w:rPr>
          <w:b/>
          <w:smallCaps/>
          <w:noProof/>
        </w:rPr>
        <w:t>1.</w:t>
      </w:r>
      <w:r>
        <w:rPr>
          <w:noProof/>
        </w:rPr>
        <w:tab/>
      </w:r>
      <w:r>
        <w:rPr>
          <w:b/>
          <w:smallCaps/>
          <w:noProof/>
        </w:rPr>
        <w:t>ΠΛΑΙΣΙΟ ΤΗΣ ΠΡΟΤΑΣΗΣ/ΠΡΩΤΟΒΟΥΛΙΑΣ</w:t>
      </w:r>
    </w:p>
    <w:p>
      <w:pPr>
        <w:keepNext/>
        <w:tabs>
          <w:tab w:val="left" w:pos="850"/>
        </w:tabs>
        <w:ind w:left="850" w:hanging="850"/>
        <w:outlineLvl w:val="1"/>
        <w:rPr>
          <w:noProof/>
        </w:rPr>
      </w:pPr>
      <w:r>
        <w:rPr>
          <w:noProof/>
        </w:rPr>
        <w:tab/>
        <w:t>1.1.</w:t>
      </w:r>
      <w:r>
        <w:rPr>
          <w:noProof/>
        </w:rPr>
        <w:tab/>
        <w:t>Τίτλος της πρότασης/πρωτοβουλίας</w:t>
      </w:r>
    </w:p>
    <w:p>
      <w:pPr>
        <w:keepNext/>
        <w:tabs>
          <w:tab w:val="left" w:pos="850"/>
        </w:tabs>
        <w:ind w:left="850" w:hanging="850"/>
        <w:outlineLvl w:val="1"/>
        <w:rPr>
          <w:noProof/>
        </w:rPr>
      </w:pPr>
      <w:r>
        <w:rPr>
          <w:noProof/>
        </w:rPr>
        <w:tab/>
        <w:t>1.2.</w:t>
      </w:r>
      <w:r>
        <w:rPr>
          <w:noProof/>
        </w:rPr>
        <w:tab/>
        <w:t>Σχετικοί τομείς πολιτικής στη δομή ΔΒΔ/ΠΒΔ</w:t>
      </w:r>
    </w:p>
    <w:p>
      <w:pPr>
        <w:keepNext/>
        <w:tabs>
          <w:tab w:val="left" w:pos="850"/>
        </w:tabs>
        <w:ind w:left="850" w:hanging="850"/>
        <w:outlineLvl w:val="1"/>
        <w:rPr>
          <w:noProof/>
        </w:rPr>
      </w:pPr>
      <w:r>
        <w:rPr>
          <w:noProof/>
        </w:rPr>
        <w:tab/>
        <w:t>1.3.</w:t>
      </w:r>
      <w:r>
        <w:rPr>
          <w:noProof/>
        </w:rPr>
        <w:tab/>
        <w:t>Χαρακτήρας της πρότασης/πρωτοβουλίας</w:t>
      </w:r>
    </w:p>
    <w:p>
      <w:pPr>
        <w:keepNext/>
        <w:tabs>
          <w:tab w:val="left" w:pos="850"/>
        </w:tabs>
        <w:ind w:left="850" w:hanging="850"/>
        <w:outlineLvl w:val="1"/>
        <w:rPr>
          <w:noProof/>
        </w:rPr>
      </w:pPr>
      <w:r>
        <w:rPr>
          <w:noProof/>
        </w:rPr>
        <w:tab/>
        <w:t>1.4.</w:t>
      </w:r>
      <w:r>
        <w:rPr>
          <w:noProof/>
        </w:rPr>
        <w:tab/>
        <w:t>Στόχοι</w:t>
      </w:r>
    </w:p>
    <w:p>
      <w:pPr>
        <w:keepNext/>
        <w:tabs>
          <w:tab w:val="left" w:pos="850"/>
        </w:tabs>
        <w:ind w:left="850" w:hanging="850"/>
        <w:outlineLvl w:val="1"/>
        <w:rPr>
          <w:noProof/>
        </w:rPr>
      </w:pPr>
      <w:r>
        <w:rPr>
          <w:noProof/>
        </w:rPr>
        <w:tab/>
        <w:t>1.5.</w:t>
      </w:r>
      <w:r>
        <w:rPr>
          <w:noProof/>
        </w:rPr>
        <w:tab/>
        <w:t>Αιτιολόγηση της πρότασης/πρωτοβουλίας</w:t>
      </w:r>
    </w:p>
    <w:p>
      <w:pPr>
        <w:keepNext/>
        <w:tabs>
          <w:tab w:val="left" w:pos="850"/>
        </w:tabs>
        <w:ind w:left="850" w:hanging="850"/>
        <w:outlineLvl w:val="1"/>
        <w:rPr>
          <w:noProof/>
        </w:rPr>
      </w:pPr>
      <w:r>
        <w:rPr>
          <w:noProof/>
        </w:rPr>
        <w:tab/>
        <w:t>1.6.</w:t>
      </w:r>
      <w:r>
        <w:rPr>
          <w:noProof/>
        </w:rPr>
        <w:tab/>
        <w:t>Διάρκεια και δημοσιονομικές επιπτώσεις</w:t>
      </w:r>
    </w:p>
    <w:p>
      <w:pPr>
        <w:keepNext/>
        <w:tabs>
          <w:tab w:val="left" w:pos="850"/>
        </w:tabs>
        <w:ind w:left="850" w:hanging="850"/>
        <w:outlineLvl w:val="1"/>
        <w:rPr>
          <w:noProof/>
        </w:rPr>
      </w:pPr>
      <w:r>
        <w:rPr>
          <w:noProof/>
        </w:rPr>
        <w:tab/>
        <w:t>1.7.</w:t>
      </w:r>
      <w:r>
        <w:rPr>
          <w:noProof/>
        </w:rPr>
        <w:tab/>
        <w:t>Προβλεπόμενοι τρόποι διαχείρισης</w:t>
      </w:r>
    </w:p>
    <w:p>
      <w:pPr>
        <w:keepNext/>
        <w:tabs>
          <w:tab w:val="left" w:pos="850"/>
        </w:tabs>
        <w:spacing w:before="360"/>
        <w:ind w:left="850" w:hanging="850"/>
        <w:outlineLvl w:val="0"/>
        <w:rPr>
          <w:b/>
          <w:smallCaps/>
          <w:noProof/>
        </w:rPr>
      </w:pPr>
      <w:r>
        <w:rPr>
          <w:b/>
          <w:smallCaps/>
          <w:noProof/>
        </w:rPr>
        <w:t>2.</w:t>
      </w:r>
      <w:r>
        <w:rPr>
          <w:noProof/>
        </w:rPr>
        <w:tab/>
      </w:r>
      <w:r>
        <w:rPr>
          <w:b/>
          <w:smallCaps/>
          <w:noProof/>
        </w:rPr>
        <w:t>ΜΕΤΡΑ ΔΙΑΧΕΙΡΙΣΗΣ</w:t>
      </w:r>
    </w:p>
    <w:p>
      <w:pPr>
        <w:keepNext/>
        <w:tabs>
          <w:tab w:val="left" w:pos="850"/>
        </w:tabs>
        <w:ind w:left="850" w:hanging="850"/>
        <w:outlineLvl w:val="1"/>
        <w:rPr>
          <w:noProof/>
        </w:rPr>
      </w:pPr>
      <w:r>
        <w:rPr>
          <w:noProof/>
        </w:rPr>
        <w:tab/>
        <w:t>2.1.</w:t>
      </w:r>
      <w:r>
        <w:rPr>
          <w:noProof/>
        </w:rPr>
        <w:tab/>
        <w:t>Κανόνες παρακολούθησης και υποβολής εκθέσεων</w:t>
      </w:r>
    </w:p>
    <w:p>
      <w:pPr>
        <w:keepNext/>
        <w:tabs>
          <w:tab w:val="left" w:pos="850"/>
        </w:tabs>
        <w:ind w:left="850" w:hanging="850"/>
        <w:outlineLvl w:val="1"/>
        <w:rPr>
          <w:noProof/>
        </w:rPr>
      </w:pPr>
      <w:r>
        <w:rPr>
          <w:noProof/>
        </w:rPr>
        <w:tab/>
        <w:t>2.2.</w:t>
      </w:r>
      <w:r>
        <w:rPr>
          <w:noProof/>
        </w:rPr>
        <w:tab/>
        <w:t>Σύστημα διαχείρισης και ελέγχου</w:t>
      </w:r>
    </w:p>
    <w:p>
      <w:pPr>
        <w:keepNext/>
        <w:tabs>
          <w:tab w:val="left" w:pos="850"/>
        </w:tabs>
        <w:ind w:left="850" w:hanging="850"/>
        <w:outlineLvl w:val="1"/>
        <w:rPr>
          <w:noProof/>
        </w:rPr>
      </w:pPr>
      <w:r>
        <w:rPr>
          <w:noProof/>
        </w:rPr>
        <w:tab/>
        <w:t>2.3.</w:t>
      </w:r>
      <w:r>
        <w:rPr>
          <w:noProof/>
        </w:rPr>
        <w:tab/>
        <w:t>Μέτρα για την πρόληψη περιπτώσεων απάτης και παρατυπίας</w:t>
      </w:r>
    </w:p>
    <w:p>
      <w:pPr>
        <w:keepNext/>
        <w:tabs>
          <w:tab w:val="left" w:pos="850"/>
        </w:tabs>
        <w:spacing w:before="360"/>
        <w:ind w:left="850" w:hanging="850"/>
        <w:outlineLvl w:val="0"/>
        <w:rPr>
          <w:b/>
          <w:smallCaps/>
          <w:noProof/>
        </w:rPr>
      </w:pPr>
      <w:r>
        <w:rPr>
          <w:b/>
          <w:smallCaps/>
          <w:noProof/>
        </w:rPr>
        <w:t>3.</w:t>
      </w:r>
      <w:r>
        <w:rPr>
          <w:noProof/>
        </w:rPr>
        <w:tab/>
      </w:r>
      <w:r>
        <w:rPr>
          <w:b/>
          <w:smallCaps/>
          <w:noProof/>
        </w:rPr>
        <w:t>ΕΚΤΙΜΩΜΕΝΕΣ ΔΗΜΟΣΙΟΝΟΜΙΚΕΣ ΕΠΙΠΤΩΣΕΙΣ ΤΗΣ ΠΡΟΤΑΣΗΣ/ΠΡΩΤΟΒΟΥΛΙΑΣ</w:t>
      </w:r>
    </w:p>
    <w:p>
      <w:pPr>
        <w:keepNext/>
        <w:tabs>
          <w:tab w:val="left" w:pos="850"/>
        </w:tabs>
        <w:ind w:left="850" w:hanging="850"/>
        <w:outlineLvl w:val="1"/>
        <w:rPr>
          <w:noProof/>
        </w:rPr>
      </w:pPr>
      <w:r>
        <w:rPr>
          <w:noProof/>
        </w:rPr>
        <w:tab/>
        <w:t>3.1.</w:t>
      </w:r>
      <w:r>
        <w:rPr>
          <w:noProof/>
        </w:rPr>
        <w:tab/>
        <w:t>Τομείς του πολυετούς δημοσιονομικού πλαισίου και γραμμές δαπανών του προϋπολογισμού που επηρεάζονται</w:t>
      </w:r>
    </w:p>
    <w:p>
      <w:pPr>
        <w:keepNext/>
        <w:tabs>
          <w:tab w:val="left" w:pos="850"/>
        </w:tabs>
        <w:ind w:left="850" w:hanging="850"/>
        <w:outlineLvl w:val="1"/>
        <w:rPr>
          <w:b/>
          <w:noProof/>
        </w:rPr>
      </w:pPr>
      <w:r>
        <w:rPr>
          <w:noProof/>
        </w:rPr>
        <w:tab/>
        <w:t>3.2.</w:t>
      </w:r>
      <w:r>
        <w:rPr>
          <w:noProof/>
        </w:rPr>
        <w:tab/>
        <w:t>Εκτιμώμενες επιπτώσεις στις δαπάνες</w:t>
      </w:r>
    </w:p>
    <w:p>
      <w:pPr>
        <w:keepNext/>
        <w:tabs>
          <w:tab w:val="left" w:pos="850"/>
        </w:tabs>
        <w:ind w:left="850" w:hanging="850"/>
        <w:outlineLvl w:val="2"/>
        <w:rPr>
          <w:i/>
          <w:noProof/>
        </w:rPr>
      </w:pPr>
      <w:r>
        <w:rPr>
          <w:noProof/>
        </w:rPr>
        <w:tab/>
      </w:r>
      <w:r>
        <w:rPr>
          <w:i/>
          <w:noProof/>
        </w:rPr>
        <w:t>3.2.1.</w:t>
      </w:r>
      <w:r>
        <w:rPr>
          <w:noProof/>
        </w:rPr>
        <w:tab/>
      </w:r>
      <w:r>
        <w:rPr>
          <w:i/>
          <w:noProof/>
        </w:rPr>
        <w:t>Συνοπτική παρουσίαση των εκτιμώμενων επιπτώσεων στις δαπάνες</w:t>
      </w:r>
    </w:p>
    <w:p>
      <w:pPr>
        <w:keepNext/>
        <w:tabs>
          <w:tab w:val="left" w:pos="850"/>
        </w:tabs>
        <w:ind w:left="850" w:hanging="850"/>
        <w:outlineLvl w:val="2"/>
        <w:rPr>
          <w:i/>
          <w:noProof/>
        </w:rPr>
      </w:pPr>
      <w:r>
        <w:rPr>
          <w:noProof/>
        </w:rPr>
        <w:tab/>
      </w:r>
      <w:r>
        <w:rPr>
          <w:i/>
          <w:noProof/>
        </w:rPr>
        <w:t>3.2.2.</w:t>
      </w:r>
      <w:r>
        <w:rPr>
          <w:noProof/>
        </w:rPr>
        <w:tab/>
      </w:r>
      <w:r>
        <w:rPr>
          <w:i/>
          <w:noProof/>
        </w:rPr>
        <w:t>Εκτιμώμενες επιπτώσεις στις επιχειρησιακές πιστώσεις</w:t>
      </w:r>
    </w:p>
    <w:p>
      <w:pPr>
        <w:keepNext/>
        <w:tabs>
          <w:tab w:val="left" w:pos="850"/>
        </w:tabs>
        <w:ind w:left="850" w:hanging="850"/>
        <w:outlineLvl w:val="2"/>
        <w:rPr>
          <w:i/>
          <w:noProof/>
        </w:rPr>
      </w:pPr>
      <w:r>
        <w:rPr>
          <w:noProof/>
        </w:rPr>
        <w:tab/>
      </w:r>
      <w:r>
        <w:rPr>
          <w:i/>
          <w:noProof/>
        </w:rPr>
        <w:t>3.2.3.</w:t>
      </w:r>
      <w:r>
        <w:rPr>
          <w:noProof/>
        </w:rPr>
        <w:tab/>
      </w:r>
      <w:r>
        <w:rPr>
          <w:i/>
          <w:noProof/>
        </w:rPr>
        <w:t>Εκτιμώμενες επιπτώσεις στις πιστώσεις διοικητικού χαρακτήρα</w:t>
      </w:r>
    </w:p>
    <w:p>
      <w:pPr>
        <w:keepNext/>
        <w:tabs>
          <w:tab w:val="left" w:pos="850"/>
        </w:tabs>
        <w:ind w:left="850" w:hanging="850"/>
        <w:outlineLvl w:val="2"/>
        <w:rPr>
          <w:i/>
          <w:noProof/>
        </w:rPr>
      </w:pPr>
      <w:r>
        <w:rPr>
          <w:noProof/>
        </w:rPr>
        <w:tab/>
      </w:r>
      <w:r>
        <w:rPr>
          <w:i/>
          <w:noProof/>
        </w:rPr>
        <w:t>3.2.4.</w:t>
      </w:r>
      <w:r>
        <w:rPr>
          <w:noProof/>
        </w:rPr>
        <w:tab/>
      </w:r>
      <w:r>
        <w:rPr>
          <w:i/>
          <w:noProof/>
        </w:rPr>
        <w:t>Συμβατότητα με το ισχύον πολυετές δημοσιονομικό πλαίσιο</w:t>
      </w:r>
    </w:p>
    <w:p>
      <w:pPr>
        <w:keepNext/>
        <w:tabs>
          <w:tab w:val="left" w:pos="850"/>
        </w:tabs>
        <w:ind w:left="850" w:hanging="850"/>
        <w:outlineLvl w:val="2"/>
        <w:rPr>
          <w:i/>
          <w:noProof/>
        </w:rPr>
      </w:pPr>
      <w:r>
        <w:rPr>
          <w:noProof/>
        </w:rPr>
        <w:tab/>
      </w:r>
      <w:r>
        <w:rPr>
          <w:i/>
          <w:noProof/>
        </w:rPr>
        <w:t>3.2.5.</w:t>
      </w:r>
      <w:r>
        <w:rPr>
          <w:noProof/>
        </w:rPr>
        <w:tab/>
      </w:r>
      <w:r>
        <w:rPr>
          <w:i/>
          <w:noProof/>
        </w:rPr>
        <w:t>Συμμετοχή τρίτων στη χρηματοδότηση</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t>1.</w:t>
      </w:r>
      <w:r>
        <w:tab/>
      </w:r>
      <w:r>
        <w:rPr>
          <w:noProof/>
        </w:rPr>
        <w:t>ΠΛΑΙΣΙΟ ΤΗΣ ΠΡΟΤΑΣΗΣ/ΠΡΩΤΟΒΟΥΛΙΑΣ</w:t>
      </w:r>
    </w:p>
    <w:p>
      <w:pPr>
        <w:pStyle w:val="ManualHeading2"/>
        <w:rPr>
          <w:noProof/>
        </w:rPr>
      </w:pPr>
      <w:r>
        <w:t>1.1.</w:t>
      </w:r>
      <w:r>
        <w:tab/>
      </w:r>
      <w:r>
        <w:rPr>
          <w:noProof/>
        </w:rPr>
        <w:t>Τίτλος της πρότασης/πρωτοβουλίας</w:t>
      </w:r>
    </w:p>
    <w:p>
      <w:pPr>
        <w:pBdr>
          <w:top w:val="single" w:sz="4" w:space="1" w:color="auto"/>
          <w:left w:val="single" w:sz="4" w:space="4" w:color="auto"/>
          <w:bottom w:val="single" w:sz="4" w:space="1" w:color="auto"/>
          <w:right w:val="single" w:sz="4" w:space="4" w:color="auto"/>
        </w:pBdr>
        <w:ind w:left="850"/>
        <w:rPr>
          <w:noProof/>
        </w:rPr>
      </w:pPr>
      <w:r>
        <w:rPr>
          <w:noProof/>
        </w:rPr>
        <w:t>Πρόταση κανονισμού του Ευρωπαϊκού Κοινοβουλίου και του Συμβουλίου σχετικά με τη σήμανση των ελαστικών επισώτρων αναφορικά με την εξοικονόμηση καυσίμου και άλλες ουσιώδεις παραμέτρους και την κατάργηση του κανονισμού (ΕΚ) αριθ. 1222/2009</w:t>
      </w:r>
    </w:p>
    <w:p>
      <w:pPr>
        <w:pStyle w:val="ManualHeading2"/>
        <w:rPr>
          <w:noProof/>
          <w:szCs w:val="24"/>
        </w:rPr>
      </w:pPr>
      <w:r>
        <w:t>1.2.</w:t>
      </w:r>
      <w:r>
        <w:tab/>
      </w:r>
      <w:r>
        <w:rPr>
          <w:noProof/>
        </w:rPr>
        <w:t>Σχετικοί τομείς πολιτικής στη δομή ΔΒΔ/ΠΒΔ</w:t>
      </w:r>
      <w:r>
        <w:rPr>
          <w:rStyle w:val="FootnoteReference"/>
          <w:noProof/>
        </w:rPr>
        <w:footnoteReference w:id="22"/>
      </w:r>
    </w:p>
    <w:p>
      <w:pPr>
        <w:pBdr>
          <w:top w:val="single" w:sz="4" w:space="1" w:color="auto"/>
          <w:left w:val="single" w:sz="4" w:space="4" w:color="auto"/>
          <w:bottom w:val="single" w:sz="4" w:space="1" w:color="auto"/>
          <w:right w:val="single" w:sz="4" w:space="4" w:color="auto"/>
        </w:pBdr>
        <w:ind w:left="850"/>
        <w:rPr>
          <w:noProof/>
        </w:rPr>
      </w:pPr>
      <w:r>
        <w:rPr>
          <w:noProof/>
        </w:rPr>
        <w:t>Τίτλος 32 — Ενέργεια</w:t>
      </w:r>
    </w:p>
    <w:p>
      <w:pPr>
        <w:pBdr>
          <w:top w:val="single" w:sz="4" w:space="1" w:color="auto"/>
          <w:left w:val="single" w:sz="4" w:space="4" w:color="auto"/>
          <w:bottom w:val="single" w:sz="4" w:space="1" w:color="auto"/>
          <w:right w:val="single" w:sz="4" w:space="4" w:color="auto"/>
        </w:pBdr>
        <w:ind w:left="850"/>
        <w:rPr>
          <w:noProof/>
        </w:rPr>
      </w:pPr>
      <w:r>
        <w:rPr>
          <w:noProof/>
        </w:rPr>
        <w:t>32 02 02 Δραστηριότητες υποστήριξης της ευρωπαϊκής ενεργειακής πολιτικής και της εσωτερικής αγοράς ενέργειας</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r>
        <w:t>1.3.</w:t>
      </w:r>
      <w:r>
        <w:tab/>
      </w:r>
      <w:r>
        <w:rPr>
          <w:noProof/>
        </w:rPr>
        <w:t>Χαρακτήρας της πρότασης/πρωτοβουλίας</w:t>
      </w:r>
    </w:p>
    <w:p>
      <w:pPr>
        <w:ind w:left="850"/>
        <w:rPr>
          <w:noProof/>
        </w:rPr>
      </w:pPr>
      <w:r>
        <w:rPr>
          <w:noProof/>
        </w:rPr>
        <w:t xml:space="preserve">Η πρόταση/πρωτοβουλία αφορά </w:t>
      </w:r>
      <w:r>
        <w:rPr>
          <w:b/>
          <w:noProof/>
        </w:rPr>
        <w:t>την παράταση υφιστάμενης δράσης</w:t>
      </w:r>
      <w:r>
        <w:rPr>
          <w:noProof/>
        </w:rPr>
        <w:t>.</w:t>
      </w:r>
    </w:p>
    <w:p>
      <w:pPr>
        <w:pStyle w:val="ManualHeading2"/>
        <w:rPr>
          <w:noProof/>
          <w:szCs w:val="24"/>
        </w:rPr>
      </w:pPr>
      <w:r>
        <w:t>1.4.</w:t>
      </w:r>
      <w:r>
        <w:tab/>
      </w:r>
      <w:r>
        <w:rPr>
          <w:noProof/>
        </w:rPr>
        <w:t>Στόχοι</w:t>
      </w:r>
    </w:p>
    <w:p>
      <w:pPr>
        <w:pStyle w:val="ManualHeading3"/>
        <w:rPr>
          <w:noProof/>
        </w:rPr>
      </w:pPr>
      <w:r>
        <w:t>1.4.1.</w:t>
      </w:r>
      <w:r>
        <w:tab/>
      </w:r>
      <w:r>
        <w:rPr>
          <w:noProof/>
        </w:rPr>
        <w:t xml:space="preserve">Πολυετείς στρατηγικοί στόχοι της Επιτροπής τους οποίους αφορά η πρόταση/πρωτοβουλία </w:t>
      </w:r>
    </w:p>
    <w:p>
      <w:pPr>
        <w:pBdr>
          <w:top w:val="single" w:sz="4" w:space="1" w:color="auto"/>
          <w:left w:val="single" w:sz="4" w:space="4" w:color="auto"/>
          <w:bottom w:val="single" w:sz="4" w:space="1" w:color="auto"/>
          <w:right w:val="single" w:sz="4" w:space="4" w:color="auto"/>
        </w:pBdr>
        <w:ind w:left="850"/>
        <w:rPr>
          <w:noProof/>
        </w:rPr>
      </w:pPr>
      <w:r>
        <w:rPr>
          <w:noProof/>
        </w:rPr>
        <w:t>Ενεργειακή Ένωση</w:t>
      </w:r>
    </w:p>
    <w:p>
      <w:pPr>
        <w:pStyle w:val="ManualHeading3"/>
        <w:rPr>
          <w:noProof/>
          <w:szCs w:val="24"/>
        </w:rPr>
      </w:pPr>
      <w:r>
        <w:t>1.4.2.</w:t>
      </w:r>
      <w:r>
        <w:tab/>
      </w:r>
      <w:r>
        <w:rPr>
          <w:noProof/>
        </w:rPr>
        <w:t>Ειδικοί στόχοι και δραστηριότητες ΔΒΔ/ΠΒΔ</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Ειδικός στόχος</w:t>
      </w:r>
    </w:p>
    <w:p>
      <w:pPr>
        <w:pBdr>
          <w:top w:val="single" w:sz="4" w:space="1" w:color="auto"/>
          <w:left w:val="single" w:sz="4" w:space="4" w:color="auto"/>
          <w:bottom w:val="single" w:sz="4" w:space="1" w:color="auto"/>
          <w:right w:val="single" w:sz="4" w:space="4" w:color="auto"/>
        </w:pBdr>
        <w:ind w:left="850"/>
        <w:rPr>
          <w:noProof/>
          <w:highlight w:val="yellow"/>
        </w:rPr>
      </w:pPr>
      <w:r>
        <w:rPr>
          <w:noProof/>
        </w:rPr>
        <w:t>Προώθηση της συγκράτησης της ενεργειακής ζήτησης.</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Σχετικές δραστηριότητες ΔΒΔ/ΠΒΔ</w:t>
      </w:r>
    </w:p>
    <w:p>
      <w:pPr>
        <w:pBdr>
          <w:top w:val="single" w:sz="4" w:space="1" w:color="auto"/>
          <w:left w:val="single" w:sz="4" w:space="4" w:color="auto"/>
          <w:bottom w:val="single" w:sz="4" w:space="1" w:color="auto"/>
          <w:right w:val="single" w:sz="4" w:space="4" w:color="auto"/>
        </w:pBdr>
        <w:ind w:left="850"/>
        <w:rPr>
          <w:noProof/>
        </w:rPr>
      </w:pPr>
      <w:r>
        <w:rPr>
          <w:noProof/>
        </w:rPr>
        <w:t>ΠΒΔ 1: Συμβατικές και ανανεώσιμες πηγές ενέργειας</w:t>
      </w:r>
    </w:p>
    <w:p>
      <w:pPr>
        <w:pBdr>
          <w:top w:val="single" w:sz="4" w:space="1" w:color="auto"/>
          <w:left w:val="single" w:sz="4" w:space="4" w:color="auto"/>
          <w:bottom w:val="single" w:sz="4" w:space="1" w:color="auto"/>
          <w:right w:val="single" w:sz="4" w:space="4" w:color="auto"/>
        </w:pBdr>
        <w:ind w:left="850"/>
        <w:rPr>
          <w:noProof/>
        </w:rPr>
      </w:pPr>
      <w:r>
        <w:rPr>
          <w:noProof/>
        </w:rPr>
        <w:t>ΠΒΔ 2: Δραστηριότητες έρευνας και καινοτομίας που σχετίζονται με την ενέργεια</w:t>
      </w:r>
    </w:p>
    <w:p>
      <w:pPr>
        <w:pStyle w:val="ManualHeading3"/>
        <w:rPr>
          <w:noProof/>
          <w:szCs w:val="24"/>
        </w:rPr>
      </w:pPr>
      <w:r>
        <w:t>1.4.3.</w:t>
      </w:r>
      <w:r>
        <w:tab/>
      </w:r>
      <w:r>
        <w:rPr>
          <w:noProof/>
        </w:rPr>
        <w:t>Αναμενόμενα αποτελέσματα και επιπτώσεις</w:t>
      </w:r>
    </w:p>
    <w:p>
      <w:pPr>
        <w:pBdr>
          <w:top w:val="single" w:sz="4" w:space="1" w:color="auto"/>
          <w:left w:val="single" w:sz="4" w:space="4" w:color="auto"/>
          <w:bottom w:val="single" w:sz="4" w:space="1" w:color="auto"/>
          <w:right w:val="single" w:sz="4" w:space="4" w:color="auto"/>
        </w:pBdr>
        <w:ind w:left="850"/>
        <w:rPr>
          <w:noProof/>
        </w:rPr>
      </w:pPr>
      <w:r>
        <w:rPr>
          <w:noProof/>
        </w:rPr>
        <w:t>Το αναμενόμενο αποτέλεσμα της παρούσας πρωτοβουλίας είναι η βελτίωση του υφιστάμενου συστήματος σήμανσης ελαστικών στην Ένωση, το οποίο δεν είναι το βέλτιστο όσον αφορά την αποτελεσματικότητα, τη συμμόρφωση και το επίπεδο φιλοδοξιών.</w:t>
      </w:r>
    </w:p>
    <w:p>
      <w:pPr>
        <w:pBdr>
          <w:top w:val="single" w:sz="4" w:space="1" w:color="auto"/>
          <w:left w:val="single" w:sz="4" w:space="4" w:color="auto"/>
          <w:bottom w:val="single" w:sz="4" w:space="1" w:color="auto"/>
          <w:right w:val="single" w:sz="4" w:space="4" w:color="auto"/>
        </w:pBdr>
        <w:ind w:left="850"/>
        <w:rPr>
          <w:noProof/>
        </w:rPr>
      </w:pPr>
      <w:r>
        <w:rPr>
          <w:noProof/>
        </w:rPr>
        <w:t>Η παρούσα πρόταση θα ενισχύσει την προστασία των πολιτών και των τελικών χρηστών ελαστικών μέσω αποτελεσματικότερης σήμανσης και ενισχυμένης επιβολής.</w:t>
      </w:r>
    </w:p>
    <w:p>
      <w:pPr>
        <w:pBdr>
          <w:top w:val="single" w:sz="4" w:space="1" w:color="auto"/>
          <w:left w:val="single" w:sz="4" w:space="4" w:color="auto"/>
          <w:bottom w:val="single" w:sz="4" w:space="1" w:color="auto"/>
          <w:right w:val="single" w:sz="4" w:space="4" w:color="auto"/>
        </w:pBdr>
        <w:ind w:left="850"/>
        <w:rPr>
          <w:noProof/>
        </w:rPr>
      </w:pPr>
      <w:r>
        <w:rPr>
          <w:noProof/>
        </w:rPr>
        <w:t>Η πρόταση θα έχει επιπτώσεις σε οικονομικούς φορείς οι οποίοι θα πρέπει να συνεχίσουν να παρέχουν και να επιδεικνύουν τη σήμανση των ελαστικών, και να παρέχουν πληροφορίες για την εποπτεία της αγοράς μέσω διαφορετικών διαύλων.</w:t>
      </w:r>
    </w:p>
    <w:p>
      <w:pPr>
        <w:pBdr>
          <w:top w:val="single" w:sz="4" w:space="1" w:color="auto"/>
          <w:left w:val="single" w:sz="4" w:space="4" w:color="auto"/>
          <w:bottom w:val="single" w:sz="4" w:space="1" w:color="auto"/>
          <w:right w:val="single" w:sz="4" w:space="4" w:color="auto"/>
        </w:pBdr>
        <w:ind w:left="850"/>
        <w:rPr>
          <w:noProof/>
        </w:rPr>
      </w:pPr>
      <w:r>
        <w:rPr>
          <w:noProof/>
        </w:rPr>
        <w:t>Η πρόταση θα έχει επιπτώσεις σε εθνικές αρχές που θα διαθέτουν καλύτερα εφόδια για να αναλάβουν την εποπτεία της αγοράς.</w:t>
      </w:r>
    </w:p>
    <w:p>
      <w:pPr>
        <w:pStyle w:val="ManualHeading3"/>
        <w:rPr>
          <w:noProof/>
          <w:szCs w:val="24"/>
        </w:rPr>
      </w:pPr>
      <w:r>
        <w:t>1.4.4.</w:t>
      </w:r>
      <w:r>
        <w:tab/>
      </w:r>
      <w:r>
        <w:rPr>
          <w:noProof/>
        </w:rPr>
        <w:t>Δείκτες αποτελεσμάτων και επιπτώσεων</w:t>
      </w:r>
    </w:p>
    <w:p>
      <w:pPr>
        <w:pBdr>
          <w:top w:val="single" w:sz="4" w:space="1" w:color="auto"/>
          <w:left w:val="single" w:sz="4" w:space="4" w:color="auto"/>
          <w:bottom w:val="single" w:sz="4" w:space="1" w:color="auto"/>
          <w:right w:val="single" w:sz="4" w:space="4" w:color="auto"/>
        </w:pBdr>
        <w:ind w:left="850"/>
        <w:rPr>
          <w:noProof/>
        </w:rPr>
      </w:pPr>
      <w:r>
        <w:rPr>
          <w:noProof/>
        </w:rPr>
        <w:t>Αναλογία ελαστικών κατηγορίας Α, Β, κ.λπ.</w:t>
      </w:r>
    </w:p>
    <w:p>
      <w:pPr>
        <w:pBdr>
          <w:top w:val="single" w:sz="4" w:space="1" w:color="auto"/>
          <w:left w:val="single" w:sz="4" w:space="4" w:color="auto"/>
          <w:bottom w:val="single" w:sz="4" w:space="1" w:color="auto"/>
          <w:right w:val="single" w:sz="4" w:space="4" w:color="auto"/>
        </w:pBdr>
        <w:ind w:left="850"/>
        <w:rPr>
          <w:noProof/>
        </w:rPr>
      </w:pPr>
      <w:r>
        <w:rPr>
          <w:noProof/>
        </w:rPr>
        <w:t>Αναλογία μη συμμορφούμενων ελαστικών που εντοπίστηκαν από εθνικές αρχές εποπτείας της αγοράς.</w:t>
      </w:r>
    </w:p>
    <w:p>
      <w:pPr>
        <w:pStyle w:val="ManualHeading2"/>
        <w:rPr>
          <w:noProof/>
          <w:szCs w:val="24"/>
        </w:rPr>
      </w:pPr>
      <w:r>
        <w:t>1.5.</w:t>
      </w:r>
      <w:r>
        <w:tab/>
      </w:r>
      <w:r>
        <w:rPr>
          <w:noProof/>
        </w:rPr>
        <w:t>Αιτιολόγηση της πρότασης/πρωτοβουλίας</w:t>
      </w:r>
    </w:p>
    <w:p>
      <w:pPr>
        <w:pStyle w:val="ManualHeading3"/>
        <w:rPr>
          <w:noProof/>
        </w:rPr>
      </w:pPr>
      <w:r>
        <w:t>1.5.1.</w:t>
      </w:r>
      <w:r>
        <w:tab/>
      </w:r>
      <w:r>
        <w:rPr>
          <w:noProof/>
        </w:rPr>
        <w:t>Βραχυπρόθεσμη ή μακροπρόθεσμη κάλυψη αναγκών</w:t>
      </w:r>
    </w:p>
    <w:p>
      <w:pPr>
        <w:pBdr>
          <w:top w:val="single" w:sz="4" w:space="1" w:color="auto"/>
          <w:left w:val="single" w:sz="4" w:space="4" w:color="auto"/>
          <w:bottom w:val="single" w:sz="4" w:space="1" w:color="auto"/>
          <w:right w:val="single" w:sz="4" w:space="4" w:color="auto"/>
        </w:pBdr>
        <w:ind w:left="850"/>
        <w:rPr>
          <w:noProof/>
        </w:rPr>
      </w:pPr>
      <w:r>
        <w:rPr>
          <w:noProof/>
        </w:rPr>
        <w:t>Ο γενικός στόχος της παρούσας πρωτοβουλίας είναι η υποστήριξη της λειτουργίας της εσωτερικής αγοράς μέσω της ελεύθερης κυκλοφορίας των εμπορευμάτων που διασφαλίζει υψηλά επίπεδα προστασίας του περιβάλλοντος και των καταναλωτών, ασφάλειας και δημόσιας υγείας (εξωτερικός θόρυβος κύλισης).</w:t>
      </w:r>
    </w:p>
    <w:p>
      <w:pPr>
        <w:pStyle w:val="ManualHeading3"/>
        <w:rPr>
          <w:noProof/>
          <w:szCs w:val="24"/>
        </w:rPr>
      </w:pPr>
      <w:r>
        <w:t>1.5.2.</w:t>
      </w:r>
      <w:r>
        <w:tab/>
      </w:r>
      <w:r>
        <w:rPr>
          <w:noProof/>
        </w:rPr>
        <w:t>Προστιθέμενη αξία της ενωσιακής παρέμβασης</w:t>
      </w:r>
    </w:p>
    <w:p>
      <w:pPr>
        <w:pBdr>
          <w:top w:val="single" w:sz="4" w:space="1" w:color="auto"/>
          <w:left w:val="single" w:sz="4" w:space="4" w:color="auto"/>
          <w:bottom w:val="single" w:sz="4" w:space="1" w:color="auto"/>
          <w:right w:val="single" w:sz="4" w:space="4" w:color="auto"/>
        </w:pBdr>
        <w:ind w:left="850"/>
        <w:rPr>
          <w:noProof/>
        </w:rPr>
      </w:pPr>
      <w:r>
        <w:rPr>
          <w:noProof/>
        </w:rPr>
        <w:t>Η δράση σε επίπεδο ΕΕ θα παρέχει στους τελικούς χρήστες τις ίδιες εναρμονισμένες πληροφορίες σε οποιοδήποτε κράτος μέλος επιλέξουν να αγοράσουν τα ελαστικά τους. Ένα σύστημα σήμανσης ελαστικών σε επίπεδο ΕΕ θα προωθεί τα αποδοτικά από ενεργειακή άποψη και ασφαλή ελαστικά που μειώνουν την ηχορρύπανση σε όλα τα κράτη μέλη, δημιουργώντας μια μεγαλύτερη αγορά για τα εν λόγω ελαστικά και, κατ’ επέκταση, περισσότερα κίνητρα για την ανάπτυξη της βιομηχανίας ελαστικών.</w:t>
      </w:r>
    </w:p>
    <w:p>
      <w:pPr>
        <w:pBdr>
          <w:top w:val="single" w:sz="4" w:space="1" w:color="auto"/>
          <w:left w:val="single" w:sz="4" w:space="4" w:color="auto"/>
          <w:bottom w:val="single" w:sz="4" w:space="1" w:color="auto"/>
          <w:right w:val="single" w:sz="4" w:space="4" w:color="auto"/>
        </w:pBdr>
        <w:ind w:left="850"/>
        <w:rPr>
          <w:noProof/>
        </w:rPr>
      </w:pPr>
      <w:r>
        <w:rPr>
          <w:noProof/>
        </w:rPr>
        <w:t>Έτσι θα διασφαλίζονται ισότιμοι όροι ανταγωνισμού για τους κατασκευαστές και τους εμπόρους λιανικής πώλησης όσον αφορά τις πληροφορίες που παρέχονται στους πελάτες για τα προς πώληση ελαστικά στην εσωτερική αγορά της ΕΕ. Για τον λόγο αυτό, είναι απαραίτητη η θέσπιση νομικά δεσμευτικών κανόνων σε όλη την ΕΕ.</w:t>
      </w:r>
    </w:p>
    <w:p>
      <w:pPr>
        <w:pBdr>
          <w:top w:val="single" w:sz="4" w:space="1" w:color="auto"/>
          <w:left w:val="single" w:sz="4" w:space="4" w:color="auto"/>
          <w:bottom w:val="single" w:sz="4" w:space="1" w:color="auto"/>
          <w:right w:val="single" w:sz="4" w:space="4" w:color="auto"/>
        </w:pBdr>
        <w:ind w:left="850"/>
        <w:rPr>
          <w:noProof/>
        </w:rPr>
      </w:pPr>
      <w:r>
        <w:rPr>
          <w:noProof/>
        </w:rPr>
        <w:t>Είναι ο μόνος τρόπος να εξασφαλιστεί ότι η σήμανση προϊόντων που διατίθενται στην αγορά είναι συγκρίσιμη σε όλα τα κράτη μέλη, διασφαλίζοντας έτσι τη λειτουργία της εσωτερικής αγοράς που υποστηρίζεται από το άρθρο 26 της ΣΛΕΕ.</w:t>
      </w:r>
    </w:p>
    <w:p>
      <w:pPr>
        <w:pStyle w:val="ManualHeading3"/>
        <w:rPr>
          <w:noProof/>
          <w:szCs w:val="24"/>
        </w:rPr>
      </w:pPr>
      <w:r>
        <w:t>1.5.3.</w:t>
      </w:r>
      <w:r>
        <w:tab/>
      </w:r>
      <w:r>
        <w:rPr>
          <w:noProof/>
        </w:rPr>
        <w:t>Διδάγματα από ανάλογες εμπειρίες του παρελθόντος</w:t>
      </w:r>
    </w:p>
    <w:p>
      <w:pPr>
        <w:pBdr>
          <w:top w:val="single" w:sz="4" w:space="1" w:color="auto"/>
          <w:left w:val="single" w:sz="4" w:space="4" w:color="auto"/>
          <w:bottom w:val="single" w:sz="4" w:space="1" w:color="auto"/>
          <w:right w:val="single" w:sz="4" w:space="4" w:color="auto"/>
        </w:pBdr>
        <w:ind w:left="850"/>
        <w:rPr>
          <w:noProof/>
        </w:rPr>
      </w:pPr>
      <w:r>
        <w:rPr>
          <w:noProof/>
        </w:rPr>
        <w:t>Αν και η ΕΕ έχει δημιουργήσει μια ενιαία αγορά για τη σήμανση των ελαστικών, η σήμανση πρέπει να επικαιροποιείται σύμφωνα με τις τεχνολογικές εξελίξεις, πράγμα που σημαίνει ότι πολλά μοντέλα θα συμπεριληφθούν στις υψηλότερες κατηγορίες χωρίς να υπάρχει διαφοροποίηση για τους καταναλωτές, και με βάση το γεγονός ότι τα ελαστικά με τις χειρότερες επιδόσεις έχουν απαγορευτεί από την αγορά ως αποτέλεσμα της διαδικασίας έγκρισης τύπου που ορίζεται στον κανονισμό (ΕΚ) αριθ. 661/2009 (κανονισμός για τη γενική ασφάλεια – ΚΓΑ).</w:t>
      </w:r>
    </w:p>
    <w:p>
      <w:pPr>
        <w:pBdr>
          <w:top w:val="single" w:sz="4" w:space="1" w:color="auto"/>
          <w:left w:val="single" w:sz="4" w:space="4" w:color="auto"/>
          <w:bottom w:val="single" w:sz="4" w:space="1" w:color="auto"/>
          <w:right w:val="single" w:sz="4" w:space="4" w:color="auto"/>
        </w:pBdr>
        <w:ind w:left="850"/>
        <w:rPr>
          <w:noProof/>
        </w:rPr>
      </w:pPr>
      <w:r>
        <w:rPr>
          <w:noProof/>
        </w:rPr>
        <w:t>Αν και οι αρχές εποπτείας της αγοράς ελέγχουν τη συμμόρφωση προς τις απαιτήσεις ενεργειακής σήμανσης, η μη συμμόρφωση εξακολουθεί να έχει ως αποτέλεσμα απώλεια περίπου 10 % της προβλεπόμενης εξοικονόμησης ενέργειας (και εξοικονόμησης χρημάτων για τους καταναλωτές). Η πρόταση της Επιτροπής για νέο κανονισμό σχετικά με την εποπτεία της αγοράς (COM(2017) 795) αποσκοπεί στην αντιμετώπιση αυτών των προκλήσεων που αφορούν τη νομοθεσία εναρμόνισης της ΕΕ για τα προϊόντα. Ωστόσο, οι αρχές εποπτείας της αγοράς στον τομέα της σήμανσης των ελαστικών αντιμετωπίζουν προβλήματα τα οποία δεν επιλύει η εν λόγω πρόταση: έγκαιρη πρόσβαση σε τεχνική τεκμηρίωση, προβλήματα στην εξεύρεση και εξασφάλιση των στοιχείων επικοινωνίας ξένων κατασκευαστών και έλλειψη κεντρικού συστήματος για τον εντοπισμό αντίστοιχων μοντέλων που μπορεί να έχουν ήδη επιθεωρηθεί από άλλες αρχές εποπτείας της αγοράς. Επιπλέον, ήταν δύσκολο να καθοριστούν από την Επιτροπή οι κατάλληλες απαιτήσεις για τις κατηγορίες σήμανσης λόγω έλλειψης πρόσφατων δημόσιων δεδομένων σχετικά με τις επιδόσεις των ελαστικών.</w:t>
      </w:r>
    </w:p>
    <w:p>
      <w:pPr>
        <w:pBdr>
          <w:top w:val="single" w:sz="4" w:space="1" w:color="auto"/>
          <w:left w:val="single" w:sz="4" w:space="4" w:color="auto"/>
          <w:bottom w:val="single" w:sz="4" w:space="1" w:color="auto"/>
          <w:right w:val="single" w:sz="4" w:space="4" w:color="auto"/>
        </w:pBdr>
        <w:ind w:left="850"/>
        <w:rPr>
          <w:noProof/>
        </w:rPr>
      </w:pPr>
      <w:r>
        <w:rPr>
          <w:noProof/>
        </w:rPr>
        <w:t>Η παρούσα πρόταση αντιμετωπίζει αυτά τα προβλήματα με τη δημιουργία συνδέσμου με τη βάση δεδομένων καταχώρισης προϊόντων, η οποία δημιουργήθηκε δυνάμει του κανονισμού (ΕΕ) 2017/1369 (κανονισμός για το πλαίσιο ενεργειακής σήμανσης), όπου οι προμηθευτές παρέχουν δεδομένα επιδόσεων και συμμόρφωσης σε μια κεντρική τοποθεσία, προσβάσιμη από τις εθνικές αρχές εποπτείας της αγοράς και την Επιτροπή.</w:t>
      </w:r>
    </w:p>
    <w:p>
      <w:pPr>
        <w:pStyle w:val="ManualHeading3"/>
        <w:rPr>
          <w:noProof/>
          <w:szCs w:val="24"/>
        </w:rPr>
      </w:pPr>
      <w:r>
        <w:t>1.5.4.</w:t>
      </w:r>
      <w:r>
        <w:tab/>
      </w:r>
      <w:r>
        <w:rPr>
          <w:noProof/>
        </w:rPr>
        <w:t>Συμβατότητα και ενδεχόμενη συνέργεια με άλλα κατάλληλα μέσα</w:t>
      </w:r>
    </w:p>
    <w:p>
      <w:pPr>
        <w:pBdr>
          <w:top w:val="single" w:sz="4" w:space="1" w:color="auto"/>
          <w:left w:val="single" w:sz="4" w:space="4" w:color="auto"/>
          <w:bottom w:val="single" w:sz="4" w:space="1" w:color="auto"/>
          <w:right w:val="single" w:sz="4" w:space="4" w:color="auto"/>
        </w:pBdr>
        <w:ind w:left="850"/>
        <w:rPr>
          <w:noProof/>
        </w:rPr>
      </w:pPr>
      <w:r>
        <w:rPr>
          <w:noProof/>
        </w:rPr>
        <w:t>Η πρωτοβουλία αυτή συνάδει με τον ΚΓΑ που ορίζει μια διαδικασία έγκρισης τύπου με ελάχιστες απαιτήσεις για τις επιδόσεις των ελαστικών όσον αφορά την αντίσταση κύλισης, την πρόσφυση σε υγρό οδόστρωμα και τον εξωτερικό θόρυβο κύλισης.</w:t>
      </w:r>
    </w:p>
    <w:p>
      <w:pPr>
        <w:pBdr>
          <w:top w:val="single" w:sz="4" w:space="1" w:color="auto"/>
          <w:left w:val="single" w:sz="4" w:space="4" w:color="auto"/>
          <w:bottom w:val="single" w:sz="4" w:space="1" w:color="auto"/>
          <w:right w:val="single" w:sz="4" w:space="4" w:color="auto"/>
        </w:pBdr>
        <w:ind w:left="850"/>
        <w:rPr>
          <w:noProof/>
        </w:rPr>
      </w:pPr>
      <w:r>
        <w:rPr>
          <w:noProof/>
        </w:rPr>
        <w:t>Επίσης, συνάδει με τον κανονισμό (ΕΚ) αριθ. 765/2008 (τον ισχύοντα κανονισμό για την εποπτεία της αγοράς), ιδίως με την κατάργηση των επικαλυπτόμενων διατάξεων της νομοθεσίας για τη σήμανση των ελαστικών που ήδη καλύπτονται από τις διατάξεις για την εποπτεία της αγοράς για το σύνολο της νομοθεσίας εναρμόνισης της ΕΕ.</w:t>
      </w:r>
    </w:p>
    <w:p>
      <w:pPr>
        <w:pBdr>
          <w:top w:val="single" w:sz="4" w:space="1" w:color="auto"/>
          <w:left w:val="single" w:sz="4" w:space="4" w:color="auto"/>
          <w:bottom w:val="single" w:sz="4" w:space="1" w:color="auto"/>
          <w:right w:val="single" w:sz="4" w:space="4" w:color="auto"/>
        </w:pBdr>
        <w:ind w:left="850"/>
        <w:rPr>
          <w:noProof/>
        </w:rPr>
      </w:pPr>
      <w:r>
        <w:rPr>
          <w:noProof/>
        </w:rPr>
        <w:t>Ο προτεινόμενος σύνδεσμος με τη βάση δεδομένων καταχώρισης προϊόντων επιτρέπει συνέργειες με άλλη νομοθεσία εναρμόνισης της ΕΕ, για την οποία δημιουργήθηκαν τέτοιες βάσεις δεδομένων ή μπορεί να δημιουργηθούν μελλοντικά.</w:t>
      </w:r>
    </w:p>
    <w:p>
      <w:pPr>
        <w:pStyle w:val="ManualHeading2"/>
        <w:rPr>
          <w:noProof/>
          <w:szCs w:val="24"/>
        </w:rPr>
      </w:pPr>
      <w:r>
        <w:t>1.6.</w:t>
      </w:r>
      <w:r>
        <w:tab/>
      </w:r>
      <w:r>
        <w:rPr>
          <w:noProof/>
        </w:rPr>
        <w:t>Διάρκεια και δημοσιονομικές επιπτώσεις</w:t>
      </w:r>
    </w:p>
    <w:p>
      <w:pPr>
        <w:ind w:left="850"/>
        <w:rPr>
          <w:noProof/>
        </w:rPr>
      </w:pPr>
      <w:r>
        <w:rPr>
          <w:noProof/>
        </w:rPr>
        <w:t xml:space="preserve">Πρόταση/Πρωτοβουλία </w:t>
      </w:r>
      <w:r>
        <w:rPr>
          <w:b/>
          <w:noProof/>
        </w:rPr>
        <w:t>απεριόριστης διάρκειας</w:t>
      </w:r>
    </w:p>
    <w:p>
      <w:pPr>
        <w:tabs>
          <w:tab w:val="num" w:pos="1134"/>
        </w:tabs>
        <w:ind w:left="1134" w:hanging="283"/>
        <w:rPr>
          <w:rFonts w:eastAsia="Times New Roman"/>
          <w:noProof/>
        </w:rPr>
      </w:pPr>
      <w:r>
        <w:rPr>
          <w:noProof/>
        </w:rPr>
        <w:t>Περίοδος σταδιακής εφαρμογής από το 2019</w:t>
      </w:r>
    </w:p>
    <w:p>
      <w:pPr>
        <w:tabs>
          <w:tab w:val="num" w:pos="1134"/>
        </w:tabs>
        <w:ind w:left="1134" w:hanging="283"/>
        <w:rPr>
          <w:rFonts w:eastAsia="Times New Roman"/>
          <w:noProof/>
        </w:rPr>
      </w:pPr>
      <w:r>
        <w:rPr>
          <w:noProof/>
        </w:rPr>
        <w:t>και στη συνέχεια πλήρης εφαρμογή</w:t>
      </w:r>
    </w:p>
    <w:p>
      <w:pPr>
        <w:pStyle w:val="ManualHeading2"/>
        <w:rPr>
          <w:noProof/>
          <w:szCs w:val="24"/>
        </w:rPr>
      </w:pPr>
      <w:r>
        <w:t>1.7.</w:t>
      </w:r>
      <w:r>
        <w:tab/>
      </w:r>
      <w:r>
        <w:rPr>
          <w:noProof/>
        </w:rPr>
        <w:t>Προβλεπόμενοι τρόποι διαχείρισης</w:t>
      </w:r>
      <w:r>
        <w:rPr>
          <w:rStyle w:val="FootnoteReference"/>
          <w:noProof/>
        </w:rPr>
        <w:footnoteReference w:id="23"/>
      </w:r>
    </w:p>
    <w:p>
      <w:pPr>
        <w:ind w:left="850"/>
        <w:rPr>
          <w:noProof/>
        </w:rPr>
      </w:pPr>
      <w:r>
        <w:rPr>
          <w:b/>
          <w:noProof/>
        </w:rPr>
        <w:t>Άμεση διαχείριση</w:t>
      </w:r>
      <w:r>
        <w:rPr>
          <w:noProof/>
        </w:rPr>
        <w:t xml:space="preserve"> από την Επιτροπή</w:t>
      </w:r>
    </w:p>
    <w:p>
      <w:pPr>
        <w:tabs>
          <w:tab w:val="num" w:pos="1134"/>
        </w:tabs>
        <w:ind w:left="1134" w:hanging="283"/>
        <w:rPr>
          <w:rFonts w:eastAsia="Times New Roman" w:cs="EUAlbertina"/>
          <w:noProof/>
        </w:rPr>
      </w:pPr>
      <w:r>
        <w:rPr>
          <w:noProof/>
        </w:rPr>
        <w:t>από τις υπηρεσίες της, συμπεριλαμβανομένου του προσωπικού της στις αντιπροσωπείες της Ένωσης</w:t>
      </w:r>
    </w:p>
    <w:p>
      <w:pPr>
        <w:rPr>
          <w:noProof/>
        </w:rPr>
      </w:pPr>
      <w:r>
        <w:rPr>
          <w:noProof/>
        </w:rPr>
        <w:t>Παρατηρήσεις</w:t>
      </w:r>
    </w:p>
    <w:p>
      <w:pPr>
        <w:pBdr>
          <w:top w:val="single" w:sz="4" w:space="1" w:color="auto"/>
          <w:left w:val="single" w:sz="4" w:space="4" w:color="auto"/>
          <w:bottom w:val="single" w:sz="4" w:space="1" w:color="auto"/>
          <w:right w:val="single" w:sz="4" w:space="4" w:color="auto"/>
        </w:pBdr>
        <w:rPr>
          <w:noProof/>
        </w:rPr>
      </w:pPr>
      <w:r>
        <w:rPr>
          <w:noProof/>
        </w:rPr>
        <w:t>Η πρωτοβουλία αυτή απαιτεί πόρους του προϋπολογισμού για την ενσωμάτωση των ελαστικών στη βάση δεδομένων για την καταχώριση προϊόντων που σχετίζονται με την ενέργεια στο πλαίσιο του κανονισμού για το πλαίσιο ενεργειακής σήμανσης, που περιλαμβάνει εκστρατεία επικοινωνίας και δράσεις επιβολής της νομοθεσίας. Οι δαπάνες αυτές θα υποστηρίζονται στο πλαίσιο των πόρων που προβλέπονται ήδη στον επίσημο δημοσιονομικό προγραμματισμό.</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ΜΕΤΡΑ ΔΙΑΧΕΙΡΙΣΗΣ</w:t>
      </w:r>
    </w:p>
    <w:p>
      <w:pPr>
        <w:pStyle w:val="ManualHeading2"/>
        <w:rPr>
          <w:noProof/>
        </w:rPr>
      </w:pPr>
      <w:r>
        <w:t>2.1.</w:t>
      </w:r>
      <w:r>
        <w:tab/>
      </w:r>
      <w:r>
        <w:rPr>
          <w:noProof/>
        </w:rPr>
        <w:t>Κανόνες παρακολούθησης και υποβολής εκθέσεων</w:t>
      </w:r>
    </w:p>
    <w:p>
      <w:pPr>
        <w:pBdr>
          <w:top w:val="single" w:sz="4" w:space="1" w:color="auto"/>
          <w:left w:val="single" w:sz="4" w:space="4" w:color="auto"/>
          <w:bottom w:val="single" w:sz="4" w:space="1" w:color="auto"/>
          <w:right w:val="single" w:sz="4" w:space="4" w:color="auto"/>
        </w:pBdr>
        <w:ind w:left="850"/>
        <w:rPr>
          <w:noProof/>
        </w:rPr>
      </w:pPr>
      <w:r>
        <w:rPr>
          <w:noProof/>
        </w:rPr>
        <w:t>Μια ομάδα εμπειρογνωμόνων για τη σήμανση ελαστικών θα αποτελέσει την πλατφόρμα συζητήσεων σχετικά με την κατάλληλη εφαρμογή του προτεινόμενου κανονισμού.</w:t>
      </w:r>
    </w:p>
    <w:p>
      <w:pPr>
        <w:pBdr>
          <w:top w:val="single" w:sz="4" w:space="1" w:color="auto"/>
          <w:left w:val="single" w:sz="4" w:space="4" w:color="auto"/>
          <w:bottom w:val="single" w:sz="4" w:space="1" w:color="auto"/>
          <w:right w:val="single" w:sz="4" w:space="4" w:color="auto"/>
        </w:pBdr>
        <w:ind w:left="850"/>
        <w:rPr>
          <w:noProof/>
        </w:rPr>
      </w:pPr>
      <w:r>
        <w:rPr>
          <w:noProof/>
        </w:rPr>
        <w:t>Μια τελική διάταξη προτείνει ότι η Επιτροπή θα πρέπει να αξιολογήσει και να υποβάλει έκθεση σχετικά με την εφαρμογή του κανονισμού επτά χρόνια μετά την έναρξη ισχύος του. Στην εν λόγω έκθεση θα πρέπει να προσδιορίζονται τα πιθανά προβλήματα και ελλείψεις και θα μπορούσε να αποτελέσει σημείο εκκίνησης για ανάληψη περαιτέρω δράσης, συμπεριλαμβανομένων τυχόν προτάσεων τροποποίησης.</w:t>
      </w:r>
    </w:p>
    <w:p>
      <w:pPr>
        <w:keepNext/>
        <w:outlineLvl w:val="1"/>
        <w:rPr>
          <w:rFonts w:eastAsiaTheme="majorEastAsia"/>
          <w:b/>
          <w:bCs/>
          <w:noProof/>
          <w:szCs w:val="24"/>
        </w:rPr>
      </w:pPr>
      <w:r>
        <w:rPr>
          <w:rFonts w:eastAsiaTheme="majorEastAsia"/>
          <w:b/>
          <w:noProof/>
        </w:rPr>
        <w:t>Σύστημα διαχείρισης και ελέγχου</w:t>
      </w:r>
    </w:p>
    <w:p>
      <w:pPr>
        <w:pStyle w:val="ManualHeading3"/>
        <w:rPr>
          <w:noProof/>
        </w:rPr>
      </w:pPr>
      <w:r>
        <w:t>2.1.1.</w:t>
      </w:r>
      <w:r>
        <w:tab/>
      </w:r>
      <w:r>
        <w:rPr>
          <w:noProof/>
        </w:rPr>
        <w:t>Κίνδυνοι που έχουν εντοπιστεί</w:t>
      </w:r>
    </w:p>
    <w:p>
      <w:pPr>
        <w:pBdr>
          <w:top w:val="single" w:sz="4" w:space="1" w:color="auto"/>
          <w:left w:val="single" w:sz="4" w:space="4" w:color="auto"/>
          <w:bottom w:val="single" w:sz="4" w:space="1" w:color="auto"/>
          <w:right w:val="single" w:sz="4" w:space="4" w:color="auto"/>
        </w:pBdr>
        <w:ind w:left="850"/>
        <w:rPr>
          <w:noProof/>
        </w:rPr>
      </w:pPr>
      <w:r>
        <w:rPr>
          <w:noProof/>
        </w:rPr>
        <w:t>Ο προϋπολογισμός για την προσαρμογή της υφιστάμενης βάσης δεδομένων προϊόντων για την καταχώριση ελαστικών υπολογίζεται σε 200 000 EUR. Ο αριθμός των μοντέλων ελαστικών θα μπορούσε να αυξηθεί και να δημιουργήσει επιπλέον κόστος για την επικαιροποίηση της βάσης δεδομένων.</w:t>
      </w:r>
    </w:p>
    <w:p>
      <w:pPr>
        <w:pBdr>
          <w:top w:val="single" w:sz="4" w:space="1" w:color="auto"/>
          <w:left w:val="single" w:sz="4" w:space="4" w:color="auto"/>
          <w:bottom w:val="single" w:sz="4" w:space="1" w:color="auto"/>
          <w:right w:val="single" w:sz="4" w:space="4" w:color="auto"/>
        </w:pBdr>
        <w:ind w:left="850"/>
        <w:rPr>
          <w:noProof/>
        </w:rPr>
      </w:pPr>
      <w:r>
        <w:rPr>
          <w:noProof/>
        </w:rPr>
        <w:t>Οι κίνδυνοι όσον αφορά τη λειτουργία της βάσης δεδομένων καταχώρισης προϊόντων σχετίζονται κυρίως με προβλήματα πληροφορικής, όπως πιθανή κατάρρευση του συστήματος και ζητήματα εμπιστευτικότητας.</w:t>
      </w:r>
    </w:p>
    <w:p>
      <w:pPr>
        <w:pStyle w:val="ManualHeading3"/>
        <w:rPr>
          <w:noProof/>
          <w:szCs w:val="24"/>
        </w:rPr>
      </w:pPr>
      <w:r>
        <w:t>2.1.2.</w:t>
      </w:r>
      <w:r>
        <w:tab/>
      </w:r>
      <w:r>
        <w:rPr>
          <w:noProof/>
        </w:rPr>
        <w:t>Πληροφορίες σχετικά με το σύστημα εσωτερικού ελέγχου που έχει καθοριστεί</w:t>
      </w:r>
    </w:p>
    <w:p>
      <w:pPr>
        <w:pBdr>
          <w:top w:val="single" w:sz="4" w:space="1" w:color="auto"/>
          <w:left w:val="single" w:sz="4" w:space="4" w:color="auto"/>
          <w:bottom w:val="single" w:sz="4" w:space="1" w:color="auto"/>
          <w:right w:val="single" w:sz="4" w:space="4" w:color="auto"/>
        </w:pBdr>
        <w:ind w:left="850"/>
        <w:rPr>
          <w:noProof/>
        </w:rPr>
      </w:pPr>
      <w:r>
        <w:rPr>
          <w:noProof/>
        </w:rPr>
        <w:t>Οι προβλεπόμενες μέθοδοι ελέγχου καθορίζονται στον δημοσιονομικό κανονισμό και τους κανόνες εφαρμογής του.</w:t>
      </w:r>
    </w:p>
    <w:p>
      <w:pPr>
        <w:pStyle w:val="ManualHeading2"/>
        <w:rPr>
          <w:noProof/>
          <w:szCs w:val="24"/>
        </w:rPr>
      </w:pPr>
      <w:r>
        <w:t>2.2.</w:t>
      </w:r>
      <w:r>
        <w:tab/>
      </w:r>
      <w:r>
        <w:rPr>
          <w:noProof/>
        </w:rPr>
        <w:t>Μέτρα για την πρόληψη περιπτώσεων απάτης και παρατυπίας</w:t>
      </w:r>
    </w:p>
    <w:p>
      <w:pPr>
        <w:pBdr>
          <w:top w:val="single" w:sz="4" w:space="1" w:color="auto"/>
          <w:left w:val="single" w:sz="4" w:space="4" w:color="auto"/>
          <w:bottom w:val="single" w:sz="4" w:space="1" w:color="auto"/>
          <w:right w:val="single" w:sz="4" w:space="4" w:color="auto"/>
        </w:pBdr>
        <w:ind w:left="850"/>
        <w:rPr>
          <w:noProof/>
          <w:szCs w:val="24"/>
        </w:rPr>
      </w:pPr>
      <w:r>
        <w:rPr>
          <w:noProof/>
        </w:rPr>
        <w:t>Κανένα ειδικό μέτρο πέραν της εφαρμογής του δημοσιονομικού κανονισμού.</w:t>
      </w:r>
    </w:p>
    <w:p>
      <w:pPr>
        <w:pStyle w:val="ManualHeading1"/>
        <w:rPr>
          <w:noProof/>
          <w:szCs w:val="24"/>
        </w:rPr>
      </w:pPr>
      <w:r>
        <w:t>3.</w:t>
      </w:r>
      <w:r>
        <w:tab/>
      </w:r>
      <w:r>
        <w:rPr>
          <w:noProof/>
        </w:rPr>
        <w:t>ΕΚΤΙΜΩΜΕΝΕΣ ΔΗΜΟΣΙΟΝΟΜΙΚΕΣ ΕΠΙΠΤΩΣΕΙΣ ΤΗΣ ΠΡΟΤΑΣΗΣ/ΠΡΩΤΟΒΟΥΛΙΑΣ</w:t>
      </w:r>
    </w:p>
    <w:p>
      <w:pPr>
        <w:pStyle w:val="ManualHeading2"/>
        <w:rPr>
          <w:noProof/>
        </w:rPr>
      </w:pPr>
      <w:r>
        <w:t>3.1.</w:t>
      </w:r>
      <w:r>
        <w:tab/>
      </w:r>
      <w:r>
        <w:rPr>
          <w:noProof/>
        </w:rPr>
        <w:t>Τομείς του πολυετούς δημοσιονομικού πλαισίου και γραμμές δαπανών του προϋπολογισμού που επηρεάζονται</w:t>
      </w:r>
    </w:p>
    <w:p>
      <w:pPr>
        <w:tabs>
          <w:tab w:val="num" w:pos="1134"/>
        </w:tabs>
        <w:ind w:left="1134" w:hanging="283"/>
        <w:rPr>
          <w:rFonts w:eastAsia="Times New Roman"/>
          <w:noProof/>
        </w:rPr>
      </w:pPr>
      <w:r>
        <w:rPr>
          <w:noProof/>
        </w:rPr>
        <w:t>Υφιστάμενες γραμμές του προϋπολογισμού</w:t>
      </w:r>
    </w:p>
    <w:p>
      <w:pPr>
        <w:ind w:left="850"/>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Αριθμός </w:t>
            </w:r>
            <w:r>
              <w:rPr>
                <w:noProof/>
              </w:rPr>
              <w:br/>
            </w:r>
            <w:r>
              <w:rPr>
                <w:noProof/>
                <w:sz w:val="20"/>
              </w:rPr>
              <w:t>[Τομέας………………….……………]</w:t>
            </w:r>
          </w:p>
        </w:tc>
        <w:tc>
          <w:tcPr>
            <w:tcW w:w="1080" w:type="dxa"/>
            <w:vAlign w:val="center"/>
          </w:tcPr>
          <w:p>
            <w:pPr>
              <w:jc w:val="center"/>
              <w:rPr>
                <w:noProof/>
              </w:rPr>
            </w:pPr>
            <w:r>
              <w:rPr>
                <w:noProof/>
                <w:sz w:val="18"/>
              </w:rPr>
              <w:t>ΔΠ/ΜΔΠ</w:t>
            </w:r>
            <w:r>
              <w:rPr>
                <w:rStyle w:val="FootnoteReference"/>
                <w:noProof/>
              </w:rPr>
              <w:footnoteReference w:id="24"/>
            </w:r>
          </w:p>
        </w:tc>
        <w:tc>
          <w:tcPr>
            <w:tcW w:w="956" w:type="dxa"/>
            <w:vAlign w:val="center"/>
          </w:tcPr>
          <w:p>
            <w:pPr>
              <w:jc w:val="center"/>
              <w:rPr>
                <w:b/>
                <w:noProof/>
                <w:sz w:val="18"/>
              </w:rPr>
            </w:pPr>
            <w:r>
              <w:rPr>
                <w:noProof/>
                <w:sz w:val="18"/>
              </w:rPr>
              <w:t>χωρών ΕΖΕΣ</w:t>
            </w:r>
            <w:r>
              <w:rPr>
                <w:rStyle w:val="FootnoteReference"/>
                <w:noProof/>
              </w:rPr>
              <w:footnoteReference w:id="25"/>
            </w:r>
          </w:p>
        </w:tc>
        <w:tc>
          <w:tcPr>
            <w:tcW w:w="1080" w:type="dxa"/>
            <w:vAlign w:val="center"/>
          </w:tcPr>
          <w:p>
            <w:pPr>
              <w:jc w:val="center"/>
              <w:rPr>
                <w:noProof/>
                <w:sz w:val="18"/>
              </w:rPr>
            </w:pPr>
            <w:r>
              <w:rPr>
                <w:noProof/>
                <w:sz w:val="18"/>
              </w:rPr>
              <w:t>υποψηφίων για ένταξη χωρών</w:t>
            </w:r>
            <w:r>
              <w:rPr>
                <w:rStyle w:val="FootnoteReference"/>
                <w:noProof/>
              </w:rPr>
              <w:footnoteReference w:id="26"/>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rPr>
            </w:pPr>
            <w:r>
              <w:rPr>
                <w:noProof/>
              </w:rPr>
              <w:t>1α Ανταγωνιστικότητα για την ανάπτυξη και την απασχόληση</w:t>
            </w:r>
          </w:p>
        </w:tc>
        <w:tc>
          <w:tcPr>
            <w:tcW w:w="3960" w:type="dxa"/>
            <w:vAlign w:val="center"/>
          </w:tcPr>
          <w:p>
            <w:pPr>
              <w:rPr>
                <w:noProof/>
                <w:sz w:val="20"/>
              </w:rPr>
            </w:pPr>
            <w:r>
              <w:rPr>
                <w:noProof/>
                <w:sz w:val="20"/>
              </w:rPr>
              <w:t>32 02 02</w:t>
            </w:r>
          </w:p>
          <w:p>
            <w:pPr>
              <w:rPr>
                <w:noProof/>
                <w:sz w:val="20"/>
              </w:rPr>
            </w:pPr>
            <w:r>
              <w:rPr>
                <w:noProof/>
                <w:sz w:val="20"/>
              </w:rPr>
              <w:t>Δραστηριότητες υποστήριξης της ευρωπαϊκής ενεργειακής πολιτικής και της εσωτερικής αγοράς ενέργειας</w:t>
            </w:r>
          </w:p>
        </w:tc>
        <w:tc>
          <w:tcPr>
            <w:tcW w:w="1080" w:type="dxa"/>
            <w:vAlign w:val="center"/>
          </w:tcPr>
          <w:p>
            <w:pPr>
              <w:jc w:val="center"/>
              <w:rPr>
                <w:noProof/>
              </w:rPr>
            </w:pPr>
            <w:r>
              <w:rPr>
                <w:noProof/>
              </w:rPr>
              <w:t>ΔΠ</w:t>
            </w:r>
          </w:p>
        </w:tc>
        <w:tc>
          <w:tcPr>
            <w:tcW w:w="956" w:type="dxa"/>
            <w:vAlign w:val="center"/>
          </w:tcPr>
          <w:p>
            <w:pPr>
              <w:jc w:val="center"/>
              <w:rPr>
                <w:noProof/>
              </w:rPr>
            </w:pPr>
            <w:r>
              <w:rPr>
                <w:noProof/>
              </w:rPr>
              <w:t>ΝΑΙ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r>
        <w:tc>
          <w:tcPr>
            <w:tcW w:w="1080" w:type="dxa"/>
            <w:vAlign w:val="center"/>
          </w:tcPr>
          <w:p>
            <w:pPr>
              <w:jc w:val="center"/>
              <w:rPr>
                <w:noProof/>
              </w:rPr>
            </w:pPr>
            <w:r>
              <w:rPr>
                <w:noProof/>
              </w:rPr>
              <w:t>5 Διοίκηση</w:t>
            </w:r>
          </w:p>
        </w:tc>
        <w:tc>
          <w:tcPr>
            <w:tcW w:w="3960" w:type="dxa"/>
            <w:vAlign w:val="center"/>
          </w:tcPr>
          <w:p>
            <w:pPr>
              <w:rPr>
                <w:noProof/>
                <w:sz w:val="20"/>
              </w:rPr>
            </w:pPr>
            <w:r>
              <w:rPr>
                <w:noProof/>
                <w:sz w:val="20"/>
              </w:rPr>
              <w:t>32 01 01</w:t>
            </w:r>
          </w:p>
          <w:p>
            <w:pPr>
              <w:spacing w:after="60"/>
              <w:rPr>
                <w:noProof/>
              </w:rPr>
            </w:pPr>
            <w:r>
              <w:rPr>
                <w:noProof/>
                <w:sz w:val="20"/>
              </w:rPr>
              <w:t>Δαπάνες σχετικές με μόνιμους και έκτακτους υπαλλήλους στον τομέα πολιτικής «Ενέργεια»</w:t>
            </w:r>
          </w:p>
        </w:tc>
        <w:tc>
          <w:tcPr>
            <w:tcW w:w="1080" w:type="dxa"/>
            <w:vAlign w:val="center"/>
          </w:tcPr>
          <w:p>
            <w:pPr>
              <w:jc w:val="center"/>
              <w:rPr>
                <w:noProof/>
                <w:color w:val="0000FF"/>
              </w:rPr>
            </w:pPr>
            <w:r>
              <w:rPr>
                <w:noProof/>
              </w:rPr>
              <w:t>ΜΔΠ</w:t>
            </w:r>
          </w:p>
        </w:tc>
        <w:tc>
          <w:tcPr>
            <w:tcW w:w="956" w:type="dxa"/>
            <w:vAlign w:val="center"/>
          </w:tcPr>
          <w:p>
            <w:pPr>
              <w:jc w:val="center"/>
              <w:rPr>
                <w:noProof/>
              </w:rPr>
            </w:pPr>
            <w:r>
              <w:rPr>
                <w:noProof/>
              </w:rPr>
              <w:t>ΟΧΙ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r>
        <w:tc>
          <w:tcPr>
            <w:tcW w:w="1080" w:type="dxa"/>
            <w:vAlign w:val="center"/>
          </w:tcPr>
          <w:p>
            <w:pPr>
              <w:jc w:val="center"/>
              <w:rPr>
                <w:noProof/>
              </w:rPr>
            </w:pPr>
            <w:r>
              <w:rPr>
                <w:noProof/>
              </w:rPr>
              <w:t>5 Διοίκηση</w:t>
            </w:r>
          </w:p>
        </w:tc>
        <w:tc>
          <w:tcPr>
            <w:tcW w:w="3960" w:type="dxa"/>
            <w:vAlign w:val="center"/>
          </w:tcPr>
          <w:p>
            <w:pPr>
              <w:rPr>
                <w:noProof/>
                <w:sz w:val="20"/>
              </w:rPr>
            </w:pPr>
            <w:r>
              <w:rPr>
                <w:noProof/>
                <w:sz w:val="20"/>
              </w:rPr>
              <w:t>32 01 02</w:t>
            </w:r>
          </w:p>
          <w:p>
            <w:pPr>
              <w:rPr>
                <w:noProof/>
                <w:sz w:val="20"/>
              </w:rPr>
            </w:pPr>
            <w:r>
              <w:rPr>
                <w:noProof/>
                <w:sz w:val="20"/>
              </w:rPr>
              <w:t>Εξωτερικό προσωπικό και άλλες δαπάνες διαχείρισης για τη στήριξη του τομέα πολιτικής «Ενέργεια»</w:t>
            </w:r>
          </w:p>
        </w:tc>
        <w:tc>
          <w:tcPr>
            <w:tcW w:w="1080" w:type="dxa"/>
            <w:vAlign w:val="center"/>
          </w:tcPr>
          <w:p>
            <w:pPr>
              <w:jc w:val="center"/>
              <w:rPr>
                <w:noProof/>
                <w:color w:val="0000FF"/>
              </w:rPr>
            </w:pPr>
            <w:r>
              <w:rPr>
                <w:noProof/>
              </w:rPr>
              <w:t>ΜΔΠ</w:t>
            </w:r>
          </w:p>
        </w:tc>
        <w:tc>
          <w:tcPr>
            <w:tcW w:w="956" w:type="dxa"/>
            <w:vAlign w:val="center"/>
          </w:tcPr>
          <w:p>
            <w:pPr>
              <w:jc w:val="center"/>
              <w:rPr>
                <w:noProof/>
              </w:rPr>
            </w:pPr>
            <w:r>
              <w:rPr>
                <w:noProof/>
              </w:rPr>
              <w:t>ΟΧΙ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bl>
    <w:p>
      <w:pPr>
        <w:tabs>
          <w:tab w:val="num" w:pos="1134"/>
        </w:tabs>
        <w:ind w:left="1134" w:hanging="283"/>
        <w:rPr>
          <w:rFonts w:eastAsia="Times New Roman"/>
          <w:noProof/>
        </w:rPr>
      </w:pPr>
      <w:r>
        <w:rPr>
          <w:noProof/>
        </w:rPr>
        <w:t>Νέες γραμμές του προϋπολογισμού, των οποίων έχει ζητηθεί η δημιουργία</w:t>
      </w:r>
    </w:p>
    <w:p>
      <w:pPr>
        <w:ind w:left="850"/>
        <w:rPr>
          <w:i/>
          <w:noProof/>
          <w:sz w:val="20"/>
        </w:rPr>
      </w:pPr>
      <w:r>
        <w:rPr>
          <w:i/>
          <w:noProof/>
          <w:u w:val="single"/>
        </w:rPr>
        <w:t>Κατά σειρά</w:t>
      </w:r>
      <w:r>
        <w:rPr>
          <w:noProof/>
        </w:rPr>
        <w:t xml:space="preserve"> </w:t>
      </w:r>
      <w:r>
        <w:rPr>
          <w:i/>
          <w:noProof/>
        </w:rPr>
        <w:t>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Αριθμός </w:t>
            </w:r>
            <w:r>
              <w:rPr>
                <w:noProof/>
              </w:rPr>
              <w:br/>
            </w:r>
            <w:r>
              <w:rPr>
                <w:noProof/>
                <w:sz w:val="20"/>
              </w:rPr>
              <w:t>[Τομέας………………….……………]</w:t>
            </w:r>
          </w:p>
        </w:tc>
        <w:tc>
          <w:tcPr>
            <w:tcW w:w="1080" w:type="dxa"/>
            <w:vAlign w:val="center"/>
          </w:tcPr>
          <w:p>
            <w:pPr>
              <w:jc w:val="center"/>
              <w:rPr>
                <w:noProof/>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p>
        </w:tc>
        <w:tc>
          <w:tcPr>
            <w:tcW w:w="1080" w:type="dxa"/>
            <w:vAlign w:val="center"/>
          </w:tcPr>
          <w:p>
            <w:pPr>
              <w:jc w:val="center"/>
              <w:rPr>
                <w:noProof/>
                <w:color w:val="0000FF"/>
                <w:sz w:val="18"/>
              </w:rPr>
            </w:pPr>
          </w:p>
        </w:tc>
        <w:tc>
          <w:tcPr>
            <w:tcW w:w="956" w:type="dxa"/>
            <w:vAlign w:val="center"/>
          </w:tcPr>
          <w:p>
            <w:pPr>
              <w:jc w:val="center"/>
              <w:rPr>
                <w:noProof/>
                <w:color w:val="0000FF"/>
                <w:sz w:val="18"/>
              </w:rPr>
            </w:pPr>
          </w:p>
        </w:tc>
        <w:tc>
          <w:tcPr>
            <w:tcW w:w="1448" w:type="dxa"/>
            <w:vAlign w:val="center"/>
          </w:tcPr>
          <w:p>
            <w:pPr>
              <w:jc w:val="center"/>
              <w:rPr>
                <w:noProof/>
              </w:rPr>
            </w:pP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Εκτιμώμενες επιπτώσεις στις δαπάνες</w:t>
      </w:r>
    </w:p>
    <w:p>
      <w:pPr>
        <w:pStyle w:val="ManualHeading3"/>
        <w:rPr>
          <w:noProof/>
          <w:u w:val="single"/>
        </w:rPr>
      </w:pPr>
      <w:r>
        <w:t>3.2.1.</w:t>
      </w:r>
      <w:r>
        <w:tab/>
      </w:r>
      <w:r>
        <w:rPr>
          <w:noProof/>
        </w:rPr>
        <w:t>Συνοπτική παρουσίαση των εκτιμώμενων επιπτώσεων στις δαπάνες</w:t>
      </w:r>
    </w:p>
    <w:p>
      <w:pPr>
        <w:jc w:val="right"/>
        <w:rPr>
          <w:noProof/>
          <w:sz w:val="20"/>
        </w:rPr>
      </w:pPr>
      <w:r>
        <w:rPr>
          <w:noProof/>
          <w:sz w:val="20"/>
        </w:rPr>
        <w:t>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 xml:space="preserve">Τομέας του πολυετούς δημοσιονομικού </w:t>
            </w:r>
            <w:r>
              <w:rPr>
                <w:noProof/>
              </w:rPr>
              <w:br/>
            </w:r>
            <w:r>
              <w:rPr>
                <w:b/>
                <w:noProof/>
              </w:rPr>
              <w:t xml:space="preserve">πλαισίου </w:t>
            </w:r>
          </w:p>
        </w:tc>
        <w:tc>
          <w:tcPr>
            <w:tcW w:w="1080" w:type="dxa"/>
            <w:vAlign w:val="center"/>
          </w:tcPr>
          <w:p>
            <w:pPr>
              <w:spacing w:before="60" w:after="60"/>
              <w:jc w:val="center"/>
              <w:rPr>
                <w:noProof/>
              </w:rPr>
            </w:pPr>
            <w:r>
              <w:rPr>
                <w:noProof/>
              </w:rPr>
              <w:t>Αριθμός</w:t>
            </w:r>
          </w:p>
        </w:tc>
        <w:tc>
          <w:tcPr>
            <w:tcW w:w="7817" w:type="dxa"/>
            <w:vAlign w:val="center"/>
          </w:tcPr>
          <w:p>
            <w:pPr>
              <w:spacing w:before="60" w:after="60"/>
              <w:rPr>
                <w:noProof/>
              </w:rPr>
            </w:pPr>
            <w:r>
              <w:rPr>
                <w:noProof/>
              </w:rPr>
              <w:t>1α Ανταγωνιστικότητα για την ανάπτυξη και την απασχόληση</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rPr>
              <w:t>ΓΔ: ENER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 xml:space="preserve">Έτος </w:t>
            </w:r>
            <w:r>
              <w:rPr>
                <w:noProof/>
              </w:rPr>
              <w:br/>
            </w:r>
            <w:r>
              <w:rPr>
                <w:b/>
                <w:noProof/>
                <w:sz w:val="20"/>
              </w:rPr>
              <w:t>2019</w:t>
            </w:r>
            <w:r>
              <w:rPr>
                <w:rStyle w:val="FootnoteReference"/>
                <w:noProof/>
              </w:rPr>
              <w:footnoteReference w:id="27"/>
            </w:r>
          </w:p>
        </w:tc>
        <w:tc>
          <w:tcPr>
            <w:tcW w:w="868" w:type="dxa"/>
            <w:vAlign w:val="center"/>
          </w:tcPr>
          <w:p>
            <w:pPr>
              <w:jc w:val="center"/>
              <w:rPr>
                <w:noProof/>
                <w:sz w:val="20"/>
              </w:rPr>
            </w:pPr>
            <w:r>
              <w:rPr>
                <w:noProof/>
                <w:sz w:val="20"/>
              </w:rPr>
              <w:t>Έτος</w:t>
            </w:r>
            <w:r>
              <w:rPr>
                <w:noProof/>
              </w:rPr>
              <w:br/>
            </w:r>
            <w:r>
              <w:rPr>
                <w:b/>
                <w:noProof/>
                <w:sz w:val="20"/>
              </w:rPr>
              <w:t>2020</w:t>
            </w:r>
          </w:p>
        </w:tc>
        <w:tc>
          <w:tcPr>
            <w:tcW w:w="868" w:type="dxa"/>
            <w:vAlign w:val="center"/>
          </w:tcPr>
          <w:p>
            <w:pPr>
              <w:jc w:val="center"/>
              <w:rPr>
                <w:noProof/>
                <w:sz w:val="20"/>
              </w:rPr>
            </w:pPr>
            <w:r>
              <w:rPr>
                <w:noProof/>
                <w:sz w:val="20"/>
              </w:rPr>
              <w:t>Έτος</w:t>
            </w:r>
            <w:r>
              <w:rPr>
                <w:noProof/>
              </w:rPr>
              <w:br/>
            </w:r>
            <w:r>
              <w:rPr>
                <w:b/>
                <w:noProof/>
                <w:sz w:val="20"/>
              </w:rPr>
              <w:t>2021</w:t>
            </w:r>
          </w:p>
        </w:tc>
        <w:tc>
          <w:tcPr>
            <w:tcW w:w="868" w:type="dxa"/>
            <w:vAlign w:val="center"/>
          </w:tcPr>
          <w:p>
            <w:pPr>
              <w:jc w:val="center"/>
              <w:rPr>
                <w:noProof/>
                <w:sz w:val="20"/>
              </w:rPr>
            </w:pPr>
            <w:r>
              <w:rPr>
                <w:noProof/>
                <w:sz w:val="20"/>
              </w:rPr>
              <w:t>Έτος</w:t>
            </w:r>
            <w:r>
              <w:rPr>
                <w:noProof/>
              </w:rPr>
              <w:br/>
            </w:r>
            <w:r>
              <w:rPr>
                <w:b/>
                <w:noProof/>
                <w:sz w:val="20"/>
              </w:rPr>
              <w:t>2022</w:t>
            </w:r>
          </w:p>
        </w:tc>
        <w:tc>
          <w:tcPr>
            <w:tcW w:w="2604" w:type="dxa"/>
            <w:gridSpan w:val="3"/>
            <w:vAlign w:val="center"/>
          </w:tcPr>
          <w:p>
            <w:pPr>
              <w:jc w:val="center"/>
              <w:rPr>
                <w:b/>
                <w:noProof/>
                <w:sz w:val="18"/>
              </w:rPr>
            </w:pPr>
            <w:r>
              <w:rPr>
                <w:noProof/>
                <w:sz w:val="18"/>
              </w:rPr>
              <w:t>Να εγγραφούν όσα έτη απαιτούνται, ώστε να καταδεικνύεται η διάρκεια των επιπτώσεων (βλ. σημείο 1.6)</w:t>
            </w:r>
          </w:p>
        </w:tc>
        <w:tc>
          <w:tcPr>
            <w:tcW w:w="1777"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rPr>
            </w:pPr>
            <w:r>
              <w:rPr>
                <w:noProof/>
                <w:sz w:val="20"/>
              </w:rPr>
              <w:t>32 02 02</w:t>
            </w:r>
          </w:p>
          <w:p>
            <w:pPr>
              <w:rPr>
                <w:noProof/>
                <w:sz w:val="20"/>
              </w:rPr>
            </w:pPr>
            <w:r>
              <w:rPr>
                <w:noProof/>
                <w:sz w:val="20"/>
              </w:rPr>
              <w:t>Συμπλήρωση στην καταχώριση προϊόντων που σχετίζονται με την ενέργεια στην ηλεκτρονική βάση δεδομένων, συμπεριλαμβανομένης της ενημερωτικής εκστρατείας και των κοινών δράσεων επιβολής.</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2,92</w:t>
            </w: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rPr>
              <w:footnoteReference w:id="28"/>
            </w:r>
          </w:p>
          <w:p>
            <w:pPr>
              <w:spacing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rPr>
                <w:noProof/>
                <w:sz w:val="20"/>
              </w:rPr>
            </w:pPr>
            <w:r>
              <w:rPr>
                <w:noProof/>
                <w:sz w:val="20"/>
              </w:rPr>
              <w:t>32 04 03</w:t>
            </w:r>
          </w:p>
          <w:p>
            <w:pPr>
              <w:spacing w:before="60" w:after="60"/>
              <w:rPr>
                <w:noProof/>
              </w:rPr>
            </w:pPr>
            <w:r>
              <w:rPr>
                <w:noProof/>
                <w:sz w:val="20"/>
              </w:rPr>
              <w:t>Κοινωνικές προκλήσεις</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jc w:val="center"/>
              <w:rPr>
                <w:b/>
                <w:noProof/>
              </w:rPr>
            </w:pPr>
            <w:r>
              <w:rPr>
                <w:b/>
                <w:noProof/>
              </w:rPr>
              <w:t>ΣΥΝΟΛΟ πιστώσεων</w:t>
            </w:r>
            <w:r>
              <w:rPr>
                <w:noProof/>
              </w:rPr>
              <w:br/>
            </w:r>
            <w:r>
              <w:rPr>
                <w:b/>
                <w:noProof/>
              </w:rPr>
              <w:t>για τη ΓΔ ENER</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 xml:space="preserve">ΣΥΝΟΛΟ πιστώσεων </w:t>
            </w:r>
            <w:r>
              <w:rPr>
                <w:noProof/>
              </w:rPr>
              <w:br/>
            </w:r>
            <w:r>
              <w:rPr>
                <w:b/>
                <w:noProof/>
              </w:rPr>
              <w:t>του ΤΟΜΕΑ 1α</w:t>
            </w:r>
            <w:r>
              <w:rPr>
                <w:noProof/>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Τομέας του πολυετούς δημοσιονομικού </w:t>
            </w:r>
            <w:r>
              <w:rPr>
                <w:noProof/>
              </w:rPr>
              <w:br/>
            </w:r>
            <w:r>
              <w:rPr>
                <w:b/>
                <w:noProof/>
              </w:rPr>
              <w:t xml:space="preserve">πλαισίου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«Διοικητικές δαπάνες»</w:t>
            </w:r>
          </w:p>
        </w:tc>
      </w:tr>
    </w:tbl>
    <w:p>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br/>
            </w:r>
            <w:r>
              <w:rPr>
                <w:b/>
                <w:noProof/>
                <w:sz w:val="20"/>
              </w:rPr>
              <w:t>2019</w:t>
            </w:r>
          </w:p>
        </w:tc>
        <w:tc>
          <w:tcPr>
            <w:tcW w:w="868" w:type="dxa"/>
            <w:vAlign w:val="center"/>
          </w:tcPr>
          <w:p>
            <w:pPr>
              <w:jc w:val="center"/>
              <w:rPr>
                <w:noProof/>
                <w:sz w:val="20"/>
              </w:rPr>
            </w:pPr>
            <w:r>
              <w:rPr>
                <w:noProof/>
                <w:sz w:val="20"/>
              </w:rPr>
              <w:t>Έτος</w:t>
            </w:r>
            <w:r>
              <w:rPr>
                <w:noProof/>
              </w:rPr>
              <w:br/>
            </w:r>
            <w:r>
              <w:rPr>
                <w:b/>
                <w:noProof/>
                <w:sz w:val="20"/>
              </w:rPr>
              <w:t>2020</w:t>
            </w:r>
          </w:p>
        </w:tc>
        <w:tc>
          <w:tcPr>
            <w:tcW w:w="868" w:type="dxa"/>
            <w:vAlign w:val="center"/>
          </w:tcPr>
          <w:p>
            <w:pPr>
              <w:jc w:val="center"/>
              <w:rPr>
                <w:noProof/>
                <w:sz w:val="20"/>
              </w:rPr>
            </w:pPr>
            <w:r>
              <w:rPr>
                <w:noProof/>
                <w:sz w:val="20"/>
              </w:rPr>
              <w:t>Έτος</w:t>
            </w:r>
            <w:r>
              <w:rPr>
                <w:noProof/>
              </w:rPr>
              <w:br/>
            </w:r>
            <w:r>
              <w:rPr>
                <w:b/>
                <w:noProof/>
                <w:sz w:val="20"/>
              </w:rPr>
              <w:t>2021</w:t>
            </w:r>
          </w:p>
        </w:tc>
        <w:tc>
          <w:tcPr>
            <w:tcW w:w="868" w:type="dxa"/>
            <w:vAlign w:val="center"/>
          </w:tcPr>
          <w:p>
            <w:pPr>
              <w:jc w:val="center"/>
              <w:rPr>
                <w:noProof/>
                <w:sz w:val="20"/>
              </w:rPr>
            </w:pPr>
            <w:r>
              <w:rPr>
                <w:noProof/>
                <w:sz w:val="20"/>
              </w:rPr>
              <w:t>Έτος</w:t>
            </w:r>
            <w:r>
              <w:rPr>
                <w:noProof/>
              </w:rPr>
              <w:br/>
            </w:r>
            <w:r>
              <w:rPr>
                <w:b/>
                <w:noProof/>
                <w:sz w:val="20"/>
              </w:rPr>
              <w:t>2022</w:t>
            </w:r>
          </w:p>
        </w:tc>
        <w:tc>
          <w:tcPr>
            <w:tcW w:w="2604" w:type="dxa"/>
            <w:gridSpan w:val="3"/>
            <w:vAlign w:val="center"/>
          </w:tcPr>
          <w:p>
            <w:pPr>
              <w:jc w:val="center"/>
              <w:rPr>
                <w:b/>
                <w:noProof/>
                <w:sz w:val="18"/>
              </w:rPr>
            </w:pPr>
            <w:r>
              <w:rPr>
                <w:noProof/>
                <w:sz w:val="18"/>
              </w:rPr>
              <w:t xml:space="preserve">Να εγγραφούν όσα έτη απαιτούνται, ώστε να εμφαίνεται η διάρκεια των επιπτώσεων (βλ. σημείο 1.6) </w:t>
            </w:r>
          </w:p>
        </w:tc>
        <w:tc>
          <w:tcPr>
            <w:tcW w:w="1777" w:type="dxa"/>
            <w:vAlign w:val="center"/>
          </w:tcPr>
          <w:p>
            <w:pPr>
              <w:jc w:val="center"/>
              <w:rPr>
                <w:b/>
                <w:noProof/>
                <w:sz w:val="20"/>
              </w:rPr>
            </w:pPr>
            <w:r>
              <w:rPr>
                <w:b/>
                <w:noProof/>
                <w:sz w:val="20"/>
              </w:rPr>
              <w:t>ΣΥΝΟΛΟ</w:t>
            </w:r>
          </w:p>
        </w:tc>
      </w:tr>
      <w:tr>
        <w:trPr>
          <w:gridAfter w:val="10"/>
          <w:wAfter w:w="9947" w:type="dxa"/>
        </w:trPr>
        <w:tc>
          <w:tcPr>
            <w:tcW w:w="3960" w:type="dxa"/>
            <w:vAlign w:val="center"/>
          </w:tcPr>
          <w:p>
            <w:pPr>
              <w:spacing w:before="60" w:after="60"/>
              <w:jc w:val="center"/>
              <w:rPr>
                <w:noProof/>
              </w:rPr>
            </w:pPr>
            <w:r>
              <w:rPr>
                <w:noProof/>
              </w:rPr>
              <w:t>ΓΔ: ENER</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Ανθρώπινοι πόροι </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0,110</w:t>
            </w:r>
          </w:p>
        </w:tc>
      </w:tr>
      <w:tr>
        <w:trPr>
          <w:trHeight w:val="351"/>
        </w:trPr>
        <w:tc>
          <w:tcPr>
            <w:tcW w:w="6054" w:type="dxa"/>
            <w:gridSpan w:val="3"/>
            <w:vAlign w:val="center"/>
          </w:tcPr>
          <w:p>
            <w:pPr>
              <w:spacing w:before="20" w:after="20"/>
              <w:rPr>
                <w:noProof/>
              </w:rPr>
            </w:pPr>
            <w:r>
              <w:rPr>
                <w:noProof/>
              </w:rPr>
              <w:sym w:font="Wingdings" w:char="F09F"/>
            </w:r>
            <w:r>
              <w:rPr>
                <w:noProof/>
              </w:rPr>
              <w:t xml:space="preserve"> Άλλες διοικητικές δαπάνες </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0,014</w:t>
            </w:r>
          </w:p>
        </w:tc>
      </w:tr>
      <w:tr>
        <w:tc>
          <w:tcPr>
            <w:tcW w:w="3960" w:type="dxa"/>
            <w:vAlign w:val="center"/>
          </w:tcPr>
          <w:p>
            <w:pPr>
              <w:jc w:val="center"/>
              <w:rPr>
                <w:b/>
                <w:noProof/>
              </w:rPr>
            </w:pPr>
            <w:r>
              <w:rPr>
                <w:b/>
                <w:noProof/>
              </w:rPr>
              <w:t>ΣΥΝΟΛΟ ΓΔ ENER</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 xml:space="preserve">ΣΥΝΟΛΟ πιστώσεων </w:t>
            </w:r>
            <w:r>
              <w:rPr>
                <w:noProof/>
              </w:rPr>
              <w:br/>
            </w:r>
            <w:r>
              <w:rPr>
                <w:b/>
                <w:noProof/>
              </w:rPr>
              <w:t>του ΤΟΜΕΑ 5</w:t>
            </w:r>
            <w:r>
              <w:rPr>
                <w:noProof/>
              </w:rPr>
              <w:br/>
              <w:t>του πολυετούς δημοσιονομικού πλαισίου</w:t>
            </w:r>
            <w:r>
              <w:rPr>
                <w:b/>
                <w:noProof/>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 xml:space="preserve">Έτος </w:t>
            </w:r>
            <w:r>
              <w:rPr>
                <w:noProof/>
              </w:rPr>
              <w:br/>
            </w:r>
            <w:r>
              <w:rPr>
                <w:b/>
                <w:noProof/>
                <w:sz w:val="20"/>
              </w:rPr>
              <w:t>2019</w:t>
            </w:r>
            <w:r>
              <w:rPr>
                <w:rStyle w:val="FootnoteReference"/>
                <w:noProof/>
              </w:rPr>
              <w:footnoteReference w:id="29"/>
            </w:r>
          </w:p>
        </w:tc>
        <w:tc>
          <w:tcPr>
            <w:tcW w:w="868" w:type="dxa"/>
            <w:vAlign w:val="center"/>
          </w:tcPr>
          <w:p>
            <w:pPr>
              <w:jc w:val="center"/>
              <w:rPr>
                <w:noProof/>
                <w:sz w:val="20"/>
              </w:rPr>
            </w:pPr>
            <w:r>
              <w:rPr>
                <w:noProof/>
                <w:sz w:val="20"/>
              </w:rPr>
              <w:t>Έτος</w:t>
            </w:r>
            <w:r>
              <w:rPr>
                <w:noProof/>
              </w:rPr>
              <w:br/>
            </w:r>
            <w:r>
              <w:rPr>
                <w:b/>
                <w:noProof/>
                <w:sz w:val="20"/>
              </w:rPr>
              <w:t>2020</w:t>
            </w:r>
          </w:p>
        </w:tc>
        <w:tc>
          <w:tcPr>
            <w:tcW w:w="868" w:type="dxa"/>
            <w:vAlign w:val="center"/>
          </w:tcPr>
          <w:p>
            <w:pPr>
              <w:jc w:val="center"/>
              <w:rPr>
                <w:noProof/>
                <w:sz w:val="20"/>
              </w:rPr>
            </w:pPr>
            <w:r>
              <w:rPr>
                <w:noProof/>
                <w:sz w:val="20"/>
              </w:rPr>
              <w:t>Έτος</w:t>
            </w:r>
            <w:r>
              <w:rPr>
                <w:noProof/>
              </w:rPr>
              <w:br/>
            </w:r>
            <w:r>
              <w:rPr>
                <w:b/>
                <w:noProof/>
                <w:sz w:val="20"/>
              </w:rPr>
              <w:t>2021</w:t>
            </w:r>
          </w:p>
        </w:tc>
        <w:tc>
          <w:tcPr>
            <w:tcW w:w="868" w:type="dxa"/>
            <w:vAlign w:val="center"/>
          </w:tcPr>
          <w:p>
            <w:pPr>
              <w:jc w:val="center"/>
              <w:rPr>
                <w:noProof/>
                <w:sz w:val="20"/>
              </w:rPr>
            </w:pPr>
            <w:r>
              <w:rPr>
                <w:noProof/>
                <w:sz w:val="20"/>
              </w:rPr>
              <w:t>Έτος</w:t>
            </w:r>
            <w:r>
              <w:rPr>
                <w:noProof/>
              </w:rPr>
              <w:br/>
            </w:r>
            <w:r>
              <w:rPr>
                <w:b/>
                <w:noProof/>
                <w:sz w:val="20"/>
              </w:rPr>
              <w:t>2022</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rPr>
              <w:t xml:space="preserve">ΣΥΝΟΛΟ πιστώσεων </w:t>
            </w:r>
            <w:r>
              <w:rPr>
                <w:noProof/>
              </w:rPr>
              <w:br/>
            </w:r>
            <w:r>
              <w:rPr>
                <w:b/>
                <w:noProof/>
              </w:rPr>
              <w:t>των ΤΟΜΕΩΝ 1 έως 5</w:t>
            </w:r>
            <w:r>
              <w:rPr>
                <w:noProof/>
              </w:rPr>
              <w:br/>
              <w:t>του πολυετούς δημοσιονομικού πλαισίου</w:t>
            </w:r>
            <w:r>
              <w:rPr>
                <w:b/>
                <w:noProof/>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1,362</w:t>
            </w:r>
          </w:p>
        </w:tc>
        <w:tc>
          <w:tcPr>
            <w:tcW w:w="868" w:type="dxa"/>
            <w:vAlign w:val="center"/>
          </w:tcPr>
          <w:p>
            <w:pPr>
              <w:spacing w:before="60" w:after="60"/>
              <w:jc w:val="right"/>
              <w:rPr>
                <w:noProof/>
                <w:sz w:val="20"/>
              </w:rPr>
            </w:pPr>
            <w:r>
              <w:rPr>
                <w:noProof/>
                <w:sz w:val="20"/>
              </w:rPr>
              <w:t>1,682</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noProof/>
                <w:sz w:val="20"/>
              </w:rPr>
            </w:pPr>
            <w:r>
              <w:rPr>
                <w:noProof/>
                <w:sz w:val="20"/>
              </w:rPr>
              <w:t>3,044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0,862</w:t>
            </w:r>
          </w:p>
        </w:tc>
        <w:tc>
          <w:tcPr>
            <w:tcW w:w="868" w:type="dxa"/>
            <w:vAlign w:val="center"/>
          </w:tcPr>
          <w:p>
            <w:pPr>
              <w:spacing w:before="60" w:after="60"/>
              <w:jc w:val="right"/>
              <w:rPr>
                <w:noProof/>
                <w:sz w:val="20"/>
              </w:rPr>
            </w:pPr>
            <w:r>
              <w:rPr>
                <w:noProof/>
                <w:sz w:val="20"/>
              </w:rPr>
              <w:t>1,182</w:t>
            </w:r>
          </w:p>
        </w:tc>
        <w:tc>
          <w:tcPr>
            <w:tcW w:w="868" w:type="dxa"/>
            <w:vAlign w:val="center"/>
          </w:tcPr>
          <w:p>
            <w:pPr>
              <w:spacing w:before="60" w:after="60"/>
              <w:jc w:val="right"/>
              <w:rPr>
                <w:noProof/>
                <w:sz w:val="20"/>
              </w:rPr>
            </w:pPr>
            <w:r>
              <w:rPr>
                <w:noProof/>
                <w:sz w:val="20"/>
              </w:rPr>
              <w:t>1,000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noProof/>
                <w:sz w:val="20"/>
              </w:rPr>
              <w:t>3,044</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Εκτιμώμενες επιπτώσεις στις επιχειρησιακές πιστώσεις</w:t>
      </w:r>
    </w:p>
    <w:p>
      <w:pPr>
        <w:ind w:left="850"/>
        <w:rPr>
          <w:noProof/>
        </w:rPr>
      </w:pPr>
      <w:r>
        <w:rPr>
          <w:noProof/>
        </w:rPr>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42"/>
        <w:gridCol w:w="692"/>
        <w:gridCol w:w="643"/>
        <w:gridCol w:w="729"/>
        <w:gridCol w:w="644"/>
        <w:gridCol w:w="730"/>
        <w:gridCol w:w="644"/>
        <w:gridCol w:w="730"/>
        <w:gridCol w:w="644"/>
        <w:gridCol w:w="730"/>
        <w:gridCol w:w="644"/>
        <w:gridCol w:w="730"/>
        <w:gridCol w:w="644"/>
        <w:gridCol w:w="730"/>
        <w:gridCol w:w="644"/>
        <w:gridCol w:w="730"/>
        <w:gridCol w:w="918"/>
        <w:gridCol w:w="852"/>
      </w:tblGrid>
      <w:tr>
        <w:trPr>
          <w:jc w:val="center"/>
        </w:trPr>
        <w:tc>
          <w:tcPr>
            <w:tcW w:w="0" w:type="auto"/>
            <w:vMerge w:val="restart"/>
            <w:vAlign w:val="center"/>
          </w:tcPr>
          <w:p>
            <w:pPr>
              <w:ind w:right="-29"/>
              <w:jc w:val="center"/>
              <w:rPr>
                <w:b/>
                <w:noProof/>
                <w:sz w:val="18"/>
                <w:szCs w:val="18"/>
              </w:rPr>
            </w:pPr>
            <w:r>
              <w:rPr>
                <w:b/>
                <w:noProof/>
                <w:sz w:val="18"/>
              </w:rPr>
              <w:t>Να προσδιοριστούν οι στόχοι και τα αποτελέσματα</w:t>
            </w:r>
          </w:p>
          <w:p>
            <w:pPr>
              <w:ind w:right="-29"/>
              <w:jc w:val="center"/>
              <w:rPr>
                <w:b/>
                <w:noProof/>
                <w:sz w:val="18"/>
                <w:szCs w:val="18"/>
              </w:rPr>
            </w:pPr>
          </w:p>
          <w:p>
            <w:pPr>
              <w:ind w:right="-29"/>
              <w:jc w:val="center"/>
              <w:rPr>
                <w:noProof/>
                <w:sz w:val="18"/>
                <w:szCs w:val="18"/>
              </w:rPr>
            </w:pPr>
            <w:r>
              <w:rPr>
                <w:noProof/>
                <w:sz w:val="18"/>
              </w:rPr>
              <w:sym w:font="Wingdings" w:char="F0F2"/>
            </w:r>
          </w:p>
        </w:tc>
        <w:tc>
          <w:tcPr>
            <w:tcW w:w="0" w:type="auto"/>
            <w:vAlign w:val="center"/>
          </w:tcPr>
          <w:p>
            <w:pPr>
              <w:ind w:right="-29"/>
              <w:jc w:val="center"/>
              <w:rPr>
                <w:noProof/>
                <w:sz w:val="18"/>
                <w:szCs w:val="18"/>
              </w:rPr>
            </w:pPr>
          </w:p>
        </w:tc>
        <w:tc>
          <w:tcPr>
            <w:tcW w:w="0" w:type="auto"/>
            <w:vAlign w:val="center"/>
          </w:tcPr>
          <w:p>
            <w:pPr>
              <w:ind w:right="-29"/>
              <w:jc w:val="center"/>
              <w:rPr>
                <w:noProof/>
                <w:sz w:val="18"/>
                <w:szCs w:val="18"/>
              </w:rPr>
            </w:pPr>
          </w:p>
        </w:tc>
        <w:tc>
          <w:tcPr>
            <w:tcW w:w="0" w:type="auto"/>
            <w:gridSpan w:val="2"/>
            <w:tcBorders>
              <w:left w:val="nil"/>
            </w:tcBorders>
            <w:vAlign w:val="center"/>
          </w:tcPr>
          <w:p>
            <w:pPr>
              <w:ind w:right="-29"/>
              <w:jc w:val="center"/>
              <w:rPr>
                <w:noProof/>
                <w:sz w:val="18"/>
                <w:szCs w:val="18"/>
              </w:rPr>
            </w:pPr>
            <w:r>
              <w:rPr>
                <w:noProof/>
                <w:sz w:val="18"/>
              </w:rPr>
              <w:t>Έτος</w:t>
            </w:r>
            <w:r>
              <w:rPr>
                <w:noProof/>
              </w:rPr>
              <w:br/>
            </w:r>
            <w:r>
              <w:rPr>
                <w:b/>
                <w:noProof/>
                <w:sz w:val="18"/>
              </w:rPr>
              <w:t>2019</w:t>
            </w:r>
          </w:p>
        </w:tc>
        <w:tc>
          <w:tcPr>
            <w:tcW w:w="0" w:type="auto"/>
            <w:gridSpan w:val="2"/>
            <w:vAlign w:val="center"/>
          </w:tcPr>
          <w:p>
            <w:pPr>
              <w:ind w:right="-29"/>
              <w:jc w:val="center"/>
              <w:rPr>
                <w:noProof/>
                <w:sz w:val="18"/>
                <w:szCs w:val="18"/>
              </w:rPr>
            </w:pPr>
            <w:r>
              <w:rPr>
                <w:noProof/>
                <w:sz w:val="18"/>
              </w:rPr>
              <w:t>Έτος</w:t>
            </w:r>
            <w:r>
              <w:rPr>
                <w:noProof/>
              </w:rPr>
              <w:br/>
            </w:r>
            <w:r>
              <w:rPr>
                <w:b/>
                <w:noProof/>
                <w:sz w:val="18"/>
              </w:rPr>
              <w:t>2020</w:t>
            </w:r>
          </w:p>
        </w:tc>
        <w:tc>
          <w:tcPr>
            <w:tcW w:w="0" w:type="auto"/>
            <w:gridSpan w:val="2"/>
            <w:vAlign w:val="center"/>
          </w:tcPr>
          <w:p>
            <w:pPr>
              <w:ind w:right="-29"/>
              <w:jc w:val="center"/>
              <w:rPr>
                <w:noProof/>
                <w:sz w:val="18"/>
                <w:szCs w:val="18"/>
              </w:rPr>
            </w:pPr>
            <w:r>
              <w:rPr>
                <w:noProof/>
                <w:sz w:val="18"/>
              </w:rPr>
              <w:t>Έτος</w:t>
            </w:r>
            <w:r>
              <w:rPr>
                <w:noProof/>
              </w:rPr>
              <w:br/>
            </w:r>
            <w:r>
              <w:rPr>
                <w:b/>
                <w:noProof/>
                <w:sz w:val="18"/>
              </w:rPr>
              <w:t>2021</w:t>
            </w:r>
          </w:p>
        </w:tc>
        <w:tc>
          <w:tcPr>
            <w:tcW w:w="0" w:type="auto"/>
            <w:gridSpan w:val="2"/>
            <w:vAlign w:val="center"/>
          </w:tcPr>
          <w:p>
            <w:pPr>
              <w:ind w:right="-29"/>
              <w:jc w:val="center"/>
              <w:rPr>
                <w:noProof/>
                <w:sz w:val="18"/>
                <w:szCs w:val="18"/>
              </w:rPr>
            </w:pPr>
            <w:r>
              <w:rPr>
                <w:noProof/>
                <w:sz w:val="18"/>
              </w:rPr>
              <w:t>Έτος</w:t>
            </w:r>
            <w:r>
              <w:rPr>
                <w:noProof/>
              </w:rPr>
              <w:br/>
            </w:r>
            <w:r>
              <w:rPr>
                <w:b/>
                <w:noProof/>
                <w:sz w:val="18"/>
              </w:rPr>
              <w:t>2022</w:t>
            </w:r>
          </w:p>
        </w:tc>
        <w:tc>
          <w:tcPr>
            <w:tcW w:w="0" w:type="auto"/>
            <w:gridSpan w:val="6"/>
            <w:vAlign w:val="center"/>
          </w:tcPr>
          <w:p>
            <w:pPr>
              <w:jc w:val="center"/>
              <w:rPr>
                <w:noProof/>
                <w:sz w:val="18"/>
                <w:szCs w:val="18"/>
              </w:rPr>
            </w:pPr>
            <w:r>
              <w:rPr>
                <w:noProof/>
                <w:sz w:val="18"/>
              </w:rPr>
              <w:t>Να εγγραφούν όσα έτη απαιτούνται, ώστε να εμφαίνεται η διάρκεια των επιπτώσεων (βλ. σημείο 1.6)</w:t>
            </w:r>
          </w:p>
        </w:tc>
        <w:tc>
          <w:tcPr>
            <w:tcW w:w="0" w:type="auto"/>
            <w:gridSpan w:val="2"/>
            <w:tcBorders>
              <w:left w:val="nil"/>
              <w:bottom w:val="nil"/>
            </w:tcBorders>
            <w:vAlign w:val="center"/>
          </w:tcPr>
          <w:p>
            <w:pPr>
              <w:ind w:right="-29"/>
              <w:jc w:val="center"/>
              <w:rPr>
                <w:noProof/>
                <w:sz w:val="18"/>
                <w:szCs w:val="18"/>
              </w:rPr>
            </w:pPr>
            <w:r>
              <w:rPr>
                <w:b/>
                <w:noProof/>
                <w:sz w:val="18"/>
              </w:rPr>
              <w:t>ΣΥΝΟΛΟ</w:t>
            </w:r>
          </w:p>
        </w:tc>
      </w:tr>
      <w:tr>
        <w:trPr>
          <w:jc w:val="center"/>
        </w:trPr>
        <w:tc>
          <w:tcPr>
            <w:tcW w:w="0" w:type="auto"/>
            <w:vMerge/>
            <w:vAlign w:val="center"/>
          </w:tcPr>
          <w:p>
            <w:pPr>
              <w:ind w:right="-29"/>
              <w:jc w:val="center"/>
              <w:rPr>
                <w:noProof/>
                <w:sz w:val="18"/>
                <w:szCs w:val="18"/>
              </w:rPr>
            </w:pPr>
          </w:p>
        </w:tc>
        <w:tc>
          <w:tcPr>
            <w:tcW w:w="0" w:type="auto"/>
            <w:gridSpan w:val="18"/>
            <w:vAlign w:val="center"/>
          </w:tcPr>
          <w:p>
            <w:pPr>
              <w:spacing w:before="60" w:after="60"/>
              <w:ind w:right="-29"/>
              <w:jc w:val="center"/>
              <w:rPr>
                <w:noProof/>
                <w:sz w:val="18"/>
                <w:szCs w:val="18"/>
              </w:rPr>
            </w:pPr>
            <w:r>
              <w:rPr>
                <w:b/>
                <w:noProof/>
                <w:sz w:val="18"/>
              </w:rPr>
              <w:t xml:space="preserve">ΑΠΟΤΕΛΕΣΜΑΤΑ </w:t>
            </w:r>
          </w:p>
        </w:tc>
      </w:tr>
      <w:tr>
        <w:trPr>
          <w:cantSplit/>
          <w:trHeight w:val="1134"/>
          <w:jc w:val="center"/>
        </w:trPr>
        <w:tc>
          <w:tcPr>
            <w:tcW w:w="0" w:type="auto"/>
            <w:vMerge/>
            <w:vAlign w:val="center"/>
          </w:tcPr>
          <w:p>
            <w:pPr>
              <w:rPr>
                <w:noProof/>
                <w:sz w:val="18"/>
                <w:szCs w:val="18"/>
              </w:rPr>
            </w:pPr>
          </w:p>
        </w:tc>
        <w:tc>
          <w:tcPr>
            <w:tcW w:w="0" w:type="auto"/>
            <w:vAlign w:val="center"/>
          </w:tcPr>
          <w:p>
            <w:pPr>
              <w:jc w:val="center"/>
              <w:rPr>
                <w:noProof/>
                <w:sz w:val="18"/>
                <w:szCs w:val="18"/>
              </w:rPr>
            </w:pPr>
            <w:r>
              <w:rPr>
                <w:noProof/>
                <w:sz w:val="18"/>
              </w:rPr>
              <w:t>Είδος</w:t>
            </w:r>
            <w:r>
              <w:rPr>
                <w:rStyle w:val="FootnoteReference"/>
                <w:noProof/>
              </w:rPr>
              <w:footnoteReference w:id="30"/>
            </w:r>
          </w:p>
          <w:p>
            <w:pPr>
              <w:spacing w:after="0"/>
              <w:jc w:val="center"/>
              <w:rPr>
                <w:noProof/>
                <w:sz w:val="18"/>
                <w:szCs w:val="18"/>
              </w:rPr>
            </w:pPr>
          </w:p>
        </w:tc>
        <w:tc>
          <w:tcPr>
            <w:tcW w:w="0" w:type="auto"/>
            <w:vAlign w:val="center"/>
          </w:tcPr>
          <w:p>
            <w:pPr>
              <w:jc w:val="center"/>
              <w:rPr>
                <w:noProof/>
                <w:sz w:val="18"/>
                <w:szCs w:val="18"/>
              </w:rPr>
            </w:pPr>
            <w:r>
              <w:rPr>
                <w:noProof/>
                <w:sz w:val="18"/>
              </w:rPr>
              <w:t>Μέσο κόστος</w:t>
            </w:r>
          </w:p>
        </w:tc>
        <w:tc>
          <w:tcPr>
            <w:tcW w:w="0" w:type="auto"/>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Κόστος</w:t>
            </w:r>
          </w:p>
        </w:tc>
        <w:tc>
          <w:tcPr>
            <w:tcW w:w="0" w:type="auto"/>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0" w:type="auto"/>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0" w:type="auto"/>
            <w:gridSpan w:val="11"/>
            <w:vAlign w:val="center"/>
          </w:tcPr>
          <w:p>
            <w:pPr>
              <w:spacing w:before="60" w:after="60"/>
              <w:ind w:right="-29"/>
              <w:rPr>
                <w:noProof/>
                <w:sz w:val="18"/>
                <w:szCs w:val="18"/>
              </w:rPr>
            </w:pPr>
            <w:r>
              <w:rPr>
                <w:noProof/>
                <w:sz w:val="18"/>
              </w:rPr>
              <w:t>ΕΙΔΙΚΟΣ ΣΤΟΧΟΣ: Προώθηση της συγκράτησης της ενεργειακής ζήτησης.</w:t>
            </w: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r>
      <w:tr>
        <w:trPr>
          <w:trHeight w:hRule="exact" w:val="832"/>
          <w:jc w:val="center"/>
        </w:trPr>
        <w:tc>
          <w:tcPr>
            <w:tcW w:w="0" w:type="auto"/>
          </w:tcPr>
          <w:p>
            <w:pPr>
              <w:ind w:right="-29"/>
              <w:jc w:val="center"/>
              <w:rPr>
                <w:noProof/>
                <w:sz w:val="18"/>
                <w:szCs w:val="18"/>
              </w:rPr>
            </w:pPr>
            <w:r>
              <w:rPr>
                <w:noProof/>
                <w:sz w:val="18"/>
              </w:rPr>
              <w:t>Επικαιροποίηση της καταχώρισης προϊόντων που σχετίζονται με την ενέργεια στην ηλεκτρονική βάση δεδομένων</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0,2</w:t>
            </w:r>
          </w:p>
        </w:tc>
      </w:tr>
      <w:tr>
        <w:trPr>
          <w:trHeight w:hRule="exact" w:val="1078"/>
          <w:jc w:val="center"/>
        </w:trPr>
        <w:tc>
          <w:tcPr>
            <w:tcW w:w="0" w:type="auto"/>
          </w:tcPr>
          <w:p>
            <w:pPr>
              <w:ind w:right="-29"/>
              <w:jc w:val="center"/>
              <w:rPr>
                <w:noProof/>
                <w:sz w:val="18"/>
                <w:szCs w:val="18"/>
              </w:rPr>
            </w:pPr>
            <w:r>
              <w:rPr>
                <w:noProof/>
                <w:sz w:val="18"/>
              </w:rPr>
              <w:t xml:space="preserve">Διατήρηση της καταχώρισης προϊόντων που σχετίζονται με την ενέργεια στην επικαιροποιημένη ηλεκτρονική βάση δεδομένων </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0,02</w:t>
            </w:r>
          </w:p>
        </w:tc>
      </w:tr>
      <w:tr>
        <w:trPr>
          <w:trHeight w:hRule="exact" w:val="1432"/>
          <w:jc w:val="center"/>
        </w:trPr>
        <w:tc>
          <w:tcPr>
            <w:tcW w:w="0" w:type="auto"/>
          </w:tcPr>
          <w:p>
            <w:pPr>
              <w:ind w:right="-29"/>
              <w:jc w:val="center"/>
              <w:rPr>
                <w:noProof/>
                <w:sz w:val="20"/>
              </w:rPr>
            </w:pPr>
            <w:r>
              <w:rPr>
                <w:noProof/>
                <w:sz w:val="18"/>
              </w:rPr>
              <w:t>Τεχνική βοήθεια ή/και μελέτες για την αξιολόγηση των πτυχών των ελαστικών που είναι απαραίτητες για την εφαρμογή του κανονισμού και την υποστήριξη της τυποποίησης</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2</w:t>
            </w:r>
          </w:p>
        </w:tc>
        <w:tc>
          <w:tcPr>
            <w:tcW w:w="0" w:type="auto"/>
          </w:tcPr>
          <w:p>
            <w:pPr>
              <w:ind w:right="-29"/>
              <w:jc w:val="center"/>
              <w:rPr>
                <w:noProof/>
                <w:sz w:val="18"/>
                <w:szCs w:val="18"/>
              </w:rPr>
            </w:pPr>
            <w:r>
              <w:rPr>
                <w:noProof/>
                <w:sz w:val="18"/>
              </w:rPr>
              <w:t>0,2</w:t>
            </w:r>
          </w:p>
        </w:tc>
      </w:tr>
      <w:tr>
        <w:trPr>
          <w:trHeight w:hRule="exact" w:val="1432"/>
          <w:jc w:val="center"/>
        </w:trPr>
        <w:tc>
          <w:tcPr>
            <w:tcW w:w="0" w:type="auto"/>
          </w:tcPr>
          <w:p>
            <w:pPr>
              <w:ind w:right="-29"/>
              <w:jc w:val="center"/>
              <w:rPr>
                <w:noProof/>
                <w:sz w:val="18"/>
              </w:rPr>
            </w:pPr>
            <w:r>
              <w:rPr>
                <w:noProof/>
                <w:sz w:val="18"/>
              </w:rPr>
              <w:t>Ενημερωτική εκστρατεία</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2,0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2,0</w:t>
            </w:r>
          </w:p>
        </w:tc>
      </w:tr>
      <w:tr>
        <w:trPr>
          <w:trHeight w:hRule="exact" w:val="1432"/>
          <w:jc w:val="center"/>
        </w:trPr>
        <w:tc>
          <w:tcPr>
            <w:tcW w:w="0" w:type="auto"/>
          </w:tcPr>
          <w:p>
            <w:pPr>
              <w:ind w:right="-29"/>
              <w:jc w:val="center"/>
              <w:rPr>
                <w:noProof/>
                <w:sz w:val="18"/>
              </w:rPr>
            </w:pPr>
            <w:r>
              <w:rPr>
                <w:noProof/>
                <w:sz w:val="18"/>
              </w:rPr>
              <w:t>Κοινές δράσεις επιβολής της νομοθεσίας</w:t>
            </w: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0,5</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1,3</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1,62</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2,92</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Εκτιμώμενες επιπτώσεις στις πιστώσεις διοικητικού χαρακτήρα</w:t>
      </w:r>
    </w:p>
    <w:p>
      <w:pPr>
        <w:pStyle w:val="ManualHeading4"/>
        <w:rPr>
          <w:noProof/>
        </w:rPr>
      </w:pPr>
      <w:r>
        <w:t>3.2.3.1.</w:t>
      </w:r>
      <w:r>
        <w:tab/>
      </w:r>
      <w:r>
        <w:rPr>
          <w:noProof/>
        </w:rPr>
        <w:t>Συνοπτική παρουσίαση</w:t>
      </w:r>
    </w:p>
    <w:p>
      <w:pPr>
        <w:ind w:left="850"/>
        <w:rPr>
          <w:noProof/>
        </w:rPr>
      </w:pPr>
      <w:r>
        <w:rPr>
          <w:noProof/>
        </w:rPr>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 xml:space="preserve">Έτος </w:t>
            </w:r>
            <w:r>
              <w:rPr>
                <w:noProof/>
              </w:rPr>
              <w:br/>
            </w:r>
            <w:r>
              <w:rPr>
                <w:b/>
                <w:noProof/>
                <w:sz w:val="16"/>
              </w:rPr>
              <w:t>2019</w:t>
            </w:r>
            <w:r>
              <w:rPr>
                <w:rStyle w:val="FootnoteReference"/>
                <w:noProof/>
              </w:rPr>
              <w:footnoteReference w:id="31"/>
            </w:r>
          </w:p>
        </w:tc>
        <w:tc>
          <w:tcPr>
            <w:tcW w:w="1080" w:type="dxa"/>
            <w:vAlign w:val="center"/>
          </w:tcPr>
          <w:p>
            <w:pPr>
              <w:spacing w:before="60" w:after="60" w:line="200" w:lineRule="exact"/>
              <w:jc w:val="center"/>
              <w:rPr>
                <w:noProof/>
                <w:sz w:val="16"/>
                <w:szCs w:val="16"/>
              </w:rPr>
            </w:pPr>
            <w:r>
              <w:rPr>
                <w:noProof/>
                <w:sz w:val="16"/>
              </w:rPr>
              <w:t>Έτος</w:t>
            </w:r>
            <w:r>
              <w:rPr>
                <w:noProof/>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Έτος</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Έτος</w:t>
            </w:r>
            <w:r>
              <w:rPr>
                <w:noProof/>
              </w:rPr>
              <w:br/>
            </w:r>
            <w:r>
              <w:rPr>
                <w:b/>
                <w:noProof/>
                <w:sz w:val="16"/>
              </w:rPr>
              <w:t>2022</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0,110</w:t>
            </w:r>
          </w:p>
        </w:tc>
      </w:tr>
      <w:tr>
        <w:trPr>
          <w:trHeight w:val="585"/>
        </w:trPr>
        <w:tc>
          <w:tcPr>
            <w:tcW w:w="1980" w:type="dxa"/>
            <w:vAlign w:val="center"/>
          </w:tcPr>
          <w:p>
            <w:pPr>
              <w:spacing w:before="60" w:after="60" w:line="200" w:lineRule="exact"/>
              <w:ind w:left="72"/>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0,014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0,124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noProof/>
              </w:rPr>
              <w:footnoteReference w:id="32"/>
            </w:r>
            <w:r>
              <w:rPr>
                <w:noProof/>
              </w:rPr>
              <w:br/>
            </w:r>
            <w:r>
              <w:rPr>
                <w:b/>
                <w:noProof/>
                <w:sz w:val="16"/>
              </w:rPr>
              <w:t>του πολυετούς δημοσιονομικού πλαισίου</w:t>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Άλλες δαπάνες </w:t>
            </w:r>
            <w:r>
              <w:rPr>
                <w:noProof/>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rPr>
              <w:br/>
            </w:r>
            <w:r>
              <w:rPr>
                <w:b/>
                <w:noProof/>
                <w:sz w:val="16"/>
              </w:rPr>
              <w:t>εκτός του ΤΟΜΕΑ 5</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0,124</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Εκτιμώμενες ανάγκες σε ανθρώπινους πόρους</w:t>
      </w:r>
    </w:p>
    <w:p>
      <w:pPr>
        <w:ind w:left="850"/>
        <w:rPr>
          <w:noProof/>
        </w:rPr>
      </w:pPr>
      <w:r>
        <w:rPr>
          <w:noProof/>
        </w:rPr>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5"/>
        <w:gridCol w:w="1104"/>
        <w:gridCol w:w="1137"/>
        <w:gridCol w:w="1277"/>
        <w:gridCol w:w="1127"/>
        <w:gridCol w:w="567"/>
        <w:gridCol w:w="567"/>
        <w:gridCol w:w="614"/>
      </w:tblGrid>
      <w:tr>
        <w:trPr>
          <w:trHeight w:val="289"/>
          <w:jc w:val="center"/>
        </w:trPr>
        <w:tc>
          <w:tcPr>
            <w:tcW w:w="1897" w:type="pct"/>
            <w:gridSpan w:val="2"/>
            <w:shd w:val="clear" w:color="auto" w:fill="auto"/>
          </w:tcPr>
          <w:p>
            <w:pPr>
              <w:spacing w:before="40" w:after="40"/>
              <w:jc w:val="center"/>
              <w:rPr>
                <w:i/>
                <w:noProof/>
                <w:sz w:val="16"/>
                <w:szCs w:val="16"/>
              </w:rPr>
            </w:pPr>
          </w:p>
        </w:tc>
        <w:tc>
          <w:tcPr>
            <w:tcW w:w="536" w:type="pct"/>
            <w:shd w:val="clear" w:color="auto" w:fill="auto"/>
            <w:vAlign w:val="center"/>
          </w:tcPr>
          <w:p>
            <w:pPr>
              <w:spacing w:before="20" w:after="20"/>
              <w:jc w:val="center"/>
              <w:rPr>
                <w:noProof/>
                <w:sz w:val="16"/>
                <w:szCs w:val="16"/>
              </w:rPr>
            </w:pPr>
            <w:r>
              <w:rPr>
                <w:noProof/>
                <w:sz w:val="16"/>
              </w:rPr>
              <w:t xml:space="preserve">Έτος </w:t>
            </w:r>
            <w:r>
              <w:rPr>
                <w:b/>
                <w:noProof/>
                <w:sz w:val="16"/>
              </w:rPr>
              <w:t>2019</w:t>
            </w:r>
          </w:p>
        </w:tc>
        <w:tc>
          <w:tcPr>
            <w:tcW w:w="552" w:type="pct"/>
            <w:shd w:val="clear" w:color="auto" w:fill="auto"/>
            <w:vAlign w:val="center"/>
          </w:tcPr>
          <w:p>
            <w:pPr>
              <w:spacing w:before="20" w:after="20"/>
              <w:jc w:val="center"/>
              <w:rPr>
                <w:noProof/>
                <w:sz w:val="16"/>
                <w:szCs w:val="16"/>
              </w:rPr>
            </w:pPr>
            <w:r>
              <w:rPr>
                <w:noProof/>
                <w:sz w:val="16"/>
              </w:rPr>
              <w:t xml:space="preserve">Έτος </w:t>
            </w:r>
            <w:r>
              <w:rPr>
                <w:b/>
                <w:noProof/>
                <w:sz w:val="16"/>
              </w:rPr>
              <w:t>2020</w:t>
            </w:r>
          </w:p>
        </w:tc>
        <w:tc>
          <w:tcPr>
            <w:tcW w:w="620" w:type="pct"/>
            <w:shd w:val="clear" w:color="auto" w:fill="auto"/>
            <w:vAlign w:val="center"/>
          </w:tcPr>
          <w:p>
            <w:pPr>
              <w:spacing w:before="20" w:after="20"/>
              <w:jc w:val="center"/>
              <w:rPr>
                <w:noProof/>
                <w:sz w:val="16"/>
                <w:szCs w:val="16"/>
              </w:rPr>
            </w:pPr>
            <w:r>
              <w:rPr>
                <w:noProof/>
                <w:sz w:val="16"/>
              </w:rPr>
              <w:t xml:space="preserve">Έτος </w:t>
            </w:r>
            <w:r>
              <w:rPr>
                <w:b/>
                <w:noProof/>
                <w:sz w:val="16"/>
              </w:rPr>
              <w:t>2021</w:t>
            </w:r>
          </w:p>
        </w:tc>
        <w:tc>
          <w:tcPr>
            <w:tcW w:w="547" w:type="pct"/>
            <w:shd w:val="clear" w:color="auto" w:fill="auto"/>
            <w:vAlign w:val="center"/>
          </w:tcPr>
          <w:p>
            <w:pPr>
              <w:spacing w:before="20" w:after="20"/>
              <w:jc w:val="center"/>
              <w:rPr>
                <w:noProof/>
                <w:sz w:val="16"/>
                <w:szCs w:val="16"/>
              </w:rPr>
            </w:pPr>
            <w:r>
              <w:rPr>
                <w:noProof/>
                <w:sz w:val="16"/>
              </w:rPr>
              <w:t xml:space="preserve">Έτος </w:t>
            </w:r>
            <w:r>
              <w:rPr>
                <w:b/>
                <w:noProof/>
                <w:sz w:val="16"/>
              </w:rPr>
              <w:t>2022</w:t>
            </w:r>
          </w:p>
        </w:tc>
        <w:tc>
          <w:tcPr>
            <w:tcW w:w="848" w:type="pct"/>
            <w:gridSpan w:val="3"/>
            <w:shd w:val="clear" w:color="auto" w:fill="auto"/>
            <w:vAlign w:val="center"/>
          </w:tcPr>
          <w:p>
            <w:pPr>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r>
      <w:tr>
        <w:trPr>
          <w:trHeight w:val="289"/>
          <w:jc w:val="center"/>
        </w:trPr>
        <w:tc>
          <w:tcPr>
            <w:tcW w:w="3605"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547"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b/>
                <w:noProof/>
                <w:sz w:val="16"/>
                <w:szCs w:val="16"/>
              </w:rPr>
            </w:pPr>
            <w:r>
              <w:rPr>
                <w:noProof/>
                <w:sz w:val="16"/>
              </w:rPr>
              <w:t>32 01 01 01 (έδρα και αντιπροσωπείες της Επιτροπής)</w:t>
            </w:r>
          </w:p>
        </w:tc>
        <w:tc>
          <w:tcPr>
            <w:tcW w:w="536" w:type="pct"/>
            <w:shd w:val="clear" w:color="auto" w:fill="auto"/>
            <w:vAlign w:val="center"/>
          </w:tcPr>
          <w:p>
            <w:pPr>
              <w:spacing w:beforeLines="20" w:before="48" w:afterLines="20" w:after="48"/>
              <w:jc w:val="center"/>
              <w:rPr>
                <w:noProof/>
                <w:sz w:val="16"/>
                <w:szCs w:val="16"/>
              </w:rPr>
            </w:pPr>
            <w:r>
              <w:rPr>
                <w:noProof/>
                <w:sz w:val="16"/>
              </w:rPr>
              <w:t>0,36</w:t>
            </w:r>
          </w:p>
        </w:tc>
        <w:tc>
          <w:tcPr>
            <w:tcW w:w="552" w:type="pct"/>
            <w:shd w:val="clear" w:color="auto" w:fill="auto"/>
            <w:vAlign w:val="center"/>
          </w:tcPr>
          <w:p>
            <w:pPr>
              <w:spacing w:beforeLines="20" w:before="48" w:afterLines="20" w:after="48"/>
              <w:jc w:val="center"/>
              <w:rPr>
                <w:noProof/>
                <w:sz w:val="16"/>
                <w:szCs w:val="16"/>
              </w:rPr>
            </w:pPr>
            <w:r>
              <w:rPr>
                <w:noProof/>
                <w:sz w:val="16"/>
              </w:rPr>
              <w:t>0,36</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01 02 (αντιπροσωπείες της ΕΕ)</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05 01 (έμμεση έρευνα)</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10 01 05 01 (άμεση έρευνα)</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gridAfter w:val="4"/>
          <w:wAfter w:w="1395" w:type="pct"/>
          <w:trHeight w:val="248"/>
          <w:jc w:val="center"/>
        </w:trPr>
        <w:tc>
          <w:tcPr>
            <w:tcW w:w="3605" w:type="pct"/>
            <w:gridSpan w:val="5"/>
            <w:shd w:val="clear" w:color="auto" w:fill="auto"/>
            <w:vAlign w:val="center"/>
          </w:tcPr>
          <w:p>
            <w:pPr>
              <w:spacing w:before="60" w:after="60"/>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33"/>
            </w:r>
          </w:p>
          <w:p>
            <w:pPr>
              <w:spacing w:after="0"/>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b/>
                <w:noProof/>
                <w:sz w:val="16"/>
                <w:szCs w:val="16"/>
              </w:rPr>
            </w:pPr>
            <w:r>
              <w:rPr>
                <w:noProof/>
                <w:sz w:val="16"/>
              </w:rPr>
              <w:t>32 01 02 01 (AC, END, INT από το συνολικό κονδύλιο)</w:t>
            </w:r>
          </w:p>
        </w:tc>
        <w:tc>
          <w:tcPr>
            <w:tcW w:w="536" w:type="pct"/>
            <w:shd w:val="clear" w:color="auto" w:fill="auto"/>
            <w:vAlign w:val="center"/>
          </w:tcPr>
          <w:p>
            <w:pPr>
              <w:spacing w:beforeLines="20" w:before="48" w:afterLines="20" w:after="48"/>
              <w:jc w:val="center"/>
              <w:rPr>
                <w:noProof/>
                <w:sz w:val="16"/>
                <w:szCs w:val="16"/>
              </w:rPr>
            </w:pPr>
            <w:r>
              <w:rPr>
                <w:noProof/>
                <w:sz w:val="16"/>
              </w:rPr>
              <w:t>0,03</w:t>
            </w:r>
          </w:p>
        </w:tc>
        <w:tc>
          <w:tcPr>
            <w:tcW w:w="552" w:type="pct"/>
            <w:shd w:val="clear" w:color="auto" w:fill="auto"/>
            <w:vAlign w:val="center"/>
          </w:tcPr>
          <w:p>
            <w:pPr>
              <w:spacing w:beforeLines="20" w:before="48" w:afterLines="20" w:after="48"/>
              <w:jc w:val="center"/>
              <w:rPr>
                <w:noProof/>
                <w:sz w:val="16"/>
                <w:szCs w:val="16"/>
              </w:rPr>
            </w:pPr>
            <w:r>
              <w:rPr>
                <w:noProof/>
                <w:sz w:val="16"/>
              </w:rPr>
              <w:t>0,03</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XX 01 02 02 (AC, AL, END, INT και JED στις αντιπροσωπείες της ΕΕ)</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34"/>
            </w:r>
          </w:p>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στην έδρα</w:t>
            </w:r>
          </w:p>
          <w:p>
            <w:pPr>
              <w:spacing w:beforeLines="20" w:before="48" w:afterLines="20" w:after="48"/>
              <w:ind w:left="136"/>
              <w:rPr>
                <w:b/>
                <w:noProof/>
                <w:sz w:val="16"/>
                <w:szCs w:val="16"/>
              </w:rPr>
            </w:pP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xml:space="preserve">- σε αντιπροσωπείες </w:t>
            </w: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b/>
                <w:noProof/>
                <w:sz w:val="16"/>
              </w:rPr>
              <w:t>XX</w:t>
            </w:r>
            <w:r>
              <w:rPr>
                <w:noProof/>
                <w:sz w:val="16"/>
              </w:rPr>
              <w:t xml:space="preserve"> 01 05 02 (AC, END, INT — έμμεση έρευνα)</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10 01 05 02 (AC, END, INT — άμεση έρευνα)</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Άλλες γραμμές του προϋπολογισμού (να προσδιοριστούν)</w:t>
            </w:r>
          </w:p>
        </w:tc>
        <w:tc>
          <w:tcPr>
            <w:tcW w:w="53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ΣΥΝΟΛΟ</w:t>
            </w:r>
          </w:p>
        </w:tc>
        <w:tc>
          <w:tcPr>
            <w:tcW w:w="53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5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4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ind w:left="850"/>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Cs w:val="24"/>
        </w:rPr>
      </w:pPr>
      <w:r>
        <w:rPr>
          <w:noProof/>
        </w:rPr>
        <w:br w:type="page"/>
      </w:r>
    </w:p>
    <w:p>
      <w:pPr>
        <w:rPr>
          <w:noProof/>
          <w:szCs w:val="24"/>
        </w:rPr>
      </w:pPr>
      <w:r>
        <w:rPr>
          <w:noProof/>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Διοικητικοί υπάλληλοι:</w:t>
            </w:r>
          </w:p>
          <w:p>
            <w:pPr>
              <w:rPr>
                <w:noProof/>
              </w:rPr>
            </w:pPr>
            <w:r>
              <w:rPr>
                <w:noProof/>
              </w:rPr>
              <w:t>0,03 ΙΠΑ ως συντονιστής</w:t>
            </w:r>
          </w:p>
          <w:p>
            <w:pPr>
              <w:rPr>
                <w:noProof/>
              </w:rPr>
            </w:pPr>
            <w:r>
              <w:rPr>
                <w:noProof/>
              </w:rPr>
              <w:t>0,3 ΙΠΑ ως αρμόδιος υπάλληλος για τον κανονισμό, τις κατ’ εξουσιοδότηση πράξεις και για την υποστήριξη του συντονισμού της επιβολής από αρχές εποπτείας της αγοράς</w:t>
            </w:r>
          </w:p>
          <w:p>
            <w:pPr>
              <w:ind w:left="850" w:hanging="850"/>
              <w:rPr>
                <w:noProof/>
              </w:rPr>
            </w:pPr>
            <w:r>
              <w:rPr>
                <w:noProof/>
              </w:rPr>
              <w:t>Βοηθοί:</w:t>
            </w:r>
          </w:p>
          <w:p>
            <w:pPr>
              <w:ind w:left="850" w:hanging="850"/>
              <w:rPr>
                <w:noProof/>
              </w:rPr>
            </w:pPr>
            <w:r>
              <w:rPr>
                <w:noProof/>
              </w:rPr>
              <w:t>0,03 ΙΠΑ για την υποστήριξη των νομοθετικών διαδικασιών και της επικοινωνίας</w:t>
            </w:r>
          </w:p>
        </w:tc>
      </w:tr>
      <w:tr>
        <w:tc>
          <w:tcPr>
            <w:tcW w:w="3240" w:type="dxa"/>
          </w:tcPr>
          <w:p>
            <w:pPr>
              <w:widowControl w:val="0"/>
              <w:spacing w:before="60" w:after="60"/>
              <w:rPr>
                <w:noProof/>
                <w:sz w:val="20"/>
              </w:rPr>
            </w:pPr>
            <w:r>
              <w:rPr>
                <w:noProof/>
                <w:sz w:val="20"/>
              </w:rPr>
              <w:t>Εξωτερικό προσωπικό</w:t>
            </w:r>
          </w:p>
        </w:tc>
        <w:tc>
          <w:tcPr>
            <w:tcW w:w="7200" w:type="dxa"/>
          </w:tcPr>
          <w:p>
            <w:pPr>
              <w:widowControl w:val="0"/>
              <w:rPr>
                <w:noProof/>
                <w:sz w:val="20"/>
              </w:rPr>
            </w:pPr>
            <w:r>
              <w:rPr>
                <w:noProof/>
              </w:rPr>
              <w:t>0,03 ΙΠΑ (συμβασιούχος υπάλληλος) ως γραμματέας της ομάδας και υπεύθυνος για τη διοικητική μέριμνα</w:t>
            </w:r>
          </w:p>
        </w:tc>
      </w:tr>
    </w:tbl>
    <w:p>
      <w:pPr>
        <w:pStyle w:val="ManualHeading3"/>
        <w:rPr>
          <w:noProof/>
          <w:szCs w:val="24"/>
        </w:rPr>
      </w:pPr>
      <w:r>
        <w:t>3.2.4.</w:t>
      </w:r>
      <w:r>
        <w:tab/>
      </w:r>
      <w:r>
        <w:rPr>
          <w:noProof/>
        </w:rPr>
        <w:t>Συμβατότητα με το ισχύον πολυετές δημοσιονομικό πλαίσιο</w:t>
      </w:r>
    </w:p>
    <w:p>
      <w:pPr>
        <w:ind w:left="850"/>
        <w:rPr>
          <w:noProof/>
        </w:rPr>
      </w:pPr>
      <w:r>
        <w:rPr>
          <w:noProof/>
        </w:rPr>
        <w:t>Η πρόταση/πρωτοβουλία είναι συμβατή με τον ισχύον πολυετές δημοσιονομικό πλαίσιο.</w:t>
      </w:r>
    </w:p>
    <w:p>
      <w:pPr>
        <w:pStyle w:val="ManualHeading3"/>
        <w:rPr>
          <w:noProof/>
          <w:szCs w:val="24"/>
        </w:rPr>
      </w:pPr>
      <w:r>
        <w:t>3.2.5.</w:t>
      </w:r>
      <w:r>
        <w:tab/>
      </w:r>
      <w:r>
        <w:rPr>
          <w:noProof/>
        </w:rPr>
        <w:t>Συμμετοχή τρίτων στη χρηματοδότηση</w:t>
      </w:r>
    </w:p>
    <w:p>
      <w:pPr>
        <w:ind w:left="850"/>
        <w:rPr>
          <w:noProof/>
        </w:rPr>
      </w:pPr>
      <w:r>
        <w:rPr>
          <w:noProof/>
        </w:rPr>
        <w:t>Η πρόταση/πρωτοβουλία δεν προβλέπει συγχρηματοδότηση από τρίτους.</w:t>
      </w:r>
    </w:p>
    <w:p>
      <w:pPr>
        <w:pStyle w:val="ManualHeading2"/>
        <w:rPr>
          <w:noProof/>
          <w:szCs w:val="24"/>
        </w:rPr>
      </w:pPr>
      <w:r>
        <w:t>3.3.</w:t>
      </w:r>
      <w:r>
        <w:tab/>
      </w:r>
      <w:r>
        <w:rPr>
          <w:noProof/>
        </w:rPr>
        <w:t>Εκτιμώμενες επιπτώσεις στα έσοδα</w:t>
      </w:r>
    </w:p>
    <w:p>
      <w:pPr>
        <w:ind w:left="850"/>
        <w:rPr>
          <w:noProof/>
        </w:rPr>
      </w:pPr>
      <w:r>
        <w:rPr>
          <w:noProof/>
        </w:rPr>
        <w:t>Η πρόταση/πρωτοβουλία δεν έχει δημοσιονομικές επιπτώσεις στα έσοδα.</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(ΕΚ) αριθ. 1222/2009 του Ευρωπαϊκού Κοινοβουλίου και του Συμβουλίου, της 25ης Νοεμβρίου 2009, σχετικά με τη σήμανση των ελαστικών επισώτρων αναφορικά με την εξοικονόμηση καυσίμου και άλλες ουσιώδεις παραμέτρους, ΕΕ L 342 της 22.12.2009, σ. 46.</w:t>
      </w:r>
    </w:p>
  </w:footnote>
  <w:footnote w:id="2">
    <w:p>
      <w:pPr>
        <w:pStyle w:val="FootnoteText"/>
      </w:pPr>
      <w:r>
        <w:rPr>
          <w:rStyle w:val="FootnoteReference"/>
        </w:rPr>
        <w:footnoteRef/>
      </w:r>
      <w:r>
        <w:tab/>
        <w:t>Κανονισμός (ΕΕ) αριθ. 228/2011 της Επιτροπής, της 7ης Μαρτίου 2011, για την τροποποίηση του κανονισμού (ΕΚ) αριθ. 1222/2009 του Ευρωπαϊκού Κοινοβουλίου και του Συμβουλίου σχετικά με τη μέθοδο δοκιμής πρόσφυσης σε υγρό οδόστρωμα για ελαστικά κατηγορίας C1 και κανονισμός (ΕΕ) αριθ. 1235/2011, της 29ης Νοεμβρίου 2011, για την τροποποίηση του κανονισμού (ΕΚ) αριθ. 1222/2009 του Ευρωπαϊκού Κοινοβουλίου και του Συμβουλίου όσον αφορά τη διαβάθμιση της πρόσφυσης των ελαστικών επισώτρων σε υγρό οδόστρωμα, τη μέτρηση της αντίστασης κύλισης και τη διαδικασία επαλήθευσης.</w:t>
      </w:r>
    </w:p>
  </w:footnote>
  <w:footnote w:id="3">
    <w:p>
      <w:pPr>
        <w:pStyle w:val="FootnoteText"/>
      </w:pPr>
      <w:r>
        <w:rPr>
          <w:rStyle w:val="FootnoteReference"/>
        </w:rPr>
        <w:footnoteRef/>
      </w:r>
      <w:r>
        <w:tab/>
        <w:t>Κανονισμός (ΕΚ)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ΕΕ L 200 της 31.7.2009, σ. 1.</w:t>
      </w:r>
    </w:p>
  </w:footnote>
  <w:footnote w:id="4">
    <w:p>
      <w:pPr>
        <w:pStyle w:val="FootnoteText"/>
      </w:pPr>
      <w:r>
        <w:rPr>
          <w:rStyle w:val="FootnoteReference"/>
        </w:rPr>
        <w:footnoteRef/>
      </w:r>
      <w:r>
        <w:tab/>
        <w:t>ΕΕ L 218 της 13.8.2008, σ. 30–47. Βλ. την πρόταση κανονισμού της Επιτροπής COM(2017)795 για τη θέσπιση κανόνων και διαδικασιών σχετικά με τη συμμόρφωση με την ενωσιακή νομοθεσία εναρμόνισης για τα προϊόντα και την επιβολή της, η οποία θα αντικαταστήσει τον κανονισμό 765/2008.</w:t>
      </w:r>
    </w:p>
  </w:footnote>
  <w:footnote w:id="5">
    <w:p>
      <w:pPr>
        <w:pStyle w:val="FootnoteText"/>
      </w:pPr>
      <w:r>
        <w:rPr>
          <w:rStyle w:val="FootnoteReference"/>
        </w:rPr>
        <w:footnoteRef/>
      </w:r>
      <w:r>
        <w:tab/>
        <w:t>ΕΕ L 198 της 28.7.2017, σ. 1-23.</w:t>
      </w:r>
    </w:p>
  </w:footnote>
  <w:footnote w:id="6">
    <w:p>
      <w:pPr>
        <w:pStyle w:val="FootnoteText"/>
      </w:pPr>
      <w:r>
        <w:rPr>
          <w:rStyle w:val="FootnoteReference"/>
        </w:rPr>
        <w:footnoteRef/>
      </w:r>
      <w:r>
        <w:tab/>
        <w:t>https://ec.europa.eu/info/consultations/public-consultation-evaluation-and-review-eu-tyres-labelling-scheme_el</w:t>
      </w:r>
    </w:p>
  </w:footnote>
  <w:footnote w:id="7">
    <w:p>
      <w:pPr>
        <w:pStyle w:val="FootnoteText"/>
      </w:pPr>
      <w:r>
        <w:rPr>
          <w:rStyle w:val="FootnoteReference"/>
        </w:rPr>
        <w:footnoteRef/>
      </w:r>
      <w:r>
        <w:tab/>
        <w:t>https://ec.europa.eu/energy/sites/ener/files/documents/Study%20in%20support%20of%20the%20Review%20of%20the%20Tyre%20Labelling%20Regulation_final.pdf</w:t>
      </w:r>
    </w:p>
  </w:footnote>
  <w:footnote w:id="8">
    <w:p>
      <w:pPr>
        <w:pStyle w:val="FootnoteText"/>
      </w:pPr>
      <w:r>
        <w:rPr>
          <w:rStyle w:val="FootnoteReference"/>
        </w:rPr>
        <w:footnoteRef/>
      </w:r>
      <w:r>
        <w:tab/>
        <w:t>Για περισσότερες πληροφορίες βλ. τον ιστότοπο http://www.mstyr15.eu/index.php/en/</w:t>
      </w:r>
    </w:p>
    <w:p>
      <w:pPr>
        <w:pStyle w:val="FootnoteText"/>
      </w:pPr>
    </w:p>
  </w:footnote>
  <w:footnote w:id="9">
    <w:p>
      <w:pPr>
        <w:pStyle w:val="FootnoteText"/>
      </w:pPr>
      <w:r>
        <w:rPr>
          <w:rStyle w:val="FootnoteReference"/>
        </w:rPr>
        <w:footnoteRef/>
      </w:r>
      <w:r>
        <w:tab/>
      </w:r>
      <w:r>
        <w:rPr>
          <w:color w:val="FF0000"/>
        </w:rPr>
        <w:t>ΕΕ C της […], […], σ. […].</w:t>
      </w:r>
    </w:p>
  </w:footnote>
  <w:footnote w:id="10">
    <w:p>
      <w:pPr>
        <w:pStyle w:val="FootnoteText"/>
      </w:pPr>
      <w:r>
        <w:rPr>
          <w:rStyle w:val="FootnoteReference"/>
        </w:rPr>
        <w:footnoteRef/>
      </w:r>
      <w:r>
        <w:tab/>
        <w:t>ΕΕ C της […], […], σ. […].</w:t>
      </w:r>
    </w:p>
  </w:footnote>
  <w:footnote w:id="11">
    <w:p>
      <w:pPr>
        <w:pStyle w:val="FootnoteText"/>
      </w:pPr>
      <w:r>
        <w:rPr>
          <w:rStyle w:val="FootnoteReference"/>
        </w:rPr>
        <w:footnoteRef/>
      </w:r>
      <w:r>
        <w:tab/>
        <w:t>COM(2017) 658 final.</w:t>
      </w:r>
    </w:p>
  </w:footnote>
  <w:footnote w:id="12">
    <w:p>
      <w:pPr>
        <w:pStyle w:val="FootnoteText"/>
      </w:pPr>
      <w:r>
        <w:rPr>
          <w:rStyle w:val="FootnoteReference"/>
        </w:rPr>
        <w:footnoteRef/>
      </w:r>
      <w:r>
        <w:tab/>
        <w:t>Κανονισμός (ΕΚ) αριθ. 1222/2009 του Ευρωπαϊκού Κοινοβουλίου και του Συμβουλίου, της 25ης Νοεμβρίου 2009, σχετικά με τη σήμανση των ελαστικών επισώτρων αναφορικά με την εξοικονόμηση καυσίμου και άλλες ουσιώδεις παραμέτρους (ΕΕ L 342 της 22.12.2009, σ. 46).</w:t>
      </w:r>
    </w:p>
  </w:footnote>
  <w:footnote w:id="13">
    <w:p>
      <w:pPr>
        <w:pStyle w:val="FootnoteText"/>
      </w:pPr>
      <w:r>
        <w:rPr>
          <w:rStyle w:val="FootnoteReference"/>
        </w:rPr>
        <w:footnoteRef/>
      </w:r>
      <w:r>
        <w:tab/>
        <w:t>Κανονισμός (ΕΚ) αριθ. 661/2009 του Ευρωπαϊκού Κοινοβουλίου και του Συμβουλίου, της 13ης Ιουλίου 2009, για τις απαιτήσεις έγκρισης τύπου και γενικής ασφαλείας των μηχανοκίνητων οχημάτων και των ρυμουλκουμένων τους, και των συστημάτων, κατασκευαστικών στοιχείων και χωριστών τεχνικών μονάδων που προορίζονται για τα οχήματα αυτά (ΕΕ L 200 της 31.7.2009, σ. 1).</w:t>
      </w:r>
    </w:p>
  </w:footnote>
  <w:footnote w:id="14">
    <w:p>
      <w:pPr>
        <w:pStyle w:val="FootnoteText"/>
      </w:pPr>
      <w:r>
        <w:rPr>
          <w:rStyle w:val="FootnoteReference"/>
        </w:rPr>
        <w:footnoteRef/>
      </w:r>
      <w:r>
        <w:tab/>
        <w:t>Οδηγία 2002/49/ΕΚ του Ευρωπαϊκού Κοινοβουλίου και του Συμβουλίου, της 25ης Ιουνίου 2002, σχετικά με την αξιολόγηση και τη διαχείριση του περιβαλλοντικού θορύβου (ΕΕ L 189 της 18.7.2002, σ. 12).</w:t>
      </w:r>
    </w:p>
  </w:footnote>
  <w:footnote w:id="15">
    <w:p>
      <w:pPr>
        <w:pStyle w:val="FootnoteText"/>
        <w:rPr>
          <w:lang w:val="pt-PT"/>
        </w:rPr>
      </w:pPr>
      <w:r>
        <w:rPr>
          <w:rStyle w:val="FootnoteReference"/>
        </w:rPr>
        <w:footnoteRef/>
      </w:r>
      <w:r>
        <w:rPr>
          <w:lang w:val="pt-PT"/>
        </w:rPr>
        <w:tab/>
      </w:r>
      <w:r>
        <w:t>ΕΕ</w:t>
      </w:r>
      <w:r>
        <w:rPr>
          <w:lang w:val="pt-PT"/>
        </w:rPr>
        <w:t xml:space="preserve"> L 307 </w:t>
      </w:r>
      <w:r>
        <w:t>της</w:t>
      </w:r>
      <w:r>
        <w:rPr>
          <w:lang w:val="pt-PT"/>
        </w:rPr>
        <w:t xml:space="preserve"> 23.11.2011, </w:t>
      </w:r>
      <w:r>
        <w:t>σ</w:t>
      </w:r>
      <w:r>
        <w:rPr>
          <w:lang w:val="pt-PT"/>
        </w:rPr>
        <w:t>. 3.</w:t>
      </w:r>
    </w:p>
  </w:footnote>
  <w:footnote w:id="16">
    <w:p>
      <w:pPr>
        <w:pStyle w:val="FootnoteText"/>
        <w:rPr>
          <w:lang w:val="pt-PT"/>
        </w:rPr>
      </w:pPr>
      <w:r>
        <w:rPr>
          <w:rStyle w:val="FootnoteReference"/>
        </w:rPr>
        <w:footnoteRef/>
      </w:r>
      <w:r>
        <w:rPr>
          <w:lang w:val="pt-PT"/>
        </w:rPr>
        <w:tab/>
        <w:t>COM(2018) 28 final.</w:t>
      </w:r>
    </w:p>
  </w:footnote>
  <w:footnote w:id="17">
    <w:p>
      <w:pPr>
        <w:pStyle w:val="FootnoteText"/>
      </w:pPr>
      <w:r>
        <w:rPr>
          <w:rStyle w:val="FootnoteReference"/>
        </w:rPr>
        <w:footnoteRef/>
      </w:r>
      <w:r>
        <w:tab/>
        <w:t>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(ΕΕ L 198 της 28.7.2017, σ. 1).</w:t>
      </w:r>
    </w:p>
  </w:footnote>
  <w:footnote w:id="18">
    <w:p>
      <w:pPr>
        <w:pStyle w:val="FootnoteText"/>
      </w:pPr>
      <w:r>
        <w:rPr>
          <w:rStyle w:val="FootnoteReference"/>
        </w:rPr>
        <w:footnoteRef/>
      </w:r>
      <w:r>
        <w:tab/>
        <w:t>COM(2017)279.</w:t>
      </w:r>
    </w:p>
  </w:footnote>
  <w:footnote w:id="19">
    <w:p>
      <w:pPr>
        <w:pStyle w:val="FootnoteText"/>
      </w:pPr>
      <w:r>
        <w:rPr>
          <w:rStyle w:val="FootnoteReference"/>
        </w:rPr>
        <w:footnoteRef/>
      </w:r>
      <w:r>
        <w:tab/>
        <w:t>Θα προστεθεί παραπομπή μετά την έγκριση της πρότασης.</w:t>
      </w:r>
    </w:p>
  </w:footnote>
  <w:footnote w:id="20">
    <w:p>
      <w:pPr>
        <w:pStyle w:val="FootnoteText"/>
      </w:pPr>
      <w:r>
        <w:rPr>
          <w:rStyle w:val="FootnoteReference"/>
        </w:rPr>
        <w:footnoteRef/>
      </w:r>
      <w:r>
        <w:tab/>
        <w:t>Κανονισμός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(ΕΕ L 218 της 13.8.2008, σ. 30).</w:t>
      </w:r>
    </w:p>
  </w:footnote>
  <w:footnote w:id="21">
    <w:p>
      <w:pPr>
        <w:pStyle w:val="FootnoteText"/>
      </w:pPr>
      <w:r>
        <w:rPr>
          <w:rStyle w:val="FootnoteReference"/>
        </w:rPr>
        <w:footnoteRef/>
      </w:r>
      <w:r>
        <w:tab/>
        <w:t>ΕΕ L 123 της 12.5.2016, σ. 1.</w:t>
      </w:r>
    </w:p>
  </w:footnote>
  <w:footnote w:id="22">
    <w:p>
      <w:pPr>
        <w:pStyle w:val="FootnoteText"/>
        <w:ind w:left="284" w:hanging="284"/>
      </w:pPr>
      <w:r>
        <w:rPr>
          <w:rStyle w:val="FootnoteReference"/>
        </w:rPr>
        <w:footnoteRef/>
      </w:r>
      <w:r>
        <w:tab/>
        <w:t>ΔΒΔ: διαχείριση βάσει δραστηριοτήτων· ΠΒΔ: προϋπολογισμός βάσει δραστηριοτήτων.</w:t>
      </w:r>
    </w:p>
  </w:footnote>
  <w:footnote w:id="23">
    <w:p>
      <w:pPr>
        <w:pStyle w:val="FootnoteText"/>
        <w:ind w:left="284" w:hanging="284"/>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ιστότοπο BudgWeb: </w:t>
      </w:r>
      <w:hyperlink r:id="rId1">
        <w:r>
          <w:rPr>
            <w:rStyle w:val="Hyperlink"/>
          </w:rPr>
          <w:t>http://www.cc.cec/budg/man/budgmanag/budgmanag_en.html</w:t>
        </w:r>
      </w:hyperlink>
    </w:p>
  </w:footnote>
  <w:footnote w:id="24">
    <w:p>
      <w:pPr>
        <w:pStyle w:val="FootnoteText"/>
        <w:ind w:left="284" w:hanging="284"/>
      </w:pPr>
      <w:r>
        <w:rPr>
          <w:rStyle w:val="FootnoteReference"/>
        </w:rPr>
        <w:footnoteRef/>
      </w:r>
      <w:r>
        <w:tab/>
        <w:t>ΔΠ = Διαχωριζόμενες πιστώσεις / ΜΔΠ = Μη διαχωριζόμενες πιστώσεις.</w:t>
      </w:r>
    </w:p>
  </w:footnote>
  <w:footnote w:id="25">
    <w:p>
      <w:pPr>
        <w:pStyle w:val="FootnoteText"/>
        <w:ind w:left="284" w:hanging="284"/>
      </w:pPr>
      <w:r>
        <w:rPr>
          <w:rStyle w:val="FootnoteReference"/>
        </w:rPr>
        <w:footnoteRef/>
      </w:r>
      <w:r>
        <w:tab/>
        <w:t>ΕΖΕΣ: Ευρωπαϊκή Ζώνη Ελεύθερων Συναλλαγών.</w:t>
      </w:r>
    </w:p>
  </w:footnote>
  <w:footnote w:id="26">
    <w:p>
      <w:pPr>
        <w:pStyle w:val="FootnoteText"/>
        <w:ind w:left="284" w:hanging="284"/>
      </w:pPr>
      <w:r>
        <w:rPr>
          <w:rStyle w:val="FootnoteReference"/>
        </w:rPr>
        <w:footnoteRef/>
      </w:r>
      <w:r>
        <w:tab/>
        <w:t>Υποψήφιες χώρες και, κατά περίπτωση, δυνάμει υποψήφιες για ένταξη χώρες των Δυτικών Βαλκανίων.</w:t>
      </w:r>
    </w:p>
  </w:footnote>
  <w:footnote w:id="27">
    <w:p>
      <w:pPr>
        <w:pStyle w:val="FootnoteText"/>
        <w:ind w:left="284" w:hanging="284"/>
      </w:pPr>
      <w:r>
        <w:rPr>
          <w:rStyle w:val="FootnoteReference"/>
        </w:rPr>
        <w:footnoteRef/>
      </w:r>
      <w:r>
        <w:tab/>
        <w:t>Το έτος N είναι το έτος έναρξης εφαρμογής της πρότασης/πρωτοβουλίας.</w:t>
      </w:r>
    </w:p>
  </w:footnote>
  <w:footnote w:id="28">
    <w:p>
      <w:pPr>
        <w:pStyle w:val="FootnoteText"/>
        <w:ind w:left="284" w:hanging="284"/>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9">
    <w:p>
      <w:pPr>
        <w:pStyle w:val="FootnoteText"/>
        <w:ind w:left="284" w:hanging="284"/>
      </w:pPr>
      <w:r>
        <w:rPr>
          <w:rStyle w:val="FootnoteReference"/>
        </w:rPr>
        <w:footnoteRef/>
      </w:r>
      <w:r>
        <w:tab/>
        <w:t>Το έτος N είναι το έτος έναρξης εφαρμογής της πρότασης/πρωτοβουλίας.</w:t>
      </w:r>
    </w:p>
  </w:footnote>
  <w:footnote w:id="30">
    <w:p>
      <w:pPr>
        <w:pStyle w:val="FootnoteText"/>
        <w:ind w:left="284" w:hanging="284"/>
      </w:pPr>
      <w:r>
        <w:rPr>
          <w:rStyle w:val="FootnoteReference"/>
        </w:rPr>
        <w:footnoteRef/>
      </w:r>
      <w:r>
        <w:tab/>
        <w:t>Τα αποτελέσματα είναι τα προϊόντα και οι υπηρεσίες που θα παρασχεθούν (παράδειγμα: αριθμός ανταλλαγών φοιτητών που θα χρηματοδοτηθούν, αριθμός χλμ. οδών που θα κατασκευαστούν κ.λπ.).</w:t>
      </w:r>
    </w:p>
  </w:footnote>
  <w:footnote w:id="31">
    <w:p>
      <w:pPr>
        <w:pStyle w:val="FootnoteText"/>
        <w:ind w:left="284" w:hanging="284"/>
      </w:pPr>
      <w:r>
        <w:rPr>
          <w:rStyle w:val="FootnoteReference"/>
        </w:rPr>
        <w:footnoteRef/>
      </w:r>
      <w:r>
        <w:tab/>
        <w:t>Το έτος N είναι το έτος έναρξης εφαρμογής της πρότασης/πρωτοβουλίας.</w:t>
      </w:r>
    </w:p>
  </w:footnote>
  <w:footnote w:id="32">
    <w:p>
      <w:pPr>
        <w:pStyle w:val="FootnoteText"/>
        <w:ind w:left="284" w:hanging="284"/>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3">
    <w:p>
      <w:pPr>
        <w:pStyle w:val="FootnoteText"/>
        <w:ind w:left="284" w:hanging="284"/>
      </w:pPr>
      <w:r>
        <w:rPr>
          <w:rStyle w:val="FootnoteReference"/>
        </w:rPr>
        <w:footnoteRef/>
      </w:r>
      <w:r>
        <w:tab/>
        <w:t>AC = Συμβασιούχος υπάλληλος· AL = Τοπικός υπάλληλος· END = Αποσπασμένος εθνικός εμπειρογνώμονας· INT = Προσωρινό προσωπικό οργανισμού· JED = Νεαρός εμπειρογνώμονας σε αντιπροσωπεία.</w:t>
      </w:r>
    </w:p>
  </w:footnote>
  <w:footnote w:id="34">
    <w:p>
      <w:pPr>
        <w:pStyle w:val="FootnoteText"/>
        <w:ind w:left="284" w:hanging="284"/>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28A7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A081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EEB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D2B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FEC4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F20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260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B8BEF6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6"/>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 w:numId="26">
    <w:abstractNumId w:val="21"/>
  </w:num>
  <w:num w:numId="27">
    <w:abstractNumId w:val="13"/>
  </w:num>
  <w:num w:numId="28">
    <w:abstractNumId w:val="23"/>
  </w:num>
  <w:num w:numId="29">
    <w:abstractNumId w:val="12"/>
  </w:num>
  <w:num w:numId="30">
    <w:abstractNumId w:val="14"/>
  </w:num>
  <w:num w:numId="31">
    <w:abstractNumId w:val="10"/>
  </w:num>
  <w:num w:numId="32">
    <w:abstractNumId w:val="22"/>
  </w:num>
  <w:num w:numId="33">
    <w:abstractNumId w:val="9"/>
  </w:num>
  <w:num w:numId="34">
    <w:abstractNumId w:val="15"/>
  </w:num>
  <w:num w:numId="35">
    <w:abstractNumId w:val="19"/>
  </w:num>
  <w:num w:numId="36">
    <w:abstractNumId w:val="20"/>
  </w:num>
  <w:num w:numId="37">
    <w:abstractNumId w:val="11"/>
  </w:num>
  <w:num w:numId="38">
    <w:abstractNumId w:val="18"/>
  </w:num>
  <w:num w:numId="39">
    <w:abstractNumId w:val="2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MAN Fiona (ENER)">
    <w15:presenceInfo w15:providerId="None" w15:userId="KINSMAN Fiona (ENER)"/>
  </w15:person>
  <w15:person w15:author="NUIJ Robert (ENER)">
    <w15:presenceInfo w15:providerId="None" w15:userId="NUIJ Robert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3"/>
  <w:hideSpellingErrors/>
  <w:hideGrammaticalErrors/>
  <w:attachedTemplate r:id="rId1"/>
  <w:revisionView w:markup="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51: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450C5B-5EA1-457D-82A2-4C0F11A79543"/>
    <w:docVar w:name="LW_COVERPAGE_TYPE" w:val="1"/>
    <w:docVar w:name="LW_CROSSREFERENCE" w:val="{SEC(2018) 234 final}_x000b_{SWD(2018) 188 final}_x000b_{SWD(2018) 189 final}"/>
    <w:docVar w:name="LW_DocType" w:val="COM"/>
    <w:docVar w:name="LW_EMISSION" w:val="17.5.2018"/>
    <w:docVar w:name="LW_EMISSION_ISODATE" w:val="2018-05-17"/>
    <w:docVar w:name="LW_EMISSION_LOCATION" w:val="BRX"/>
    <w:docVar w:name="LW_EMISSION_PREFIX" w:val="Βρυξέλλες,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63?\u942?\u956?\u945?\u957?\u963?\u951? \u964?\u969?\u957? \u949?\u955?\u945?\u963?\u964?\u953?\u954?\u974?\u957? \u949?\u960?\u953?\u963?\u974?\u964?\u961?\u969?\u957? \u972?\u963?\u959?\u957? \u945?\u966?\u959?\u961?\u940? \u964?\u951?\u957? \u949?\u958?\u959?\u953?\u954?\u959?\u957?\u972?\u956?\u951?\u963?\u951? \u954?\u945?\u965?\u963?\u943?\u956?\u959?\u965? \u954?\u945?\u953? \u940?\u955?\u955?\u949?\u962? \u959?\u965?\u963?\u953?\u974?\u948?\u949?\u953?\u962? \u960?\u945?\u961?\u945?\u956?\u941?\u964?\u961?\u959?\u965?\u962? \u954?\u945?\u953? \u964?\u951?\u957? \u954?\u945?\u964?\u940?\u961?\u947?\u951?\u963?\u951? \u964?\u959?\u965? \u954?\u945?\u957?\u959?\u957?\u953?\u963?\u956?\u959?\u973? (\u917?\u922?) \u945?\u961?\u953?\u952?. 1222/2009"/>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el-GR" w:eastAsia="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el-GR" w:eastAsia="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1338F7-2EA9-4B7D-8AFD-AB31A3EA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43</Pages>
  <Words>11897</Words>
  <Characters>71740</Characters>
  <Application>Microsoft Office Word</Application>
  <DocSecurity>0</DocSecurity>
  <Lines>2110</Lines>
  <Paragraphs>812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2018-05-04T08:09:00Z</cp:lastPrinted>
  <dcterms:created xsi:type="dcterms:W3CDTF">2018-05-31T09:11:00Z</dcterms:created>
  <dcterms:modified xsi:type="dcterms:W3CDTF">2018-06-04T08:51:00Z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