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AF40EA0-CEBD-466C-9612-2B848A0D9CCC"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PRIEDAS</w:t>
      </w:r>
      <w:r>
        <w:rPr>
          <w:noProof/>
        </w:rPr>
        <w:br/>
      </w:r>
      <w:r>
        <w:rPr>
          <w:noProof/>
        </w:rPr>
        <w:br/>
        <w:t>REGLAMENTAVIMO INFORMACIJA, ĮEINANTI Į ŠIO REGLAMENTO TAIKYMO SRITĮ</w:t>
      </w:r>
    </w:p>
    <w:p>
      <w:pPr>
        <w:pStyle w:val="NormalLeft"/>
        <w:rPr>
          <w:b/>
          <w:noProof/>
        </w:rPr>
      </w:pPr>
      <w:r>
        <w:rPr>
          <w:b/>
          <w:noProof/>
        </w:rPr>
        <w:t xml:space="preserve">Reikalavimai pateikti reglamentavimo informaciją, nustatyti Sąjungos teisės aktuose </w:t>
      </w:r>
    </w:p>
    <w:p>
      <w:pPr>
        <w:pStyle w:val="Text1"/>
        <w:rPr>
          <w:noProof/>
        </w:rPr>
      </w:pPr>
      <w:r>
        <w:rPr>
          <w:noProof/>
        </w:rPr>
        <w:t>Toliau esančioje lentelėje pateikiami reikalavimai pateikti reglamentavimo informaciją, pagal Sutarties trečiosios dalies VI antraštinę dalį nustatyti Sąjungos teisės aktuose, kuriais nustatomos prekių vežimo Sąjungos teritorijoje sąlygos arba atliekų vežimo sąlygos:</w:t>
      </w:r>
    </w:p>
    <w:tbl>
      <w:tblPr>
        <w:tblStyle w:val="TableGrid"/>
        <w:tblW w:w="14989" w:type="dxa"/>
        <w:tblLook w:val="04A0" w:firstRow="1" w:lastRow="0" w:firstColumn="1" w:lastColumn="0" w:noHBand="0" w:noVBand="1"/>
      </w:tblPr>
      <w:tblGrid>
        <w:gridCol w:w="5070"/>
        <w:gridCol w:w="1221"/>
        <w:gridCol w:w="1149"/>
        <w:gridCol w:w="1227"/>
        <w:gridCol w:w="1175"/>
        <w:gridCol w:w="1227"/>
        <w:gridCol w:w="1352"/>
        <w:gridCol w:w="1289"/>
        <w:gridCol w:w="1279"/>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ES teisės aktai</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Informacijos elementas</w:t>
            </w:r>
          </w:p>
        </w:tc>
        <w:tc>
          <w:tcPr>
            <w:tcW w:w="1223" w:type="dxa"/>
            <w:hideMark/>
          </w:tcPr>
          <w:p>
            <w:pPr>
              <w:jc w:val="left"/>
              <w:rPr>
                <w:rFonts w:ascii="Calibri" w:eastAsia="Times New Roman" w:hAnsi="Calibri"/>
                <w:b/>
                <w:bCs/>
                <w:noProof/>
                <w:color w:val="000000"/>
                <w:sz w:val="16"/>
                <w:szCs w:val="16"/>
              </w:rPr>
            </w:pPr>
            <w:r>
              <w:rPr>
                <w:rFonts w:ascii="Calibri" w:hAnsi="Calibri"/>
                <w:b/>
                <w:noProof/>
                <w:color w:val="000000"/>
                <w:sz w:val="16"/>
              </w:rPr>
              <w:t>Tarybos reglamentas Nr. 11 dėl diskriminacijos panaikinimo transporto įkainių ir sąlygų atžvilgiu</w:t>
            </w:r>
          </w:p>
          <w:p>
            <w:pPr>
              <w:jc w:val="left"/>
              <w:rPr>
                <w:rFonts w:ascii="Calibri" w:eastAsia="Times New Roman" w:hAnsi="Calibri"/>
                <w:b/>
                <w:bCs/>
                <w:noProof/>
                <w:color w:val="000000"/>
                <w:sz w:val="16"/>
                <w:szCs w:val="16"/>
              </w:rPr>
            </w:pPr>
            <w:r>
              <w:rPr>
                <w:rFonts w:ascii="Calibri" w:hAnsi="Calibri"/>
                <w:b/>
                <w:noProof/>
                <w:color w:val="000000"/>
                <w:sz w:val="16"/>
              </w:rPr>
              <w:t>OL 052 (1960 8 16,</w:t>
            </w:r>
            <w:r>
              <w:rPr>
                <w:noProof/>
              </w:rPr>
              <w:t xml:space="preserve"> </w:t>
            </w:r>
            <w:r>
              <w:rPr>
                <w:rFonts w:ascii="Calibri" w:hAnsi="Calibri"/>
                <w:b/>
                <w:noProof/>
                <w:color w:val="000000"/>
                <w:sz w:val="16"/>
              </w:rPr>
              <w:t>p. 1121–1126)</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Direktyva 92/106/EEB dėl tam tikrų kombinuoto krovinių vežimo tarp valstybių narių tipų bendrųjų taisyklių nustatymo</w:t>
            </w:r>
          </w:p>
          <w:p>
            <w:pPr>
              <w:jc w:val="left"/>
              <w:rPr>
                <w:rFonts w:ascii="Calibri" w:eastAsia="Times New Roman" w:hAnsi="Calibri"/>
                <w:b/>
                <w:bCs/>
                <w:noProof/>
                <w:color w:val="000000"/>
                <w:sz w:val="16"/>
                <w:szCs w:val="16"/>
              </w:rPr>
            </w:pPr>
            <w:r>
              <w:rPr>
                <w:rFonts w:ascii="Calibri" w:hAnsi="Calibri"/>
                <w:b/>
                <w:noProof/>
                <w:color w:val="000000"/>
                <w:sz w:val="16"/>
              </w:rPr>
              <w:t>OL L 368 (1992 12 17, p. 38–42)</w:t>
            </w:r>
          </w:p>
        </w:tc>
        <w:tc>
          <w:tcPr>
            <w:tcW w:w="1244" w:type="dxa"/>
            <w:hideMark/>
          </w:tcPr>
          <w:p>
            <w:pPr>
              <w:jc w:val="left"/>
              <w:rPr>
                <w:rFonts w:asciiTheme="minorHAnsi" w:eastAsia="Times New Roman" w:hAnsiTheme="minorHAnsi"/>
                <w:b/>
                <w:bCs/>
                <w:noProof/>
                <w:color w:val="000000"/>
                <w:sz w:val="16"/>
                <w:szCs w:val="16"/>
              </w:rPr>
            </w:pPr>
            <w:r>
              <w:rPr>
                <w:rFonts w:asciiTheme="minorHAnsi" w:hAnsiTheme="minorHAnsi"/>
                <w:b/>
                <w:noProof/>
                <w:color w:val="000000"/>
                <w:sz w:val="16"/>
              </w:rPr>
              <w:t xml:space="preserve">[Pasiūlymas COM(2017) 648 </w:t>
            </w:r>
            <w:r>
              <w:rPr>
                <w:rFonts w:asciiTheme="minorHAnsi" w:hAnsiTheme="minorHAnsi"/>
                <w:b/>
                <w:i/>
                <w:noProof/>
                <w:color w:val="000000"/>
                <w:sz w:val="16"/>
              </w:rPr>
              <w:t>final</w:t>
            </w:r>
            <w:r>
              <w:rPr>
                <w:rFonts w:asciiTheme="minorHAnsi" w:hAnsiTheme="minorHAnsi"/>
                <w:b/>
                <w:noProof/>
                <w:color w:val="000000"/>
                <w:sz w:val="16"/>
              </w:rPr>
              <w:t xml:space="preserve"> – 2017/0290 (COD), kuriuo iš dalies keičiama</w:t>
            </w:r>
            <w:r>
              <w:rPr>
                <w:rStyle w:val="st"/>
                <w:rFonts w:asciiTheme="minorHAnsi" w:hAnsiTheme="minorHAnsi"/>
                <w:noProof/>
                <w:sz w:val="16"/>
              </w:rPr>
              <w:t xml:space="preserve"> </w:t>
            </w:r>
            <w:r>
              <w:rPr>
                <w:rStyle w:val="st"/>
                <w:rFonts w:asciiTheme="minorHAnsi" w:hAnsiTheme="minorHAnsi"/>
                <w:b/>
                <w:noProof/>
                <w:sz w:val="16"/>
              </w:rPr>
              <w:t>Direktyva 92/106/EEB]</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Reglamentas (EB) Nr. 1072/2009 dėl bendrųjų patekimo į tarptautinio krovinių vežimo kelių transportu rinką taisyklių</w:t>
            </w:r>
          </w:p>
          <w:p>
            <w:pPr>
              <w:jc w:val="left"/>
              <w:rPr>
                <w:rFonts w:ascii="Calibri" w:eastAsia="Times New Roman" w:hAnsi="Calibri"/>
                <w:b/>
                <w:bCs/>
                <w:noProof/>
                <w:color w:val="000000"/>
                <w:sz w:val="16"/>
                <w:szCs w:val="16"/>
              </w:rPr>
            </w:pPr>
            <w:r>
              <w:rPr>
                <w:rFonts w:ascii="Calibri" w:hAnsi="Calibri"/>
                <w:b/>
                <w:noProof/>
                <w:color w:val="000000"/>
                <w:sz w:val="16"/>
              </w:rPr>
              <w:t>OL L 300/72 (2009 11 14, p. 72–87)</w:t>
            </w:r>
          </w:p>
        </w:tc>
        <w:tc>
          <w:tcPr>
            <w:tcW w:w="1225" w:type="dxa"/>
            <w:hideMark/>
          </w:tcPr>
          <w:p>
            <w:pPr>
              <w:jc w:val="left"/>
              <w:rPr>
                <w:rFonts w:ascii="Calibri" w:eastAsia="Times New Roman" w:hAnsi="Calibri"/>
                <w:b/>
                <w:bCs/>
                <w:noProof/>
                <w:color w:val="000000"/>
                <w:sz w:val="16"/>
                <w:szCs w:val="16"/>
              </w:rPr>
            </w:pPr>
            <w:r>
              <w:rPr>
                <w:rFonts w:ascii="Calibri" w:hAnsi="Calibri"/>
                <w:b/>
                <w:noProof/>
                <w:color w:val="000000"/>
                <w:sz w:val="16"/>
              </w:rPr>
              <w:t xml:space="preserve">[Pasiūlymas COM(2017) 0281 </w:t>
            </w:r>
            <w:r>
              <w:rPr>
                <w:rFonts w:ascii="Calibri" w:hAnsi="Calibri"/>
                <w:b/>
                <w:i/>
                <w:noProof/>
                <w:color w:val="000000"/>
                <w:sz w:val="16"/>
              </w:rPr>
              <w:t>final</w:t>
            </w:r>
            <w:r>
              <w:rPr>
                <w:rFonts w:ascii="Calibri" w:hAnsi="Calibri"/>
                <w:b/>
                <w:noProof/>
                <w:color w:val="000000"/>
                <w:sz w:val="16"/>
              </w:rPr>
              <w:t xml:space="preserve"> – 2017/0123 (COD)</w:t>
            </w:r>
            <w:r>
              <w:rPr>
                <w:noProof/>
              </w:rPr>
              <w:t xml:space="preserve">, </w:t>
            </w:r>
            <w:r>
              <w:rPr>
                <w:rFonts w:ascii="Calibri" w:hAnsi="Calibri"/>
                <w:b/>
                <w:noProof/>
                <w:color w:val="000000"/>
                <w:sz w:val="16"/>
              </w:rPr>
              <w:t>kuriuo iš dalies keičiamas Reglamentas (EB) Nr. 1071/2009 ir Reglamentas (EB) Nr. 1072/2009]</w:t>
            </w:r>
          </w:p>
        </w:tc>
        <w:tc>
          <w:tcPr>
            <w:tcW w:w="1376" w:type="dxa"/>
            <w:hideMark/>
          </w:tcPr>
          <w:p>
            <w:pPr>
              <w:jc w:val="left"/>
              <w:rPr>
                <w:rFonts w:ascii="Calibri" w:eastAsia="Times New Roman" w:hAnsi="Calibri"/>
                <w:b/>
                <w:bCs/>
                <w:noProof/>
                <w:color w:val="000000"/>
                <w:sz w:val="16"/>
                <w:szCs w:val="16"/>
              </w:rPr>
            </w:pPr>
            <w:r>
              <w:rPr>
                <w:rFonts w:ascii="Calibri" w:hAnsi="Calibri"/>
                <w:b/>
                <w:noProof/>
                <w:color w:val="000000"/>
                <w:sz w:val="16"/>
              </w:rPr>
              <w:t>Komisijos įgyvendinimo reglamentas (ES) 2015/1998, kuriuo nustatomos išsamios bendrųjų pagrindinių aviacijos saugumo standartų įgyvendinimo priemonės</w:t>
            </w:r>
          </w:p>
          <w:p>
            <w:pPr>
              <w:jc w:val="left"/>
              <w:rPr>
                <w:rFonts w:ascii="Calibri" w:eastAsia="Times New Roman" w:hAnsi="Calibri"/>
                <w:b/>
                <w:bCs/>
                <w:noProof/>
                <w:color w:val="000000"/>
                <w:sz w:val="16"/>
                <w:szCs w:val="16"/>
              </w:rPr>
            </w:pPr>
            <w:r>
              <w:rPr>
                <w:rFonts w:ascii="Calibri" w:hAnsi="Calibri"/>
                <w:b/>
                <w:noProof/>
                <w:color w:val="000000"/>
                <w:sz w:val="16"/>
              </w:rPr>
              <w:t>OL L 299/1 (2015 11 14, p. 1-142)</w:t>
            </w:r>
          </w:p>
        </w:tc>
        <w:tc>
          <w:tcPr>
            <w:tcW w:w="1317" w:type="dxa"/>
            <w:hideMark/>
          </w:tcPr>
          <w:p>
            <w:pPr>
              <w:jc w:val="left"/>
              <w:rPr>
                <w:rFonts w:ascii="Calibri" w:eastAsia="Times New Roman" w:hAnsi="Calibri"/>
                <w:b/>
                <w:bCs/>
                <w:noProof/>
                <w:color w:val="000000"/>
                <w:sz w:val="16"/>
                <w:szCs w:val="16"/>
              </w:rPr>
            </w:pPr>
            <w:r>
              <w:rPr>
                <w:rFonts w:ascii="Calibri" w:hAnsi="Calibri"/>
                <w:b/>
                <w:noProof/>
                <w:color w:val="000000"/>
                <w:sz w:val="16"/>
              </w:rPr>
              <w:t>Direktyva 2008/68/EB dėl pavojingų krovinių vežimo vidaus keliais</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OL L 260 (2008 9 30, p. 13–59)</w:t>
            </w:r>
          </w:p>
          <w:p>
            <w:pPr>
              <w:jc w:val="left"/>
              <w:rPr>
                <w:rFonts w:ascii="Calibri" w:eastAsia="Times New Roman" w:hAnsi="Calibri"/>
                <w:b/>
                <w:bCs/>
                <w:noProof/>
                <w:color w:val="000000"/>
                <w:sz w:val="16"/>
                <w:szCs w:val="16"/>
              </w:rPr>
            </w:pPr>
          </w:p>
          <w:p>
            <w:pPr>
              <w:jc w:val="left"/>
              <w:rPr>
                <w:rFonts w:ascii="Calibri" w:eastAsia="Times New Roman" w:hAnsi="Calibri"/>
                <w:b/>
                <w:bCs/>
                <w:noProof/>
                <w:color w:val="000000"/>
                <w:sz w:val="16"/>
                <w:szCs w:val="16"/>
              </w:rPr>
            </w:pPr>
            <w:r>
              <w:rPr>
                <w:rFonts w:ascii="Calibri" w:hAnsi="Calibri"/>
                <w:b/>
                <w:noProof/>
                <w:color w:val="000000"/>
                <w:sz w:val="16"/>
              </w:rPr>
              <w:t>Nuoroda į ADR, RID, ADN</w:t>
            </w:r>
            <w:r>
              <w:rPr>
                <w:rStyle w:val="FootnoteReference"/>
                <w:rFonts w:ascii="Calibri" w:hAnsi="Calibri"/>
                <w:b/>
                <w:noProof/>
                <w:color w:val="000000"/>
                <w:sz w:val="16"/>
              </w:rPr>
              <w:footnoteReference w:id="1"/>
            </w:r>
          </w:p>
        </w:tc>
        <w:tc>
          <w:tcPr>
            <w:tcW w:w="1289" w:type="dxa"/>
          </w:tcPr>
          <w:p>
            <w:pPr>
              <w:jc w:val="left"/>
              <w:rPr>
                <w:rFonts w:ascii="Calibri" w:eastAsia="Times New Roman" w:hAnsi="Calibri"/>
                <w:b/>
                <w:bCs/>
                <w:noProof/>
                <w:color w:val="000000"/>
                <w:sz w:val="16"/>
                <w:szCs w:val="16"/>
              </w:rPr>
            </w:pPr>
            <w:r>
              <w:rPr>
                <w:rFonts w:ascii="Calibri" w:hAnsi="Calibri"/>
                <w:b/>
                <w:noProof/>
                <w:color w:val="000000"/>
                <w:sz w:val="16"/>
              </w:rPr>
              <w:t>Reglamentas (EB) Nr. 1013/2006 dėl atliekų vežimo</w:t>
            </w:r>
          </w:p>
          <w:p>
            <w:pPr>
              <w:jc w:val="left"/>
              <w:rPr>
                <w:rFonts w:ascii="Calibri" w:eastAsia="Times New Roman" w:hAnsi="Calibri"/>
                <w:b/>
                <w:bCs/>
                <w:noProof/>
                <w:color w:val="000000"/>
                <w:sz w:val="16"/>
                <w:szCs w:val="16"/>
              </w:rPr>
            </w:pPr>
            <w:r>
              <w:rPr>
                <w:rFonts w:ascii="Calibri" w:hAnsi="Calibri"/>
                <w:b/>
                <w:noProof/>
                <w:color w:val="000000"/>
                <w:sz w:val="16"/>
              </w:rPr>
              <w:t>(OL L 190, 2006 7 12, p. 1–98)</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Siuntėjo pavadinimas (vardas ir pavardė) ir adresas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6 straipsnio 1 dalis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 (nuoroda į Tarybos reglamento Nr. 11 6 straipsnį)</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7"/>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Prekių pobūdis ir svoris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6 straipsnio 1 dalis</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3 straipsnis (nuoroda į Tarybos reglamento </w:t>
            </w:r>
            <w:r>
              <w:rPr>
                <w:rFonts w:ascii="Calibri" w:hAnsi="Calibri"/>
                <w:noProof/>
                <w:color w:val="000000"/>
                <w:sz w:val="16"/>
              </w:rPr>
              <w:lastRenderedPageBreak/>
              <w:t>Nr. 11 6 straipsnį)</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lastRenderedPageBreak/>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lastRenderedPageBreak/>
              <w:t>Vežti skirtų prekių priėmimo vieta ir data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6 straipsnio 1 dalis</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 (nuoroda į Tarybos reglamento Nr. 11 6 straipsnį)</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Vieta, į kurią turi būti pristatytos prekės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6 straipsnio 1 dalis</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 (nuoroda į Tarybos reglamento Nr. 11 6 straipsnį)</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Maršrutas, kuriuo turi būti vežama, arba atstumas, kurį turi būti vežama, jei šiais veiksniais gali būti grindžiamas tarifo skirtumas, palyginti su įprastai taikomu tarifu</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6 straipsnio 1 dalis</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xml:space="preserve">3 straipsnis (nuoroda į Tarybos reglamento Nr. 11 6 straipsnį) </w:t>
            </w:r>
          </w:p>
        </w:tc>
        <w:tc>
          <w:tcPr>
            <w:tcW w:w="1244" w:type="dxa"/>
          </w:tcPr>
          <w:p>
            <w:pPr>
              <w:jc w:val="left"/>
              <w:rPr>
                <w:rFonts w:ascii="Calibri" w:eastAsia="Times New Roman" w:hAnsi="Calibri"/>
                <w:b/>
                <w:bCs/>
                <w:noProof/>
                <w:color w:val="000000"/>
                <w:sz w:val="16"/>
                <w:szCs w:val="16"/>
              </w:rPr>
            </w:pP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b/>
                <w:bCs/>
                <w:noProof/>
                <w:color w:val="000000"/>
                <w:sz w:val="16"/>
                <w:szCs w:val="16"/>
              </w:rPr>
            </w:pP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Sienos kirtimo punktai, jei taikoma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6 straipsnio 1 dalis</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3 straipsnis (nuoroda į 1960 m. birželio 27 d. Tarybos reglamento Nr. 11 6 straipsnį)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0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Geležinkelio stotys, kuriose pakraunama ir iškraunama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33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Vidaus vandenų uostai, kuriuose pakraunama ir iškraunama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 xml:space="preserve">Jūrų uostai, kuriuose pakraunama ir iškraunama </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Spaudas, kurį geležinkelių institucija arba uosto direkcija deda atitinkamose stotyse, vidaus vandenų ar jūrų uostuose užbaigus tą vežimo geležinkeliu, vidaus vandenų ar jūrų keliais atkarpą</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3 straipsnis</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lastRenderedPageBreak/>
              <w:t>[Krovinio siuntėjo vardas, pavardė (pavadinimas), adresas, duomenys ryšiams ir parašas]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a punktas]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[Mišriojo krovinių vežimo pradžios Sąjungoje vieta ir data]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b punktas]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[Krovinio gavėjo vardas, pavardė (pavadinimas), adresas ir duomenys ryšiams]</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c punktas]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[Mišriojo krovinių vežimo pabaigos Sąjungoje vieta ir data]</w:t>
            </w:r>
          </w:p>
        </w:tc>
        <w:tc>
          <w:tcPr>
            <w:tcW w:w="122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hideMark/>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d punktas]</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102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[Tiesia linija išmatuotas atstumas nuo vietos Sąjungoje, kurioje prasideda mišrusis krovinių vežimas, iki vietos Sąjungoje, kurioje baigiasi mišrusis krovinių vežimas]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e punktas]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[Krovinio siuntėjo pasirašytas mišriojo krovinių vežimo maršruto aprašymas, kuriame pateikiami bent šie toliau išvardyti duomenys apie kiekvieną krovinių vežimo Sąjungoje atkarpą, be kita ko, apie kiekvienos rūšies transportą ne automobilių keliu einančia atkarpa: </w:t>
            </w:r>
            <w:r>
              <w:rPr>
                <w:rFonts w:ascii="Calibri" w:eastAsia="Times New Roman" w:hAnsi="Calibri"/>
                <w:b/>
                <w:bCs/>
                <w:noProof/>
                <w:color w:val="000000"/>
                <w:sz w:val="16"/>
                <w:szCs w:val="16"/>
              </w:rPr>
              <w:br/>
            </w:r>
            <w:r>
              <w:rPr>
                <w:rFonts w:ascii="Calibri" w:hAnsi="Calibri"/>
                <w:b/>
                <w:noProof/>
                <w:color w:val="000000"/>
                <w:sz w:val="16"/>
              </w:rPr>
              <w:t>i) atkarpų eilės tvarka (t. y. pradinė atkarpa, ne automobilių keliu einanti atkarpa arba paskutinė atkarpa);</w:t>
            </w:r>
            <w:r>
              <w:rPr>
                <w:rFonts w:ascii="Calibri" w:eastAsia="Times New Roman" w:hAnsi="Calibri"/>
                <w:b/>
                <w:bCs/>
                <w:noProof/>
                <w:color w:val="000000"/>
                <w:sz w:val="16"/>
                <w:szCs w:val="16"/>
              </w:rPr>
              <w:br/>
            </w:r>
            <w:r>
              <w:rPr>
                <w:rFonts w:ascii="Calibri" w:hAnsi="Calibri"/>
                <w:b/>
                <w:noProof/>
                <w:color w:val="000000"/>
                <w:sz w:val="16"/>
              </w:rPr>
              <w:t>ii) krovinio vežėjo vardas, pavardė (pavadinimas), adresas ir duomenys ryšiams;</w:t>
            </w:r>
            <w:r>
              <w:rPr>
                <w:rFonts w:ascii="Calibri" w:eastAsia="Times New Roman" w:hAnsi="Calibri"/>
                <w:b/>
                <w:bCs/>
                <w:noProof/>
                <w:color w:val="000000"/>
                <w:sz w:val="16"/>
                <w:szCs w:val="16"/>
              </w:rPr>
              <w:br/>
            </w:r>
            <w:r>
              <w:rPr>
                <w:rFonts w:ascii="Calibri" w:hAnsi="Calibri"/>
                <w:b/>
                <w:noProof/>
                <w:color w:val="000000"/>
                <w:sz w:val="16"/>
              </w:rPr>
              <w:t>iii) transporto rūšis ir jos eilės vieta vežant krovinį.]</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f punktas]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01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[Vežamo įvairiarūšio transporto krovinio vieneto identifikavimo duomenys]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g punktas]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[Automobilių keliu einančios pradinės atkarpos: </w:t>
            </w:r>
            <w:r>
              <w:rPr>
                <w:rFonts w:ascii="Calibri" w:eastAsia="Times New Roman" w:hAnsi="Calibri"/>
                <w:b/>
                <w:bCs/>
                <w:noProof/>
                <w:color w:val="000000"/>
                <w:sz w:val="16"/>
                <w:szCs w:val="16"/>
              </w:rPr>
              <w:br/>
            </w:r>
            <w:r>
              <w:rPr>
                <w:rFonts w:ascii="Calibri" w:hAnsi="Calibri"/>
                <w:b/>
                <w:noProof/>
                <w:color w:val="000000"/>
                <w:sz w:val="16"/>
              </w:rPr>
              <w:t xml:space="preserve">i) vieta, kurioje krovinys bus perkrautas vežti ne automobilių keliu einančia atkarpa; </w:t>
            </w:r>
            <w:r>
              <w:rPr>
                <w:rFonts w:ascii="Calibri" w:eastAsia="Times New Roman" w:hAnsi="Calibri"/>
                <w:b/>
                <w:bCs/>
                <w:noProof/>
                <w:color w:val="000000"/>
                <w:sz w:val="16"/>
                <w:szCs w:val="16"/>
              </w:rPr>
              <w:br/>
            </w:r>
            <w:r>
              <w:rPr>
                <w:rFonts w:ascii="Calibri" w:hAnsi="Calibri"/>
                <w:b/>
                <w:noProof/>
                <w:color w:val="000000"/>
                <w:sz w:val="16"/>
              </w:rPr>
              <w:t xml:space="preserve">ii) tiesia linija išmatuotas automobilių keliu einančios pradinės atkarpos ilgis nuo krovinio išsiuntimo vietos iki pirmojo krovinių perkrovimo terminalo; </w:t>
            </w:r>
            <w:r>
              <w:rPr>
                <w:rFonts w:ascii="Calibri" w:eastAsia="Times New Roman" w:hAnsi="Calibri"/>
                <w:b/>
                <w:bCs/>
                <w:noProof/>
                <w:color w:val="000000"/>
                <w:sz w:val="16"/>
                <w:szCs w:val="16"/>
              </w:rPr>
              <w:br/>
            </w:r>
            <w:r>
              <w:rPr>
                <w:rFonts w:ascii="Calibri" w:hAnsi="Calibri"/>
                <w:b/>
                <w:noProof/>
                <w:color w:val="000000"/>
                <w:sz w:val="16"/>
              </w:rPr>
              <w:t>iii) jei krovinys nuvežtas automobilių keliu einančia pradine atkarpa, vežėjo parašas, kuriuo jis patvirtina, kad krovinio vežimas automobilių keliu einančia atkarpa įvykdytas.]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h punktas]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22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 xml:space="preserve">[Automobilių keliu einančios paskutinės atkarpos: </w:t>
            </w:r>
            <w:r>
              <w:rPr>
                <w:rFonts w:ascii="Calibri" w:eastAsia="Times New Roman" w:hAnsi="Calibri"/>
                <w:b/>
                <w:bCs/>
                <w:noProof/>
                <w:color w:val="000000"/>
                <w:sz w:val="16"/>
                <w:szCs w:val="16"/>
              </w:rPr>
              <w:br/>
            </w:r>
            <w:r>
              <w:rPr>
                <w:rFonts w:ascii="Calibri" w:hAnsi="Calibri"/>
                <w:b/>
                <w:noProof/>
                <w:color w:val="000000"/>
                <w:sz w:val="16"/>
              </w:rPr>
              <w:t xml:space="preserve">i) vieta, kurioje paimamas ne automobilių keliu einančia atkarpa (geležinkeliu, vidaus vandenų arba jūrų transportu) atvežtas krovinys; </w:t>
            </w:r>
            <w:r>
              <w:rPr>
                <w:rFonts w:ascii="Calibri" w:eastAsia="Times New Roman" w:hAnsi="Calibri"/>
                <w:b/>
                <w:bCs/>
                <w:noProof/>
                <w:color w:val="000000"/>
                <w:sz w:val="16"/>
                <w:szCs w:val="16"/>
              </w:rPr>
              <w:br/>
            </w:r>
            <w:r>
              <w:rPr>
                <w:rFonts w:ascii="Calibri" w:hAnsi="Calibri"/>
                <w:b/>
                <w:noProof/>
                <w:color w:val="000000"/>
                <w:sz w:val="16"/>
              </w:rPr>
              <w:t>ii) tiesia linija išmatuotas automobilių keliu einančios paskutinės atkarpos ilgis nuo krovinio perkrovimo vietos iki vietos Sąjungoje, kurioje baigiasi mišrusis krovinių vežimas.)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i punktas]</w:t>
            </w: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144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[Ne automobilių keliu einančios atkarpos:</w:t>
            </w:r>
            <w:r>
              <w:rPr>
                <w:rFonts w:ascii="Calibri" w:eastAsia="Times New Roman" w:hAnsi="Calibri"/>
                <w:b/>
                <w:bCs/>
                <w:noProof/>
                <w:color w:val="000000"/>
                <w:sz w:val="16"/>
                <w:szCs w:val="16"/>
              </w:rPr>
              <w:br/>
            </w:r>
            <w:r>
              <w:rPr>
                <w:rFonts w:ascii="Calibri" w:hAnsi="Calibri"/>
                <w:b/>
                <w:noProof/>
                <w:color w:val="000000"/>
                <w:sz w:val="16"/>
              </w:rPr>
              <w:t>i) jei krovinys nuvežtas ne automobilių keliu einančia atkarpa, vežėjo (arba vežėjų, jei krovinys vežtas dviem arba daugiau ne automobilių keliu einančiomis atkarpomis) parašas (-ai), kuriuo jis (-ie) patvirtina, kad krovinio vežimas ne automobilių keliu einančia atkarpa įvykdytas;</w:t>
            </w:r>
            <w:r>
              <w:rPr>
                <w:rFonts w:ascii="Calibri" w:eastAsia="Times New Roman" w:hAnsi="Calibri"/>
                <w:b/>
                <w:bCs/>
                <w:noProof/>
                <w:color w:val="000000"/>
                <w:sz w:val="16"/>
                <w:szCs w:val="16"/>
              </w:rPr>
              <w:br/>
            </w:r>
            <w:r>
              <w:rPr>
                <w:rFonts w:ascii="Calibri" w:hAnsi="Calibri"/>
                <w:b/>
                <w:noProof/>
                <w:color w:val="000000"/>
                <w:sz w:val="16"/>
              </w:rPr>
              <w:t>ii) jei yra, atitinkamų geležinkelio arba uosto įstaigų susijusiuose terminaluose (geležinkelio stotyje arba uoste), esančiuose ne automobilių keliu einančioje atkarpoje, parašai arba antspaudai, kuriais jos patvirtina, kad krovinio vežimas atitinkama ne automobilių keliu einančia atkarpa įvykdytas.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[3 straipsnio (kuriuo pakeičiamas Tarybos direktyvos 92/106/EEB 3 straipsnis) 2 dalies j punktas]</w:t>
            </w:r>
          </w:p>
        </w:tc>
        <w:tc>
          <w:tcPr>
            <w:tcW w:w="1084" w:type="dxa"/>
          </w:tcPr>
          <w:p>
            <w:pPr>
              <w:jc w:val="left"/>
              <w:rPr>
                <w:rFonts w:ascii="Calibri" w:eastAsia="Times New Roman" w:hAnsi="Calibri"/>
                <w:b/>
                <w:bCs/>
                <w:noProof/>
                <w:color w:val="000000"/>
                <w:sz w:val="16"/>
                <w:szCs w:val="16"/>
              </w:rPr>
            </w:pPr>
          </w:p>
        </w:tc>
        <w:tc>
          <w:tcPr>
            <w:tcW w:w="1225" w:type="dxa"/>
          </w:tcPr>
          <w:p>
            <w:pPr>
              <w:jc w:val="left"/>
              <w:rPr>
                <w:rFonts w:ascii="Calibri" w:eastAsia="Times New Roman" w:hAnsi="Calibri"/>
                <w:b/>
                <w:bCs/>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Siuntėjo pavadinimas, adresas ir parašas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a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a punktas (pakeitimų nesiūloma)]</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6"/>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Vežėjo pavadinimas, adresas ir parašas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b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b punktas (pakeitimų nesiūloma)]</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89" w:type="dxa"/>
          </w:tcPr>
          <w:p>
            <w:pPr>
              <w:jc w:val="left"/>
              <w:rPr>
                <w:rFonts w:ascii="Calibri" w:eastAsia="Times New Roman" w:hAnsi="Calibri"/>
                <w:noProof/>
                <w:color w:val="000000"/>
                <w:sz w:val="16"/>
                <w:szCs w:val="16"/>
              </w:rPr>
            </w:pPr>
          </w:p>
        </w:tc>
      </w:tr>
      <w:tr>
        <w:trPr>
          <w:trHeight w:val="701"/>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Krovinio gavėjo pavadinimas ir adresas, jo parašas ir krovinio pristatymo data (gavus krovinį)</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c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c punktas (pakeitimų nesiūloma)]</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9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Krovinio perdavimo vieta ir data bei krovinio paskirties vieta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d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xml:space="preserve">[8 straipsnio 3 dalies d punktas (pakeitimų </w:t>
            </w:r>
            <w:r>
              <w:rPr>
                <w:rFonts w:ascii="Calibri" w:hAnsi="Calibri"/>
                <w:noProof/>
                <w:color w:val="000000"/>
                <w:sz w:val="16"/>
              </w:rPr>
              <w:lastRenderedPageBreak/>
              <w:t>nesiūloma)]</w:t>
            </w: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88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Krovinio pobūdžio ir taikyto pakavimo metodo aprašymas įprastais žodžiais, o jei tai pavojingas krovinys – visuotinai pripažintas jo aprašymas, pakuotės vienetų skaičius, specialūs pakuočių žymenys ir numeriai</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e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e punktas (pakeitimų nesiūloma)]</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6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Bendra krovinio masė su įpakavimu arba kitais mato vienetais nurodytas krovinio kiekis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f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f punktas (pakeitimų nesiūloma)]</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Motorinės transporto priemonės ir priekabos valstybiniai numeriai</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8 straipsnio 3 dalies g punktas</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[8 straipsnio 3 dalies g punktas (pakeitimų nesiūloma)]</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Reguliuojamo subjekto unikalus raidinis skaitinis identifikavimo kodas, kurį jam suteikė atitinkama institucija</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a punktas</w:t>
            </w: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p>
        </w:tc>
      </w:tr>
      <w:tr>
        <w:trPr>
          <w:trHeight w:val="45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Unikalus siuntos identifikavimo kodas, pavyzdžiui, oro transporto važtaraščio (vidinio arba pagrindinio) numeris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b 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Siuntos turinys (**) </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c 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Siuntos saugumo statusas, nurodant: </w:t>
            </w:r>
            <w:r>
              <w:rPr>
                <w:rFonts w:ascii="Calibri" w:eastAsia="Times New Roman" w:hAnsi="Calibri"/>
                <w:b/>
                <w:bCs/>
                <w:noProof/>
                <w:color w:val="000000"/>
                <w:sz w:val="16"/>
                <w:szCs w:val="16"/>
              </w:rPr>
              <w:br/>
            </w:r>
            <w:r>
              <w:rPr>
                <w:rFonts w:ascii="Calibri" w:hAnsi="Calibri"/>
                <w:b/>
                <w:noProof/>
                <w:color w:val="000000"/>
                <w:sz w:val="16"/>
              </w:rPr>
              <w:t>– SPX – saugu vežti keleiviniais, krovininiais ir pašto orlaiviais arba</w:t>
            </w:r>
            <w:r>
              <w:rPr>
                <w:rFonts w:ascii="Calibri" w:eastAsia="Times New Roman" w:hAnsi="Calibri"/>
                <w:b/>
                <w:bCs/>
                <w:noProof/>
                <w:color w:val="000000"/>
                <w:sz w:val="16"/>
                <w:szCs w:val="16"/>
              </w:rPr>
              <w:br/>
            </w:r>
            <w:r>
              <w:rPr>
                <w:rFonts w:ascii="Calibri" w:hAnsi="Calibri"/>
                <w:b/>
                <w:noProof/>
                <w:color w:val="000000"/>
                <w:sz w:val="16"/>
              </w:rPr>
              <w:t>– SCO – saugu vežti tik krovininiais ir pašto orlaiviais, arba</w:t>
            </w:r>
            <w:r>
              <w:rPr>
                <w:rFonts w:ascii="Calibri" w:eastAsia="Times New Roman" w:hAnsi="Calibri"/>
                <w:b/>
                <w:bCs/>
                <w:noProof/>
                <w:color w:val="000000"/>
                <w:sz w:val="16"/>
                <w:szCs w:val="16"/>
              </w:rPr>
              <w:br/>
            </w:r>
            <w:r>
              <w:rPr>
                <w:rFonts w:ascii="Calibri" w:hAnsi="Calibri"/>
                <w:b/>
                <w:noProof/>
                <w:color w:val="000000"/>
                <w:sz w:val="16"/>
              </w:rPr>
              <w:t>– SHR – saugu vežti keleiviniais, vien tik krovininiais ir vien tik pašto orlaiviais pagal didelės rizikos reikalavimus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d 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Saugumo statuso suteikimo priežastis, nurodant: </w:t>
            </w:r>
            <w:r>
              <w:rPr>
                <w:rFonts w:ascii="Calibri" w:eastAsia="Times New Roman" w:hAnsi="Calibri"/>
                <w:b/>
                <w:bCs/>
                <w:noProof/>
                <w:color w:val="000000"/>
                <w:sz w:val="16"/>
                <w:szCs w:val="16"/>
              </w:rPr>
              <w:br/>
            </w:r>
            <w:r>
              <w:rPr>
                <w:rFonts w:ascii="Calibri" w:hAnsi="Calibri"/>
                <w:b/>
                <w:noProof/>
                <w:color w:val="000000"/>
                <w:sz w:val="16"/>
              </w:rPr>
              <w:t xml:space="preserve">– KC – gauta iš žinomo siuntėjo arba </w:t>
            </w:r>
            <w:r>
              <w:rPr>
                <w:rFonts w:ascii="Calibri" w:eastAsia="Times New Roman" w:hAnsi="Calibri"/>
                <w:b/>
                <w:bCs/>
                <w:noProof/>
                <w:color w:val="000000"/>
                <w:sz w:val="16"/>
                <w:szCs w:val="16"/>
              </w:rPr>
              <w:br/>
            </w:r>
            <w:r>
              <w:rPr>
                <w:rFonts w:ascii="Calibri" w:hAnsi="Calibri"/>
                <w:b/>
                <w:noProof/>
                <w:color w:val="000000"/>
                <w:sz w:val="16"/>
              </w:rPr>
              <w:t xml:space="preserve">– AC – gauta iš patikimo siuntėjo, arba </w:t>
            </w:r>
            <w:r>
              <w:rPr>
                <w:rFonts w:ascii="Calibri" w:eastAsia="Times New Roman" w:hAnsi="Calibri"/>
                <w:b/>
                <w:bCs/>
                <w:noProof/>
                <w:color w:val="000000"/>
                <w:sz w:val="16"/>
                <w:szCs w:val="16"/>
              </w:rPr>
              <w:br/>
            </w:r>
            <w:r>
              <w:rPr>
                <w:rFonts w:ascii="Calibri" w:hAnsi="Calibri"/>
                <w:b/>
                <w:noProof/>
                <w:color w:val="000000"/>
                <w:sz w:val="16"/>
              </w:rPr>
              <w:lastRenderedPageBreak/>
              <w:t xml:space="preserve">– RA – atrinko reguliuojamas subjektas, arba </w:t>
            </w:r>
            <w:r>
              <w:rPr>
                <w:rFonts w:ascii="Calibri" w:eastAsia="Times New Roman" w:hAnsi="Calibri"/>
                <w:b/>
                <w:bCs/>
                <w:noProof/>
                <w:color w:val="000000"/>
                <w:sz w:val="16"/>
                <w:szCs w:val="16"/>
              </w:rPr>
              <w:br/>
            </w:r>
            <w:r>
              <w:rPr>
                <w:rFonts w:ascii="Calibri" w:hAnsi="Calibri"/>
                <w:b/>
                <w:noProof/>
                <w:color w:val="000000"/>
                <w:sz w:val="16"/>
              </w:rPr>
              <w:t>– šias taikytas patikrinimo priemones ar metodus</w:t>
            </w:r>
            <w:r>
              <w:rPr>
                <w:rFonts w:ascii="Calibri" w:eastAsia="Times New Roman" w:hAnsi="Calibri"/>
                <w:b/>
                <w:bCs/>
                <w:noProof/>
                <w:color w:val="000000"/>
                <w:sz w:val="16"/>
                <w:szCs w:val="16"/>
              </w:rPr>
              <w:br/>
            </w:r>
            <w:r>
              <w:rPr>
                <w:rFonts w:ascii="Calibri" w:hAnsi="Calibri"/>
                <w:b/>
                <w:noProof/>
                <w:color w:val="000000"/>
                <w:sz w:val="16"/>
              </w:rPr>
              <w:t>– siuntos tikrinimo išimties darymo priežastys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lastRenderedPageBreak/>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xml:space="preserve">Priedo 6.3.2.6 skirsnio e </w:t>
            </w:r>
            <w:r>
              <w:rPr>
                <w:rFonts w:ascii="Calibri" w:hAnsi="Calibri"/>
                <w:noProof/>
                <w:color w:val="000000"/>
                <w:sz w:val="16"/>
              </w:rPr>
              <w:lastRenderedPageBreak/>
              <w:t>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lastRenderedPageBreak/>
              <w:t>Asmens, kuris suteikė saugumo statusą, vardas ir pavardė arba lygiaverčiai identifikavimo duomenys, saugumo statuso suteikimo data ir laikas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f 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Bet kurio reguliuojamo subjekto, kuris sutiko su kito reguliuojamo subjekto siuntai suteiktu saugumo statusu, atitinkamos institucijos suteiktas unikalus identifikavimo kodas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Priedo 6.3.2.6 skirsnio g punktas</w:t>
            </w:r>
          </w:p>
        </w:tc>
        <w:tc>
          <w:tcPr>
            <w:tcW w:w="1317" w:type="dxa"/>
          </w:tcPr>
          <w:p>
            <w:pPr>
              <w:jc w:val="left"/>
              <w:rPr>
                <w:rFonts w:ascii="Calibri" w:eastAsia="Times New Roman" w:hAnsi="Calibri"/>
                <w:b/>
                <w:bCs/>
                <w:noProof/>
                <w:color w:val="000000"/>
                <w:sz w:val="16"/>
                <w:szCs w:val="16"/>
              </w:rPr>
            </w:pPr>
          </w:p>
        </w:tc>
        <w:tc>
          <w:tcPr>
            <w:tcW w:w="1289"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Theme="minorHAnsi" w:eastAsia="Times New Roman" w:hAnsiTheme="minorHAnsi" w:cstheme="minorHAnsi"/>
                <w:b/>
                <w:bCs/>
                <w:noProof/>
                <w:color w:val="000000"/>
                <w:sz w:val="16"/>
                <w:szCs w:val="16"/>
              </w:rPr>
            </w:pPr>
            <w:r>
              <w:rPr>
                <w:rFonts w:asciiTheme="minorHAnsi" w:hAnsiTheme="minorHAnsi" w:cstheme="minorHAnsi"/>
                <w:b/>
                <w:noProof/>
                <w:sz w:val="16"/>
              </w:rPr>
              <w:t>Bendroji informacija, kurią privaloma pateikti vežimo dokumente</w:t>
            </w:r>
          </w:p>
        </w:tc>
        <w:tc>
          <w:tcPr>
            <w:tcW w:w="1223" w:type="dxa"/>
          </w:tcPr>
          <w:p>
            <w:pPr>
              <w:jc w:val="left"/>
              <w:rPr>
                <w:rFonts w:ascii="Calibri" w:eastAsia="Times New Roman" w:hAnsi="Calibri"/>
                <w:noProof/>
                <w:color w:val="000000"/>
                <w:sz w:val="16"/>
                <w:szCs w:val="16"/>
              </w:rPr>
            </w:pPr>
            <w:r>
              <w:rPr>
                <w:noProof/>
                <w:sz w:val="16"/>
              </w:rPr>
              <w:t xml:space="preserve"> </w:t>
            </w:r>
          </w:p>
        </w:tc>
        <w:tc>
          <w:tcPr>
            <w:tcW w:w="1161" w:type="dxa"/>
          </w:tcPr>
          <w:p>
            <w:pPr>
              <w:jc w:val="left"/>
              <w:rPr>
                <w:rFonts w:ascii="Calibri" w:eastAsia="Times New Roman" w:hAnsi="Calibri"/>
                <w:noProof/>
                <w:color w:val="000000"/>
                <w:sz w:val="16"/>
                <w:szCs w:val="16"/>
              </w:rPr>
            </w:pPr>
            <w:r>
              <w:rPr>
                <w:noProof/>
                <w:sz w:val="16"/>
              </w:rPr>
              <w:t xml:space="preserve"> </w:t>
            </w:r>
          </w:p>
        </w:tc>
        <w:tc>
          <w:tcPr>
            <w:tcW w:w="1244" w:type="dxa"/>
          </w:tcPr>
          <w:p>
            <w:pPr>
              <w:jc w:val="left"/>
              <w:rPr>
                <w:rFonts w:ascii="Calibri" w:eastAsia="Times New Roman" w:hAnsi="Calibri"/>
                <w:noProof/>
                <w:color w:val="000000"/>
                <w:sz w:val="16"/>
                <w:szCs w:val="16"/>
              </w:rPr>
            </w:pPr>
            <w:r>
              <w:rPr>
                <w:noProof/>
                <w:sz w:val="16"/>
              </w:rPr>
              <w:t xml:space="preserve"> </w:t>
            </w:r>
          </w:p>
        </w:tc>
        <w:tc>
          <w:tcPr>
            <w:tcW w:w="1084" w:type="dxa"/>
          </w:tcPr>
          <w:p>
            <w:pPr>
              <w:jc w:val="left"/>
              <w:rPr>
                <w:rFonts w:ascii="Calibri" w:eastAsia="Times New Roman" w:hAnsi="Calibri"/>
                <w:noProof/>
                <w:color w:val="000000"/>
                <w:sz w:val="16"/>
                <w:szCs w:val="16"/>
              </w:rPr>
            </w:pPr>
            <w:r>
              <w:rPr>
                <w:noProof/>
                <w:sz w:val="16"/>
              </w:rPr>
              <w:t xml:space="preserve"> </w:t>
            </w:r>
          </w:p>
        </w:tc>
        <w:tc>
          <w:tcPr>
            <w:tcW w:w="1225" w:type="dxa"/>
          </w:tcPr>
          <w:p>
            <w:pPr>
              <w:jc w:val="left"/>
              <w:rPr>
                <w:rFonts w:ascii="Calibri" w:eastAsia="Times New Roman" w:hAnsi="Calibri"/>
                <w:noProof/>
                <w:color w:val="000000"/>
                <w:sz w:val="16"/>
                <w:szCs w:val="16"/>
              </w:rPr>
            </w:pPr>
            <w:r>
              <w:rPr>
                <w:noProof/>
                <w:sz w:val="16"/>
              </w:rPr>
              <w:t xml:space="preserve"> </w:t>
            </w:r>
          </w:p>
        </w:tc>
        <w:tc>
          <w:tcPr>
            <w:tcW w:w="1376" w:type="dxa"/>
          </w:tcPr>
          <w:p>
            <w:pPr>
              <w:jc w:val="left"/>
              <w:rPr>
                <w:rFonts w:ascii="Calibri" w:eastAsia="Times New Roman" w:hAnsi="Calibri"/>
                <w:noProof/>
                <w:color w:val="000000"/>
                <w:sz w:val="16"/>
                <w:szCs w:val="16"/>
              </w:rPr>
            </w:pPr>
            <w:r>
              <w:rPr>
                <w:noProof/>
                <w:sz w:val="16"/>
              </w:rPr>
              <w:t xml:space="preserve"> </w:t>
            </w:r>
          </w:p>
        </w:tc>
        <w:tc>
          <w:tcPr>
            <w:tcW w:w="1317" w:type="dxa"/>
          </w:tcPr>
          <w:p>
            <w:pPr>
              <w:jc w:val="left"/>
              <w:rPr>
                <w:rFonts w:ascii="Calibri" w:eastAsia="Times New Roman" w:hAnsi="Calibri"/>
                <w:b/>
                <w:bCs/>
                <w:noProof/>
                <w:color w:val="000000"/>
                <w:sz w:val="16"/>
                <w:szCs w:val="16"/>
              </w:rPr>
            </w:pPr>
            <w:r>
              <w:rPr>
                <w:noProof/>
                <w:sz w:val="16"/>
              </w:rPr>
              <w:t>5.4.1.1.1</w:t>
            </w:r>
          </w:p>
        </w:tc>
        <w:tc>
          <w:tcPr>
            <w:tcW w:w="1289" w:type="dxa"/>
          </w:tcPr>
          <w:p>
            <w:pPr>
              <w:jc w:val="left"/>
              <w:rPr>
                <w:noProof/>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 xml:space="preserve">Bendroji informacija, kurią privaloma pateikti vežant tanklaiviais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5.4.1.1.2 – tik ADN </w:t>
            </w:r>
          </w:p>
        </w:tc>
        <w:tc>
          <w:tcPr>
            <w:tcW w:w="1289" w:type="dxa"/>
          </w:tcPr>
          <w:p>
            <w:pPr>
              <w:jc w:val="left"/>
              <w:rPr>
                <w:rFonts w:ascii="Calibri" w:eastAsia="Times New Roman" w:hAnsi="Calibri"/>
                <w:noProof/>
                <w:color w:val="000000"/>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Specialioji informacija, kurią privaloma pateikti vežant tam tikrų tipų pavojingus krovinius arba naudojant tam tikras talpyklas, arba jei krovinių vežimo grandinė apima įvairias transporto rūšis, kaip nustatyta atitinkamų ADR, RID ir ADN priedų 5 skyriaus 4 dalies specialiosiose nuostatose</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 xml:space="preserve">5.4.1.1.3–5.4.1.1.21 – ADR ir RID </w:t>
            </w:r>
          </w:p>
          <w:p>
            <w:pPr>
              <w:jc w:val="left"/>
              <w:rPr>
                <w:rFonts w:ascii="Calibri" w:eastAsia="Times New Roman" w:hAnsi="Calibri"/>
                <w:noProof/>
                <w:color w:val="000000"/>
                <w:sz w:val="16"/>
                <w:szCs w:val="16"/>
              </w:rPr>
            </w:pPr>
            <w:r>
              <w:rPr>
                <w:rFonts w:ascii="Calibri" w:hAnsi="Calibri"/>
                <w:noProof/>
                <w:color w:val="000000"/>
                <w:sz w:val="16"/>
              </w:rPr>
              <w:t>5.4.1.1.3–5.4.1.1.22 – ADN</w:t>
            </w:r>
          </w:p>
        </w:tc>
        <w:tc>
          <w:tcPr>
            <w:tcW w:w="1289" w:type="dxa"/>
          </w:tcPr>
          <w:p>
            <w:pPr>
              <w:jc w:val="left"/>
              <w:rPr>
                <w:rFonts w:ascii="Calibri" w:eastAsia="Times New Roman" w:hAnsi="Calibri"/>
                <w:noProof/>
                <w:color w:val="000000"/>
                <w:sz w:val="16"/>
                <w:szCs w:val="16"/>
              </w:rPr>
            </w:pPr>
          </w:p>
        </w:tc>
      </w:tr>
      <w:tr>
        <w:trPr>
          <w:trHeight w:val="286"/>
        </w:trPr>
        <w:tc>
          <w:tcPr>
            <w:tcW w:w="5070" w:type="dxa"/>
          </w:tcPr>
          <w:p>
            <w:pPr>
              <w:jc w:val="left"/>
              <w:rPr>
                <w:rFonts w:ascii="Calibri" w:eastAsia="Times New Roman" w:hAnsi="Calibri"/>
                <w:b/>
                <w:bCs/>
                <w:noProof/>
                <w:sz w:val="16"/>
                <w:szCs w:val="16"/>
              </w:rPr>
            </w:pPr>
            <w:r>
              <w:rPr>
                <w:rFonts w:ascii="Calibri" w:hAnsi="Calibri"/>
                <w:b/>
                <w:noProof/>
                <w:sz w:val="16"/>
              </w:rPr>
              <w:t xml:space="preserve">Papildoma ir specialioji informacija, kurią privaloma pateikti vežant tam tikrų klasių pavojingus krovinius </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5.4.1.2</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Nepavojingi kroviniai</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5.4.1.5</w:t>
            </w:r>
          </w:p>
        </w:tc>
        <w:tc>
          <w:tcPr>
            <w:tcW w:w="1289"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Konteinerio pakavimo sertifikatas</w:t>
            </w:r>
          </w:p>
        </w:tc>
        <w:tc>
          <w:tcPr>
            <w:tcW w:w="122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6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4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225"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76"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5.4.2</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Nurodymai raštu</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r>
              <w:rPr>
                <w:rFonts w:ascii="Calibri" w:hAnsi="Calibri"/>
                <w:noProof/>
                <w:color w:val="000000"/>
                <w:sz w:val="16"/>
              </w:rPr>
              <w:t>5.4.3</w:t>
            </w:r>
          </w:p>
        </w:tc>
        <w:tc>
          <w:tcPr>
            <w:tcW w:w="1289"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Informacija, pateikiama pranešimo dokumente, kai vežamos atliekos, kurias vežant taikoma išankstinio pranešimo ir leidimo procedūra pagal Reglamento (EB) Nr. 1013/2006 4 straipsnį</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IA priedas</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Informacija, pateikiama judėjimo dokumente, kai vežamos atliekos, kurias vežant taikoma išankstinio pranešimo ir leidimo procedūra pagal Reglamento (EB) Nr. 1013/2006 4 straipsnį</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IB priedas</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lastRenderedPageBreak/>
              <w:t>Informacija, pateikiama pridedamame dokumente, kai vežamos atliekos, kurias vežant taikomi Reglamento (EB) Nr. 1013/2006 18 straipsnyje nustatyti bendrieji informacijos reikalavimai</w:t>
            </w:r>
          </w:p>
        </w:tc>
        <w:tc>
          <w:tcPr>
            <w:tcW w:w="1223" w:type="dxa"/>
          </w:tcPr>
          <w:p>
            <w:pPr>
              <w:jc w:val="left"/>
              <w:rPr>
                <w:rFonts w:ascii="Calibri" w:eastAsia="Times New Roman" w:hAnsi="Calibri"/>
                <w:noProof/>
                <w:color w:val="000000"/>
                <w:sz w:val="16"/>
                <w:szCs w:val="16"/>
              </w:rPr>
            </w:pPr>
          </w:p>
        </w:tc>
        <w:tc>
          <w:tcPr>
            <w:tcW w:w="1161" w:type="dxa"/>
          </w:tcPr>
          <w:p>
            <w:pPr>
              <w:jc w:val="left"/>
              <w:rPr>
                <w:rFonts w:ascii="Calibri" w:eastAsia="Times New Roman" w:hAnsi="Calibri"/>
                <w:noProof/>
                <w:color w:val="000000"/>
                <w:sz w:val="16"/>
                <w:szCs w:val="16"/>
              </w:rPr>
            </w:pPr>
          </w:p>
        </w:tc>
        <w:tc>
          <w:tcPr>
            <w:tcW w:w="1244"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1225" w:type="dxa"/>
          </w:tcPr>
          <w:p>
            <w:pPr>
              <w:jc w:val="left"/>
              <w:rPr>
                <w:rFonts w:ascii="Calibri" w:eastAsia="Times New Roman" w:hAnsi="Calibri"/>
                <w:noProof/>
                <w:color w:val="000000"/>
                <w:sz w:val="16"/>
                <w:szCs w:val="16"/>
              </w:rPr>
            </w:pPr>
          </w:p>
        </w:tc>
        <w:tc>
          <w:tcPr>
            <w:tcW w:w="1376" w:type="dxa"/>
          </w:tcPr>
          <w:p>
            <w:pPr>
              <w:jc w:val="left"/>
              <w:rPr>
                <w:rFonts w:ascii="Calibri" w:eastAsia="Times New Roman" w:hAnsi="Calibri"/>
                <w:noProof/>
                <w:color w:val="000000"/>
                <w:sz w:val="16"/>
                <w:szCs w:val="16"/>
              </w:rPr>
            </w:pPr>
          </w:p>
        </w:tc>
        <w:tc>
          <w:tcPr>
            <w:tcW w:w="1317" w:type="dxa"/>
          </w:tcPr>
          <w:p>
            <w:pPr>
              <w:jc w:val="left"/>
              <w:rPr>
                <w:rFonts w:ascii="Calibri" w:eastAsia="Times New Roman" w:hAnsi="Calibri"/>
                <w:noProof/>
                <w:color w:val="000000"/>
                <w:sz w:val="16"/>
                <w:szCs w:val="16"/>
              </w:rPr>
            </w:pPr>
          </w:p>
        </w:tc>
        <w:tc>
          <w:tcPr>
            <w:tcW w:w="1289" w:type="dxa"/>
          </w:tcPr>
          <w:p>
            <w:pPr>
              <w:jc w:val="left"/>
              <w:rPr>
                <w:rFonts w:ascii="Calibri" w:eastAsia="Times New Roman" w:hAnsi="Calibri"/>
                <w:noProof/>
                <w:color w:val="000000"/>
                <w:sz w:val="16"/>
                <w:szCs w:val="16"/>
              </w:rPr>
            </w:pPr>
            <w:r>
              <w:rPr>
                <w:rFonts w:ascii="Calibri" w:hAnsi="Calibri"/>
                <w:noProof/>
                <w:color w:val="000000"/>
                <w:sz w:val="16"/>
              </w:rPr>
              <w:t>VII priedas</w:t>
            </w:r>
          </w:p>
        </w:tc>
      </w:tr>
    </w:tbl>
    <w:p>
      <w:pPr>
        <w:rPr>
          <w:noProof/>
        </w:rPr>
      </w:pPr>
    </w:p>
    <w:p>
      <w:pPr>
        <w:spacing w:before="0" w:after="200" w:line="276" w:lineRule="auto"/>
        <w:jc w:val="left"/>
        <w:rPr>
          <w:b/>
          <w:noProof/>
        </w:rPr>
      </w:pPr>
      <w:r>
        <w:rPr>
          <w:b/>
          <w:noProof/>
        </w:rPr>
        <w:t xml:space="preserve">Valstybių narių teisės aktai </w:t>
      </w:r>
    </w:p>
    <w:p>
      <w:pPr>
        <w:rPr>
          <w:noProof/>
        </w:rPr>
      </w:pPr>
      <w:r>
        <w:rPr>
          <w:noProof/>
        </w:rPr>
        <w:t xml:space="preserve">Toliau pateikiamoje lentelėje išvardyti atitinkami valstybių narių teisės aktai, kurie yra susiję su Sutarties trečiosios dalies VI antraštine dalimi reglamentuojamais klausimais ir pagal kuriuos reikalaujama teikti reglamentavimo informaciją, visiškai arba iš dalies atitinkančią šio priedo A punkte nurodytą informaciją. </w:t>
      </w:r>
    </w:p>
    <w:p>
      <w:pPr>
        <w:rPr>
          <w:noProof/>
        </w:rPr>
      </w:pPr>
      <w:r>
        <w:rPr>
          <w:b/>
          <w:noProof/>
        </w:rPr>
        <w:t>[Valstybė narė]</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Teisės aktai</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Informacijos elementas</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[Informacijos elementas, nurodytas atitinkamame teisės akto straipsnyje]</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[Nuoroda į straipsnį]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[Nuoroda į straipsnį]</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[Nuoroda į straipsnį]</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[Informacijos elementas, nurodytas atitinkamame teisės akto straipsnyje]</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[Nuoroda į straipsnį]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[Nuoroda į straipsnį]</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[Nuoroda į straipsnį]</w:t>
            </w:r>
          </w:p>
        </w:tc>
      </w:tr>
    </w:tbl>
    <w:p>
      <w:pPr>
        <w:rPr>
          <w:noProof/>
        </w:rPr>
      </w:pPr>
    </w:p>
    <w:p>
      <w:pPr>
        <w:rPr>
          <w:noProof/>
        </w:rPr>
      </w:pPr>
      <w:r>
        <w:rPr>
          <w:b/>
          <w:noProof/>
        </w:rPr>
        <w:t>[Valstybė narė]</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lastRenderedPageBreak/>
              <w:t>Teisės aktai</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Informacijos elementas</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[Nuoroda į teisės aktus]</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[Informacijos elementas, nurodytas atitinkamame teisės akto straipsnyje]</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[Nuoroda į straipsnį]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[Nuoroda į straipsnį]</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[Nuoroda į straipsnį]</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[Informacijos elementas, nurodytas atitinkamame teisės akto straipsnyje]</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[Nuoroda į straipsnį]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[Nuoroda į straipsnį]</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[Nuoroda į straipsnį]</w:t>
            </w:r>
          </w:p>
        </w:tc>
      </w:tr>
    </w:tbl>
    <w:p>
      <w:pPr>
        <w:rPr>
          <w:noProof/>
        </w:rPr>
      </w:pPr>
    </w:p>
    <w:p>
      <w:pPr>
        <w:spacing w:before="0" w:after="200" w:line="276" w:lineRule="auto"/>
        <w:jc w:val="left"/>
        <w:rPr>
          <w:noProof/>
        </w:rPr>
      </w:pPr>
      <w:r>
        <w:rPr>
          <w:noProof/>
        </w:rPr>
        <w:br w:type="page"/>
      </w:r>
    </w:p>
    <w:p>
      <w:pPr>
        <w:pStyle w:val="Annexetitre"/>
        <w:rPr>
          <w:noProof/>
        </w:rPr>
      </w:pPr>
      <w:r>
        <w:rPr>
          <w:noProof/>
        </w:rPr>
        <w:lastRenderedPageBreak/>
        <w:t>II PRIEDAS</w:t>
      </w:r>
      <w:r>
        <w:rPr>
          <w:noProof/>
        </w:rPr>
        <w:br/>
      </w:r>
      <w:r>
        <w:rPr>
          <w:noProof/>
        </w:rPr>
        <w:br/>
        <w:t>NOTIFIKUOTOSIOMS ĮSTAIGOMS TAIKOMI REIKALAVIMAI</w:t>
      </w:r>
    </w:p>
    <w:p>
      <w:pPr>
        <w:pStyle w:val="Text1"/>
        <w:rPr>
          <w:noProof/>
        </w:rPr>
      </w:pPr>
      <w:r>
        <w:rPr>
          <w:noProof/>
        </w:rPr>
        <w:t>1. Pranešimo tikslais atitikties vertinimo įstaiga turi atitikti 2–11 dalyse nustatytus reikalavimus.</w:t>
      </w:r>
    </w:p>
    <w:p>
      <w:pPr>
        <w:pStyle w:val="Text1"/>
        <w:rPr>
          <w:noProof/>
        </w:rPr>
      </w:pPr>
      <w:r>
        <w:rPr>
          <w:noProof/>
        </w:rPr>
        <w:t>2. Atitikties vertinimo įstaiga yra įsteigta pagal valstybės narės nacionalinę teisę ir yra juridinis asmuo.</w:t>
      </w:r>
    </w:p>
    <w:p>
      <w:pPr>
        <w:pStyle w:val="Text1"/>
        <w:rPr>
          <w:noProof/>
        </w:rPr>
      </w:pPr>
      <w:r>
        <w:rPr>
          <w:noProof/>
        </w:rPr>
        <w:t>3. Atitikties vertinimo įstaiga yra trečiosios šalies įstaiga, nepriklausoma nuo jos vertinamos eFTI platformos ar platformos paslaugų teikėjo.</w:t>
      </w:r>
    </w:p>
    <w:p>
      <w:pPr>
        <w:pStyle w:val="Text1"/>
        <w:rPr>
          <w:noProof/>
        </w:rPr>
      </w:pPr>
      <w:r>
        <w:rPr>
          <w:noProof/>
        </w:rPr>
        <w:t>Įstaiga, priklausanti verslo asociacijai arba profesinei federacijai, atstovaujančiai įmonėms, susijusioms su jos vertinamos eFTI platformos arba platformos paslaugų teikėjo projektavimu, gamyba, tiekimu, surinkimu, naudojimu ar priežiūra, gali būti laikoma tokia įstaiga, jeigu įrodoma, kad ji yra nešališka ir nėra jokio interesų konflikto.</w:t>
      </w:r>
    </w:p>
    <w:p>
      <w:pPr>
        <w:pStyle w:val="Text1"/>
        <w:rPr>
          <w:noProof/>
        </w:rPr>
      </w:pPr>
      <w:r>
        <w:rPr>
          <w:noProof/>
        </w:rPr>
        <w:t xml:space="preserve">4. Atitikties vertinimo įstaiga, jos aukščiausiojo lygio vadovai ir už atitikties vertinimo užduočių atlikimą atsakingi darbuotojai negali būti vertinamos eFTI platformos arba platformos paslaugų teikėjo projektuotojai, gamintojai, tiekėjai, montuotojai, pirkėjai, savininkai, naudotojai ar prižiūrėtojai arba tų šalių atstovai. </w:t>
      </w:r>
    </w:p>
    <w:p>
      <w:pPr>
        <w:pStyle w:val="Text1"/>
        <w:rPr>
          <w:noProof/>
        </w:rPr>
      </w:pPr>
      <w:r>
        <w:rPr>
          <w:noProof/>
        </w:rPr>
        <w:t>Atitikties vertinimo įstaiga, jos aukščiausiojo lygio vadovai ir už atitikties vertinimo užduočių atlikimą atsakingi darbuotojai tiesiogiai nedalyvauja projektuojant, gaminant ar konstruojant, parduodant, montuojant ir naudojant tą eFTI platformą arba platformos paslaugų teikėją arba atliekant jų techninę priežiūrą, taip pat negali atstovauti toje veikloje dalyvaujančioms šalims. Jie negali imtis jokios veiklos, kuri jiems trukdytų nepriklausomai ir sąžiningai priimti sprendimus, susijusius su atitikties vertinimo veikla, dėl kurios apie juos pranešta. Tai visų pirma taikoma konsultavimo paslaugoms.</w:t>
      </w:r>
    </w:p>
    <w:p>
      <w:pPr>
        <w:pStyle w:val="Text1"/>
        <w:rPr>
          <w:noProof/>
        </w:rPr>
      </w:pPr>
      <w:r>
        <w:rPr>
          <w:noProof/>
        </w:rPr>
        <w:t>Atitikties vertinimo įstaigos užtikrina, kad joms pavaldžių įstaigų ar subrangovų veikla nedarytų poveikio jų atitikties vertinimo veiklos konfidencialumui, objektyvumui ar nešališkumui.</w:t>
      </w:r>
    </w:p>
    <w:p>
      <w:pPr>
        <w:pStyle w:val="Text1"/>
        <w:rPr>
          <w:noProof/>
        </w:rPr>
      </w:pPr>
      <w:r>
        <w:rPr>
          <w:noProof/>
        </w:rPr>
        <w:t>5. Atitikties vertinimo įstaigos ir jų darbuotojai atitikties vertinimo veiklą vykdo laikydamiesi griežčiausių profesinio sąžiningumo reikalavimų, turi reikiamą konkrečios srities techninę kompetenciją ir nepasiduoda jokiam spaudimui ir paskatoms, visų pirma finansinėms, kurie galėtų paveikti jų sprendimą ar atitikties vertinimo veiklos rezultatus, ypač jei spaudimą daro ir paskatas siūlo šios veiklos rezultatais suinteresuoti asmenys ar asmenų grupės.</w:t>
      </w:r>
    </w:p>
    <w:p>
      <w:pPr>
        <w:pStyle w:val="Text1"/>
        <w:rPr>
          <w:noProof/>
        </w:rPr>
      </w:pPr>
      <w:r>
        <w:rPr>
          <w:noProof/>
        </w:rPr>
        <w:t>6. Atitikties vertinimo įstaiga yra pajėgi atlikti visas atitikties vertinimo užduotis, kurios jai pavestos pagal 12 ir 13 straipsnius ir kurioms atlikti jai kaip notifikuotajai įstaigai yra suteikti įgaliojimai, neatsižvelgiant į tai, ar tas užduotis atlieka pati atitikties vertinimo įstaiga, ar jos yra atliekamos įstaigos vardu ir atsakomybe.</w:t>
      </w:r>
    </w:p>
    <w:p>
      <w:pPr>
        <w:pStyle w:val="Text1"/>
        <w:rPr>
          <w:noProof/>
        </w:rPr>
      </w:pPr>
      <w:r>
        <w:rPr>
          <w:noProof/>
        </w:rPr>
        <w:lastRenderedPageBreak/>
        <w:t>Visais atvejais ir dėl kiekvienos atitikties vertinimo procedūros, dėl kurių atitikties vertinimo įstaigai suteikti notifikuotosios įstaigos įgaliojimai, atitikties vertinimo įstaigoje turi būti:</w:t>
      </w:r>
    </w:p>
    <w:p>
      <w:pPr>
        <w:pStyle w:val="Text1"/>
        <w:rPr>
          <w:noProof/>
        </w:rPr>
      </w:pPr>
      <w:r>
        <w:rPr>
          <w:noProof/>
        </w:rPr>
        <w:t>a) darbuotojų, turinčių techninių žinių ir pakankamos bei tinkamos patirties atitikties vertinimo užduotims atlikti;</w:t>
      </w:r>
    </w:p>
    <w:p>
      <w:pPr>
        <w:pStyle w:val="Text1"/>
        <w:rPr>
          <w:noProof/>
        </w:rPr>
      </w:pPr>
      <w:r>
        <w:rPr>
          <w:noProof/>
        </w:rPr>
        <w:t>b) procedūrų, pagal kurias atliekama atitikties vertinimo veikla, aprašymų, taip užtikrinant skaidrumą ir galimybę tas procedūras atkurti. Ji turi taikyti tinkamą politiką ir procedūras, kuriomis užtikrinamas užduočių, kurias ji atlieka kaip notifikuotoji įstaiga, ir kitos veiklos atskyrimas.</w:t>
      </w:r>
    </w:p>
    <w:p>
      <w:pPr>
        <w:pStyle w:val="Text1"/>
        <w:rPr>
          <w:noProof/>
        </w:rPr>
      </w:pPr>
      <w:r>
        <w:rPr>
          <w:noProof/>
        </w:rPr>
        <w:t>c) procedūrų, pagal kurias ji galėtų vykdyti savo veiklą tinkamai atsižvelgdama į įmonės dydį, jos veiklos sektorių ir struktūrą ir atitinkamų produktų technologijos sudėtingumo lygį.</w:t>
      </w:r>
    </w:p>
    <w:p>
      <w:pPr>
        <w:pStyle w:val="Text1"/>
        <w:rPr>
          <w:noProof/>
        </w:rPr>
      </w:pPr>
      <w:r>
        <w:rPr>
          <w:noProof/>
        </w:rPr>
        <w:t>Atitikties vertinimo įstaiga turi turėti priemones, būtinas su atitikties vertinimo veikla susijusioms techninėms ir administracinėms užduotims tinkamai atlikti, ir galimybę naudotis visa reikiama įranga ar įrenginiais.</w:t>
      </w:r>
    </w:p>
    <w:p>
      <w:pPr>
        <w:pStyle w:val="Text1"/>
        <w:rPr>
          <w:noProof/>
        </w:rPr>
      </w:pPr>
      <w:r>
        <w:rPr>
          <w:noProof/>
        </w:rPr>
        <w:t>7. Už atitikties vertinimo užduočių vykdymą atsakingi darbuotojai:</w:t>
      </w:r>
    </w:p>
    <w:p>
      <w:pPr>
        <w:pStyle w:val="Text1"/>
        <w:rPr>
          <w:noProof/>
        </w:rPr>
      </w:pPr>
      <w:r>
        <w:rPr>
          <w:noProof/>
        </w:rPr>
        <w:t>a) turi tinkamą techninį ir profesinį parengimą, aprėpiantį visą atitinkamų rūšių atitikties vertinimo veiklą, kurią atitikties vertinimo įstaiga įgaliota atlikti kaip notifikuotoji įstaiga;</w:t>
      </w:r>
    </w:p>
    <w:p>
      <w:pPr>
        <w:pStyle w:val="Text1"/>
        <w:rPr>
          <w:noProof/>
        </w:rPr>
      </w:pPr>
      <w:r>
        <w:rPr>
          <w:noProof/>
        </w:rPr>
        <w:t>b) pakankamai gerai išmano atliekamo vertinimo reikalavimus ir turi reikiamus įgaliojimus tam vertinimui atlikti;</w:t>
      </w:r>
    </w:p>
    <w:p>
      <w:pPr>
        <w:pStyle w:val="Text1"/>
        <w:rPr>
          <w:noProof/>
        </w:rPr>
      </w:pPr>
      <w:r>
        <w:rPr>
          <w:noProof/>
        </w:rPr>
        <w:t>c) turi tinkamų žinių ir supranta 9 straipsnyje nustatytus reikalavimus;</w:t>
      </w:r>
    </w:p>
    <w:p>
      <w:pPr>
        <w:pStyle w:val="Text1"/>
        <w:rPr>
          <w:noProof/>
        </w:rPr>
      </w:pPr>
      <w:r>
        <w:rPr>
          <w:noProof/>
        </w:rPr>
        <w:t>d) geba rengti atitikties sertifikatus, įrašus ir ataskaitas, kuriais patvirtinama, kad vertinimas atliktas.</w:t>
      </w:r>
    </w:p>
    <w:p>
      <w:pPr>
        <w:pStyle w:val="Text1"/>
        <w:rPr>
          <w:noProof/>
        </w:rPr>
      </w:pPr>
      <w:r>
        <w:rPr>
          <w:noProof/>
        </w:rPr>
        <w:t>8. Užtikrinamas atitikties vertinimo įstaigų, jų aukščiausio lygio vadovų ir darbuotojų, atsakingų už atitikties vertinimo užduočių atlikimą, nešališkumas.</w:t>
      </w:r>
    </w:p>
    <w:p>
      <w:pPr>
        <w:pStyle w:val="Text1"/>
        <w:rPr>
          <w:noProof/>
        </w:rPr>
      </w:pPr>
      <w:r>
        <w:rPr>
          <w:noProof/>
        </w:rPr>
        <w:t>Atitikties vertinimo įstaigos aukščiausiojo lygio vadovų ir darbuotojų, atsakingų už atitikties vertinimo užduočių atlikimą, atlyginimas neturi priklausyti nuo atliktų vertinimų skaičiaus arba nuo jų rezultatų.</w:t>
      </w:r>
    </w:p>
    <w:p>
      <w:pPr>
        <w:pStyle w:val="Text1"/>
        <w:rPr>
          <w:noProof/>
        </w:rPr>
      </w:pPr>
      <w:r>
        <w:rPr>
          <w:noProof/>
        </w:rPr>
        <w:t>9. Atitikties vertinimo įstaigos apsidraudžia atsakomybės draudimu, išskyrus atvejus, kai atsakomybę pagal nacionalinės teisės aktus prisiima valstybė arba kai pati valstybė narė tiesiogiai atsako už atitikties vertinimą.</w:t>
      </w:r>
    </w:p>
    <w:p>
      <w:pPr>
        <w:pStyle w:val="Text1"/>
        <w:rPr>
          <w:noProof/>
        </w:rPr>
      </w:pPr>
      <w:r>
        <w:rPr>
          <w:noProof/>
        </w:rPr>
        <w:t>10. Atitikties vertinimo įstaigos darbuotojai laikosi profesinės paslapties reikalavimo, taikomo visai informacijai, kurią jie gauna atlikdami užduotis pagal 12 ir 13 straipsnius arba bet kurią nacionalinės teisės nuostatą, kuria šis reikalavimas įgyvendinamas, išskyrus atvejus, susijusius su valstybės narės, kurioje vykdoma veikla, kompetentingomis institucijomis. Nuosavybės teisės yra saugomos.</w:t>
      </w:r>
    </w:p>
    <w:p>
      <w:pPr>
        <w:pStyle w:val="Text1"/>
        <w:rPr>
          <w:noProof/>
        </w:rPr>
      </w:pPr>
      <w:r>
        <w:rPr>
          <w:noProof/>
        </w:rPr>
        <w:t>11. Atitikties vertinimo įstaigos dalyvauja atitinkamoje standartizacijos ir reguliavimo veikloje arba užtikrina, kad apie šią veiklą būtų informuoti vertinimą atliekantys jų darbuotojai.</w:t>
      </w:r>
    </w:p>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Nuoroda į ADR, RID ir ADN turi būti suprantama taip, kaip nustatyta Direktyvos 2008/68/EB 2 straipsnio 1–3 dalyse. Skaičiai, į kuriuos daroma nuoroda, reiškia atitinkamų ADR, RID ADN priedų numerius.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D67E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0C7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EB8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F82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2E7E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C166B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2670D2"/>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7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09:39: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2"/>
    <w:docVar w:name="LW_ANNEX_UNIQUE" w:val="0"/>
    <w:docVar w:name="LW_CORRIGENDUM" w:val="&lt;UNUSED&gt;"/>
    <w:docVar w:name="LW_COVERPAGE_EXISTS" w:val="True"/>
    <w:docVar w:name="LW_COVERPAGE_GUID" w:val="9AF40EA0-CEBD-466C-9612-2B848A0D9CCC"/>
    <w:docVar w:name="LW_COVERPAGE_TYPE" w:val="1"/>
    <w:docVar w:name="LW_CROSSREFERENCE" w:val="{SEC(2018) 231 final}_x000b_{SWD(2018) 183 final}_x000b_{SWD(2018) 184 final}"/>
    <w:docVar w:name="LW_DocType" w:val="ANNEX"/>
    <w:docVar w:name="LW_EMISSION" w:val="2018 05 17"/>
    <w:docVar w:name="LW_EMISSION_ISODATE" w:val="2018-05-17"/>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elektronin\u279?s krovini\u371? ve\u382?imo informacijos"/>
    <w:docVar w:name="LW_OBJETACTEPRINCIPAL.CP" w:val="d\u279?l elektronin\u279?s krovini\u371? ve\u382?imo informacijos"/>
    <w:docVar w:name="LW_PART_NBR" w:val="&lt;UNUSED&gt;"/>
    <w:docVar w:name="LW_PART_NBR_TOTAL" w:val="&lt;UNUSED&gt;"/>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 Europos Parlamento ir Tarybos reglamento"/>
    <w:docVar w:name="LW_TYPEACTEPRINCIPAL.CP" w:val="Pasi\u363?lymo d\u279?l 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EB208D-9E15-4D5B-A0BF-57CBDD0E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2250</Words>
  <Characters>15149</Characters>
  <Application>Microsoft Office Word</Application>
  <DocSecurity>0</DocSecurity>
  <Lines>946</Lines>
  <Paragraphs>223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10</cp:revision>
  <cp:lastPrinted>2018-05-15T17:22:00Z</cp:lastPrinted>
  <dcterms:created xsi:type="dcterms:W3CDTF">2018-06-01T15:46:00Z</dcterms:created>
  <dcterms:modified xsi:type="dcterms:W3CDTF">2018-06-04T07:39:00Z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