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D8DE4F4-4CB2-4B29-BDB5-6AD43B53678C" style="width:450.5pt;height:370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ANEXĂ </w:t>
      </w:r>
    </w:p>
    <w:p>
      <w:pPr>
        <w:jc w:val="center"/>
        <w:rPr>
          <w:b/>
          <w:noProof/>
        </w:rPr>
      </w:pPr>
      <w:r>
        <w:rPr>
          <w:b/>
          <w:noProof/>
        </w:rPr>
        <w:t>Indicatorii comuni de realizare și de rezultat privind cererile FEG</w:t>
      </w:r>
    </w:p>
    <w:p>
      <w:pPr>
        <w:rPr>
          <w:noProof/>
          <w:color w:val="000000" w:themeColor="text1"/>
        </w:rPr>
      </w:pPr>
      <w:r>
        <w:rPr>
          <w:noProof/>
          <w:color w:val="000000" w:themeColor="text1"/>
        </w:rPr>
        <w:t>Toate datele cu caracter personal</w:t>
      </w:r>
      <w:r>
        <w:rPr>
          <w:rStyle w:val="FootnoteReference"/>
          <w:noProof/>
          <w:color w:val="000000" w:themeColor="text1"/>
        </w:rPr>
        <w:footnoteReference w:id="2"/>
      </w:r>
      <w:r>
        <w:rPr>
          <w:noProof/>
          <w:color w:val="000000" w:themeColor="text1"/>
        </w:rPr>
        <w:t xml:space="preserve"> trebuie defalcate în funcție de sex (bărbați, femei, fără caracter binar).</w:t>
      </w:r>
    </w:p>
    <w:p>
      <w:pPr>
        <w:pStyle w:val="Point0number"/>
        <w:numPr>
          <w:ilvl w:val="0"/>
          <w:numId w:val="2"/>
        </w:numPr>
        <w:rPr>
          <w:noProof/>
          <w:color w:val="000000" w:themeColor="text1"/>
        </w:rPr>
      </w:pPr>
      <w:r>
        <w:rPr>
          <w:noProof/>
          <w:color w:val="000000" w:themeColor="text1"/>
        </w:rPr>
        <w:t>Indicatori comuni de realizare privind beneficiarii</w:t>
      </w:r>
    </w:p>
    <w:p>
      <w:pPr>
        <w:pStyle w:val="Tiret1"/>
        <w:numPr>
          <w:ilvl w:val="0"/>
          <w:numId w:val="3"/>
        </w:numPr>
        <w:rPr>
          <w:noProof/>
        </w:rPr>
      </w:pPr>
      <w:r>
        <w:rPr>
          <w:noProof/>
        </w:rPr>
        <w:t>șomeri*;</w:t>
      </w:r>
    </w:p>
    <w:p>
      <w:pPr>
        <w:pStyle w:val="Tiret1"/>
        <w:rPr>
          <w:noProof/>
        </w:rPr>
      </w:pPr>
      <w:r>
        <w:rPr>
          <w:noProof/>
        </w:rPr>
        <w:t>persoane inactive*;</w:t>
      </w:r>
    </w:p>
    <w:p>
      <w:pPr>
        <w:pStyle w:val="Tiret1"/>
        <w:rPr>
          <w:noProof/>
        </w:rPr>
      </w:pPr>
      <w:r>
        <w:rPr>
          <w:noProof/>
        </w:rPr>
        <w:t>angajați*;</w:t>
      </w:r>
    </w:p>
    <w:p>
      <w:pPr>
        <w:pStyle w:val="Tiret1"/>
        <w:rPr>
          <w:noProof/>
        </w:rPr>
      </w:pPr>
      <w:r>
        <w:rPr>
          <w:noProof/>
        </w:rPr>
        <w:t>persoane care desfășoară o activitate independentă*;</w:t>
      </w:r>
    </w:p>
    <w:p>
      <w:pPr>
        <w:pStyle w:val="Tiret1"/>
        <w:rPr>
          <w:noProof/>
        </w:rPr>
      </w:pPr>
      <w:r>
        <w:rPr>
          <w:noProof/>
        </w:rPr>
        <w:t>persoane cu vârsta sub 30 de ani*;</w:t>
      </w:r>
    </w:p>
    <w:p>
      <w:pPr>
        <w:pStyle w:val="Tiret1"/>
        <w:rPr>
          <w:noProof/>
        </w:rPr>
      </w:pPr>
      <w:r>
        <w:rPr>
          <w:noProof/>
        </w:rPr>
        <w:t>persoane cu vârsta peste 54 de ani*;</w:t>
      </w:r>
    </w:p>
    <w:p>
      <w:pPr>
        <w:pStyle w:val="Tiret1"/>
        <w:rPr>
          <w:noProof/>
        </w:rPr>
      </w:pPr>
      <w:r>
        <w:rPr>
          <w:noProof/>
        </w:rPr>
        <w:t>absolvenți de învățământ secundar inferior sau sub acest nivel (ISCED 0-2)*;</w:t>
      </w:r>
    </w:p>
    <w:p>
      <w:pPr>
        <w:pStyle w:val="Tiret1"/>
        <w:rPr>
          <w:noProof/>
        </w:rPr>
      </w:pPr>
      <w:r>
        <w:rPr>
          <w:noProof/>
        </w:rPr>
        <w:t>absolvenți de studii liceale (ISCED 3) sau postliceale (ISCED 4)*;</w:t>
      </w:r>
    </w:p>
    <w:p>
      <w:pPr>
        <w:pStyle w:val="Tiret1"/>
        <w:rPr>
          <w:noProof/>
        </w:rPr>
      </w:pPr>
      <w:r>
        <w:rPr>
          <w:noProof/>
        </w:rPr>
        <w:t>absolvenți de studii superioare (ISCED 5-8)*.</w:t>
      </w:r>
    </w:p>
    <w:p>
      <w:pPr>
        <w:rPr>
          <w:rFonts w:eastAsia="Times New Roman"/>
          <w:noProof/>
          <w:szCs w:val="24"/>
        </w:rPr>
      </w:pPr>
      <w:r>
        <w:rPr>
          <w:noProof/>
        </w:rPr>
        <w:t>Numărul total al beneficiarilor se calculează automat, pe baza indicatorilor comuni de realizare legați de statutul profesional</w:t>
      </w:r>
      <w:r>
        <w:rPr>
          <w:rStyle w:val="FootnoteReference"/>
          <w:noProof/>
        </w:rPr>
        <w:footnoteReference w:id="3"/>
      </w:r>
      <w:r>
        <w:rPr>
          <w:noProof/>
        </w:rPr>
        <w:t>.</w:t>
      </w:r>
    </w:p>
    <w:p>
      <w:pPr>
        <w:rPr>
          <w:noProof/>
          <w:color w:val="000000" w:themeColor="text1"/>
          <w:highlight w:val="yellow"/>
        </w:rPr>
      </w:pPr>
      <w:r>
        <w:rPr>
          <w:noProof/>
          <w:color w:val="000000" w:themeColor="text1"/>
        </w:rPr>
        <w:t>Aceste date privind beneficiarii care participă la măsurile cofinanțate din FEG trebuie să fie furnizate în raportul final, astfel cum se prevede la articolul</w:t>
      </w:r>
      <w:r>
        <w:rPr>
          <w:noProof/>
        </w:rPr>
        <w:t> </w:t>
      </w:r>
      <w:r>
        <w:rPr>
          <w:noProof/>
          <w:color w:val="000000" w:themeColor="text1"/>
        </w:rPr>
        <w:t>20 alineatul (1).</w:t>
      </w:r>
    </w:p>
    <w:p>
      <w:pPr>
        <w:pStyle w:val="Point0number"/>
        <w:numPr>
          <w:ilvl w:val="0"/>
          <w:numId w:val="2"/>
        </w:numPr>
        <w:rPr>
          <w:noProof/>
          <w:color w:val="000000" w:themeColor="text1"/>
        </w:rPr>
      </w:pPr>
      <w:r>
        <w:rPr>
          <w:noProof/>
          <w:color w:val="000000" w:themeColor="text1"/>
        </w:rPr>
        <w:t>Indicatori comuni de rezultat privind beneficiarii</w:t>
      </w:r>
    </w:p>
    <w:p>
      <w:pPr>
        <w:pStyle w:val="Tiret1"/>
        <w:rPr>
          <w:noProof/>
        </w:rPr>
      </w:pPr>
      <w:r>
        <w:rPr>
          <w:noProof/>
        </w:rPr>
        <w:t>procentul beneficiarilor FEG care au un loc de muncă (defalcați pe tip de contract de muncă: cu normă întreagă/cu fracțiune de normă, pe durată determinată/nedeterminată) și al celor care desfășoară o activitate independentă, după șase luni de la sfârșitul perioadei de punere în aplicare*;</w:t>
      </w:r>
    </w:p>
    <w:p>
      <w:pPr>
        <w:pStyle w:val="Tiret1"/>
        <w:rPr>
          <w:noProof/>
        </w:rPr>
      </w:pPr>
      <w:r>
        <w:rPr>
          <w:noProof/>
        </w:rPr>
        <w:t>procentul beneficiarilor FEG care au dobândit o calificare după șase luni de la sfârșitul perioadei de punere în aplicare*;</w:t>
      </w:r>
    </w:p>
    <w:p>
      <w:pPr>
        <w:pStyle w:val="Tiret1"/>
        <w:rPr>
          <w:noProof/>
        </w:rPr>
      </w:pPr>
      <w:r>
        <w:rPr>
          <w:noProof/>
        </w:rPr>
        <w:t>procentul beneficiarilor FEG care urmează studii sau cursuri de formare după șase luni de la sfârșitul perioadei de punere în aplicare*.</w:t>
      </w:r>
    </w:p>
    <w:p>
      <w:pPr>
        <w:rPr>
          <w:noProof/>
          <w:color w:val="000000" w:themeColor="text1"/>
        </w:rPr>
      </w:pPr>
      <w:r>
        <w:rPr>
          <w:noProof/>
          <w:color w:val="000000" w:themeColor="text1"/>
        </w:rPr>
        <w:t>Aceste date trebuie să fie furnizate în raportul final, astfel cum se prevede la articolul 20 alineatul (1), și să fie colectate prin intermediul datelor furnizate de către autoritățile competente din statul membru, precum și prin intermediul sondajelor realizate în rândul beneficiarilor [astfel cum se precizează la articolul 20 alineatul (1) litera (d)]. Datele respective trebuie să acopere numărul total calculat al beneficiarilor, raportat în conformitate cu indicatorii comuni de realizare (1). Astfel, procentele se referă, de asemenea, la acest număr total calculat.</w:t>
      </w:r>
    </w:p>
    <w:p>
      <w:pPr>
        <w:pStyle w:val="Point0number"/>
        <w:numPr>
          <w:ilvl w:val="0"/>
          <w:numId w:val="2"/>
        </w:numPr>
        <w:rPr>
          <w:noProof/>
          <w:color w:val="000000" w:themeColor="text1"/>
        </w:rPr>
      </w:pPr>
      <w:r>
        <w:rPr>
          <w:noProof/>
          <w:color w:val="000000" w:themeColor="text1"/>
        </w:rPr>
        <w:t>Indicatorul comun de rezultat pe termen mai lung privind beneficiarii</w:t>
      </w:r>
    </w:p>
    <w:p>
      <w:pPr>
        <w:pStyle w:val="Tiret1"/>
        <w:rPr>
          <w:noProof/>
        </w:rPr>
      </w:pPr>
      <w:r>
        <w:rPr>
          <w:noProof/>
        </w:rPr>
        <w:t>procentul beneficiarilor FEG care au un loc de muncă, inclusiv al celor care desfășoară o activitate independentă, după 18 luni de la sfârșitul perioadei de punere în aplicare specificate în decizia de finanțare*.</w:t>
      </w:r>
    </w:p>
    <w:p>
      <w:pPr>
        <w:rPr>
          <w:noProof/>
        </w:rPr>
      </w:pPr>
      <w:r>
        <w:rPr>
          <w:noProof/>
          <w:color w:val="000000" w:themeColor="text1"/>
        </w:rPr>
        <w:t xml:space="preserve">Aceste date trebuie să fie furnizate până la sfârșitul celei de a nouăsprezecea luni de la sfârșitul perioadei de punere în aplicare. Datele trebuie să acopere numărul total calculat al beneficiarilor, raportat în conformitate cu indicatorii comuni de realizare (1). Astfel, procentele se referă, de asemenea, la acest număr total calculat. Pentru cazurile de mai mare amploare, care acoperă mai mult de 1 000 de beneficiari, datele pot fi, de asemenea, colectate pe baza unui eșantion reprezentativ din numărul total al beneficiarilor raportat drept indicator de realizare (1).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Autoritățile de management trebuie să instituie un sistem care înregistrează și stochează datele individuale ale participanților în format electronic. Dispozițiile privind prelucrarea datelor puse în aplicare de statele membre trebuie să fie conforme cu dispozițiile Regulamentului (UE) 2016/679 al Parlamentului European și al Consiliului din 27 aprilie 2016 privind protecția persoanelor fizice în ceea ce privește prelucrarea datelor cu caracter personal și privind libera circulație a acestor date și de abrogare a Directivei 95/46/CE (JO L 119, 4.5.2016, p. 1), în special cu articolele 4, 6 și 9. Datele raportate în dreptul indicatorilor marcați cu simbolul „*” sunt date cu caracter personal, conform articolului 4 alineatul (1) din Regulamentul (UE) 2016/679. Prelucrarea lor este necesară în vederea îndeplinirii obligației legale care îi revine operatorului [articolul 6 alineatul (1) litera (c) din Regulamentul (UE) 2016/679].</w:t>
      </w:r>
    </w:p>
  </w:footnote>
  <w:footnote w:id="3">
    <w:p>
      <w:pPr>
        <w:pStyle w:val="FootnoteText"/>
        <w:rPr>
          <w:lang w:val="fr-BE"/>
        </w:rPr>
      </w:pPr>
      <w:r>
        <w:rPr>
          <w:rStyle w:val="FootnoteReference"/>
        </w:rPr>
        <w:footnoteRef/>
      </w:r>
      <w:r>
        <w:tab/>
        <w:t>Șomeri, persoane inactive, angajați, persoane care desfășoară o activitate independentă.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6A22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73496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C060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C890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4804D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BCB81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7624F7E"/>
    <w:lvl w:ilvl="0">
      <w:start w:val="1"/>
      <w:numFmt w:val="decimal"/>
      <w:pStyle w:val="ListNumber"/>
      <w:lvlText w:val="%1."/>
      <w:lvlJc w:val="left"/>
      <w:pPr>
        <w:tabs>
          <w:tab w:val="num" w:pos="360"/>
        </w:tabs>
        <w:ind w:left="360" w:hanging="360"/>
      </w:pPr>
    </w:lvl>
  </w:abstractNum>
  <w:abstractNum w:abstractNumId="7">
    <w:nsid w:val="FFFFFF89"/>
    <w:multiLevelType w:val="singleLevel"/>
    <w:tmpl w:val="43F0B4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20:55: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1D8DE4F4-4CB2-4B29-BDB5-6AD43B53678C"/>
    <w:docVar w:name="LW_COVERPAGE_TYPE" w:val="1"/>
    <w:docVar w:name="LW_CROSSREFERENCE" w:val="&lt;UNUSED&gt;"/>
    <w:docVar w:name="LW_DocType" w:val="ANNEX"/>
    <w:docVar w:name="LW_EMISSION" w:val="30.5.2018"/>
    <w:docVar w:name="LW_EMISSION_ISODATE" w:val="2018-05-30"/>
    <w:docVar w:name="LW_EMISSION_LOCATION" w:val="BRX"/>
    <w:docVar w:name="LW_EMISSION_PREFIX" w:val="Bruxelles,"/>
    <w:docVar w:name="LW_EMISSION_SUFFIX" w:val="&lt;EMPTY&gt;"/>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 privind Fondul european de ajustare la globalizare (FEG)"/>
    <w:docVar w:name="LW_OBJETACTEPRINCIPAL.CP" w:val=" privind Fondul european de ajustare la globalizare (FEG)"/>
    <w:docVar w:name="LW_PART_NBR" w:val="1"/>
    <w:docVar w:name="LW_PART_NBR_TOTAL" w:val="1"/>
    <w:docVar w:name="LW_REF.INST.NEW" w:val="COM"/>
    <w:docVar w:name="LW_REF.INST.NEW_ADOPTED" w:val="final"/>
    <w:docVar w:name="LW_REF.INST.NEW_TEXT" w:val="(2018) 3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u258?"/>
    <w:docVar w:name="LW_TYPE.DOC.CP" w:val="ANEX\u258?"/>
    <w:docVar w:name="LW_TYPEACTEPRINCIPAL" w:val="propunerea de Regulament al Parlamentului European \u537?i al Consiliului"/>
    <w:docVar w:name="LW_TYPEACTEPRINCIPAL.CP" w:val="propunerea de Regulament al Parlamentului European \u537?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0FA0-0860-45D9-9DAD-C81ACAB0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Pages>
  <Words>433</Words>
  <Characters>2512</Characters>
  <Application>Microsoft Office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Gabriela (EMPL)</dc:creator>
  <cp:lastModifiedBy>DIGIT/A3</cp:lastModifiedBy>
  <cp:revision>7</cp:revision>
  <dcterms:created xsi:type="dcterms:W3CDTF">2018-06-04T09:12:00Z</dcterms:created>
  <dcterms:modified xsi:type="dcterms:W3CDTF">2018-06-04T18:55:00Z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