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319A5315-2C47-4E0C-A87E-DC5DE37EA72A" style="width:450.75pt;height:369.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PRIEDAS </w:t>
      </w:r>
    </w:p>
    <w:p>
      <w:pPr>
        <w:jc w:val="center"/>
        <w:rPr>
          <w:b/>
          <w:noProof/>
        </w:rPr>
      </w:pPr>
      <w:r>
        <w:rPr>
          <w:b/>
          <w:noProof/>
        </w:rPr>
        <w:t>Bendrieji EGF paraiškų produkto ir rezultato rodikliai</w:t>
      </w:r>
    </w:p>
    <w:p>
      <w:pPr>
        <w:rPr>
          <w:noProof/>
          <w:color w:val="000000" w:themeColor="text1"/>
        </w:rPr>
      </w:pPr>
      <w:r>
        <w:rPr>
          <w:noProof/>
          <w:color w:val="000000" w:themeColor="text1"/>
        </w:rPr>
        <w:t>Visi asmens duomenys</w:t>
      </w:r>
      <w:r>
        <w:rPr>
          <w:rStyle w:val="FootnoteReference"/>
          <w:noProof/>
          <w:color w:val="000000" w:themeColor="text1"/>
        </w:rPr>
        <w:footnoteReference w:id="2"/>
      </w:r>
      <w:r>
        <w:rPr>
          <w:noProof/>
          <w:color w:val="000000" w:themeColor="text1"/>
        </w:rPr>
        <w:t xml:space="preserve"> turi būti suskirstyti pagal lytį (moterys, vyrai, nedvinarės tapatybės asmenys)</w:t>
      </w:r>
    </w:p>
    <w:p>
      <w:pPr>
        <w:pStyle w:val="Point0number"/>
        <w:numPr>
          <w:ilvl w:val="0"/>
          <w:numId w:val="2"/>
        </w:numPr>
        <w:rPr>
          <w:noProof/>
          <w:color w:val="000000" w:themeColor="text1"/>
        </w:rPr>
      </w:pPr>
      <w:r>
        <w:rPr>
          <w:noProof/>
          <w:color w:val="000000" w:themeColor="text1"/>
        </w:rPr>
        <w:t>Bendrieji produkto rodikliai, taikomi paramos gavėjams</w:t>
      </w:r>
    </w:p>
    <w:p>
      <w:pPr>
        <w:pStyle w:val="Tiret1"/>
        <w:numPr>
          <w:ilvl w:val="0"/>
          <w:numId w:val="3"/>
        </w:numPr>
        <w:rPr>
          <w:noProof/>
        </w:rPr>
      </w:pPr>
      <w:r>
        <w:rPr>
          <w:noProof/>
        </w:rPr>
        <w:t>bedarbiai*,</w:t>
      </w:r>
    </w:p>
    <w:p>
      <w:pPr>
        <w:pStyle w:val="Tiret1"/>
        <w:rPr>
          <w:noProof/>
        </w:rPr>
      </w:pPr>
      <w:r>
        <w:rPr>
          <w:noProof/>
        </w:rPr>
        <w:t>neaktyvūs asmenys*,</w:t>
      </w:r>
    </w:p>
    <w:p>
      <w:pPr>
        <w:pStyle w:val="Tiret1"/>
        <w:rPr>
          <w:noProof/>
        </w:rPr>
      </w:pPr>
      <w:r>
        <w:rPr>
          <w:noProof/>
        </w:rPr>
        <w:t>samdomi darbuotojai*,</w:t>
      </w:r>
    </w:p>
    <w:p>
      <w:pPr>
        <w:pStyle w:val="Tiret1"/>
        <w:rPr>
          <w:noProof/>
        </w:rPr>
      </w:pPr>
      <w:r>
        <w:rPr>
          <w:noProof/>
        </w:rPr>
        <w:t>savarankiškai dirbantys asmenys*,</w:t>
      </w:r>
    </w:p>
    <w:p>
      <w:pPr>
        <w:pStyle w:val="Tiret1"/>
        <w:rPr>
          <w:noProof/>
        </w:rPr>
      </w:pPr>
      <w:r>
        <w:rPr>
          <w:noProof/>
        </w:rPr>
        <w:t>jaunesni nei 30 metų asmenys*,</w:t>
      </w:r>
    </w:p>
    <w:p>
      <w:pPr>
        <w:pStyle w:val="Tiret1"/>
        <w:rPr>
          <w:noProof/>
        </w:rPr>
      </w:pPr>
      <w:r>
        <w:rPr>
          <w:noProof/>
        </w:rPr>
        <w:t>vyresni nei 54 metų asmenys*,</w:t>
      </w:r>
    </w:p>
    <w:p>
      <w:pPr>
        <w:pStyle w:val="Tiret1"/>
        <w:rPr>
          <w:noProof/>
        </w:rPr>
      </w:pPr>
      <w:r>
        <w:rPr>
          <w:noProof/>
        </w:rPr>
        <w:t>asmenys, turintys pagrindinį arba žemesnį (ISCED 0–2) išsilavinimą*,</w:t>
      </w:r>
    </w:p>
    <w:p>
      <w:pPr>
        <w:pStyle w:val="Tiret1"/>
        <w:rPr>
          <w:noProof/>
        </w:rPr>
      </w:pPr>
      <w:r>
        <w:rPr>
          <w:noProof/>
        </w:rPr>
        <w:t>asmenys, turintys vidurinį (ISCED 3) arba aukštesnįjį (ISCED 4) išsilavinimą*,</w:t>
      </w:r>
    </w:p>
    <w:p>
      <w:pPr>
        <w:pStyle w:val="Tiret1"/>
        <w:rPr>
          <w:noProof/>
        </w:rPr>
      </w:pPr>
      <w:r>
        <w:rPr>
          <w:noProof/>
        </w:rPr>
        <w:t>asmenys, turintys aukštąjį (ISCED 5–8) išsilavinimą*.</w:t>
      </w:r>
    </w:p>
    <w:p>
      <w:pPr>
        <w:rPr>
          <w:rFonts w:eastAsia="Times New Roman"/>
          <w:noProof/>
          <w:szCs w:val="24"/>
        </w:rPr>
      </w:pPr>
      <w:r>
        <w:rPr>
          <w:noProof/>
        </w:rPr>
        <w:t>Bendras paramos gavėjų skaičius apskaičiuojamas automatiškai, remiantis bendraisiais su užimtumo statusu</w:t>
      </w:r>
      <w:r>
        <w:rPr>
          <w:rStyle w:val="FootnoteReference"/>
          <w:noProof/>
        </w:rPr>
        <w:footnoteReference w:id="3"/>
      </w:r>
      <w:r>
        <w:rPr>
          <w:noProof/>
        </w:rPr>
        <w:t xml:space="preserve"> susijusiais produkto rodikliais.</w:t>
      </w:r>
    </w:p>
    <w:p>
      <w:pPr>
        <w:rPr>
          <w:noProof/>
          <w:color w:val="000000" w:themeColor="text1"/>
          <w:highlight w:val="yellow"/>
        </w:rPr>
      </w:pPr>
      <w:r>
        <w:rPr>
          <w:noProof/>
          <w:color w:val="000000" w:themeColor="text1"/>
        </w:rPr>
        <w:t>Šie duomenys apie paramos gavėjus, dalyvaujančius EGF bendrai finansuojamose priemonėse, teikiami galutinėje ataskaitoje, kaip nurodyta</w:t>
      </w:r>
      <w:r>
        <w:rPr>
          <w:noProof/>
        </w:rPr>
        <w:t> </w:t>
      </w:r>
      <w:r>
        <w:rPr>
          <w:noProof/>
          <w:color w:val="000000" w:themeColor="text1"/>
        </w:rPr>
        <w:t>20 straipsnio 1 dalyje.</w:t>
      </w:r>
    </w:p>
    <w:p>
      <w:pPr>
        <w:pStyle w:val="Point0number"/>
        <w:numPr>
          <w:ilvl w:val="0"/>
          <w:numId w:val="2"/>
        </w:numPr>
        <w:rPr>
          <w:noProof/>
          <w:color w:val="000000" w:themeColor="text1"/>
        </w:rPr>
      </w:pPr>
      <w:r>
        <w:rPr>
          <w:noProof/>
          <w:color w:val="000000" w:themeColor="text1"/>
        </w:rPr>
        <w:t>Bendrieji rezultato rodikliai, taikomi paramos gavėjams</w:t>
      </w:r>
    </w:p>
    <w:p>
      <w:pPr>
        <w:pStyle w:val="Tiret1"/>
        <w:rPr>
          <w:noProof/>
        </w:rPr>
      </w:pPr>
      <w:r>
        <w:rPr>
          <w:noProof/>
        </w:rPr>
        <w:t>įsidarbinusių arba pradėjusių dirbti savarankiškai EGF paramos gavėjų procentinė dalis (suskirstyta pagal darbo sutarties tipą: viso darbo laiko/ne viso darbo laiko, terminuota/neterminuota) praėjus šešiems mėnesiams po įgyvendinimo laikotarpio pabaigos*,</w:t>
      </w:r>
    </w:p>
    <w:p>
      <w:pPr>
        <w:pStyle w:val="Tiret1"/>
        <w:rPr>
          <w:noProof/>
        </w:rPr>
      </w:pPr>
      <w:r>
        <w:rPr>
          <w:noProof/>
        </w:rPr>
        <w:t>kvalifikaciją įgijusių EGF paramos gavėjų procentinė dalis praėjus šešiems mėnesiams po įgyvendinimo laikotarpio pabaigos*,</w:t>
      </w:r>
    </w:p>
    <w:p>
      <w:pPr>
        <w:pStyle w:val="Tiret1"/>
        <w:rPr>
          <w:noProof/>
        </w:rPr>
      </w:pPr>
      <w:r>
        <w:rPr>
          <w:noProof/>
        </w:rPr>
        <w:t>švietimo ar mokymo programose dalyvaujančių EGF paramos gavėjų procentinė dalis praėjus šešiems mėnesiams po įgyvendinimo laikotarpio pabaigos*.</w:t>
      </w:r>
    </w:p>
    <w:p>
      <w:pPr>
        <w:rPr>
          <w:noProof/>
          <w:color w:val="000000" w:themeColor="text1"/>
        </w:rPr>
      </w:pPr>
      <w:r>
        <w:rPr>
          <w:noProof/>
          <w:color w:val="000000" w:themeColor="text1"/>
        </w:rPr>
        <w:t xml:space="preserve">Šie duomenys turi būti pateikti galutinėje ataskaitoje, kaip nurodyta 20 straipsnio 1 dalyje, ir renkami iš valstybių narių kompetentingų valdžios institucijų pateikiamų duomenų ir iš paramos gavėjų apklausų duomenų (kaip nurodyta 20 straipsnio 1 dalies d punkte). Šie duomenys turi apimti apskaičiuotą bendrą paramos gavėjų skaičių, nurodytą pagal </w:t>
      </w:r>
      <w:r>
        <w:rPr>
          <w:noProof/>
          <w:color w:val="000000" w:themeColor="text1"/>
        </w:rPr>
        <w:lastRenderedPageBreak/>
        <w:t>bendruosius produkto rodiklius (1). Taigi procentinės dalys taip pat turi būti susijusios su šiuo bendru skaičiumi.</w:t>
      </w:r>
    </w:p>
    <w:p>
      <w:pPr>
        <w:pStyle w:val="Point0number"/>
        <w:numPr>
          <w:ilvl w:val="0"/>
          <w:numId w:val="2"/>
        </w:numPr>
        <w:rPr>
          <w:noProof/>
          <w:color w:val="000000" w:themeColor="text1"/>
        </w:rPr>
      </w:pPr>
      <w:r>
        <w:rPr>
          <w:noProof/>
          <w:color w:val="000000" w:themeColor="text1"/>
        </w:rPr>
        <w:t>Bendrieji ilgalaikiai rezultato rodikliai, taikomi paramos gavėjams</w:t>
      </w:r>
    </w:p>
    <w:p>
      <w:pPr>
        <w:pStyle w:val="Tiret1"/>
        <w:rPr>
          <w:noProof/>
        </w:rPr>
      </w:pPr>
      <w:r>
        <w:rPr>
          <w:noProof/>
        </w:rPr>
        <w:t>įsidarbinusių arba pradėjusių dirbti savarankiškai EGF paramos gavėjų procentinė dalis praėjus 18 mėnesių po sprendime dėl finansinės paramos teikimo nurodyto įgyvendinimo laikotarpio pabaigos*.</w:t>
      </w:r>
    </w:p>
    <w:p>
      <w:pPr>
        <w:rPr>
          <w:noProof/>
        </w:rPr>
      </w:pPr>
      <w:r>
        <w:rPr>
          <w:noProof/>
          <w:color w:val="000000" w:themeColor="text1"/>
        </w:rPr>
        <w:t xml:space="preserve">Šie duomenys turi būti pateikti ne vėliau kaip iki devyniolikto mėnesio pabaigos, skaičiuojant nuo įgyvendinimo laikotarpio pabaigos. Šie duomenys turėtų apimti apskaičiuotą bendrą paramos gavėjų skaičių, nurodytą pagal bendruosius produkto rodiklius (1). Taigi procentinės dalys taip pat turi būti susijusios su šiuo bendru skaičiumi. Tais atvejais, kai yra daugiau kaip 1 000 paramos gavėjų, duomenis galima rinkti remiantis reprezentatyviąja bendro paramos gavėjų skaičiaus, nurodyto pagal bendrąjį produkto rodiklį (1), imtimi. </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Vadovaujančiosios institucijos nustato sistemą, skirtą pavienių dalyvių duomenų fiksavimui ir saugojimui skaitmenine forma. Valstybių narių nustatyta duomenų tvarkymo tvarka turi atitikti 2016 m. balandžio 27 d. Europos Parlamento ir Tarybos reglamento (ES) 2016/679 dėl fizinių asmenų apsaugos tvarkant asmens duomenis ir dėl laisvo tokių duomenų judėjimo ir kuriuo panaikinama Direktyva 95/46/EB (OL L 119, 2016 5 4, p. 1) nuostatas, visų pirma 4, 6 ir 9 straipsnius. Duomenys, teikiami ženklu * pažymėtiems rodikliams, yra asmens duomenys pagal Reglamento (ES) 2016/679 4 straipsnio 1 dalį. Tvarkant tokius duomenis būtina laikytis duomenų valdytojui privalomos teisinės prievolės (Reglamento (ES) 2016/679 6 straipsnio 1 dalies c punktas).</w:t>
      </w:r>
    </w:p>
  </w:footnote>
  <w:footnote w:id="3">
    <w:p>
      <w:pPr>
        <w:pStyle w:val="FootnoteText"/>
      </w:pPr>
      <w:r>
        <w:rPr>
          <w:rStyle w:val="FootnoteReference"/>
        </w:rPr>
        <w:footnoteRef/>
      </w:r>
      <w:r>
        <w:tab/>
        <w:t>Bedarbiai, neaktyvūs, pagal darbo sutartį dirbantys ir savarankiškai dirbantys asmenys.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46A222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7349648"/>
    <w:lvl w:ilvl="0">
      <w:start w:val="1"/>
      <w:numFmt w:val="decimal"/>
      <w:pStyle w:val="ListNumber3"/>
      <w:lvlText w:val="%1."/>
      <w:lvlJc w:val="left"/>
      <w:pPr>
        <w:tabs>
          <w:tab w:val="num" w:pos="926"/>
        </w:tabs>
        <w:ind w:left="926" w:hanging="360"/>
      </w:pPr>
    </w:lvl>
  </w:abstractNum>
  <w:abstractNum w:abstractNumId="2">
    <w:nsid w:val="FFFFFF7F"/>
    <w:multiLevelType w:val="singleLevel"/>
    <w:tmpl w:val="84C060B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0C8900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4804D6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8BCB81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7624F7E"/>
    <w:lvl w:ilvl="0">
      <w:start w:val="1"/>
      <w:numFmt w:val="decimal"/>
      <w:pStyle w:val="ListNumber"/>
      <w:lvlText w:val="%1."/>
      <w:lvlJc w:val="left"/>
      <w:pPr>
        <w:tabs>
          <w:tab w:val="num" w:pos="360"/>
        </w:tabs>
        <w:ind w:left="360" w:hanging="360"/>
      </w:pPr>
    </w:lvl>
  </w:abstractNum>
  <w:abstractNum w:abstractNumId="7">
    <w:nsid w:val="FFFFFF89"/>
    <w:multiLevelType w:val="singleLevel"/>
    <w:tmpl w:val="43F0B46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num>
  <w:num w:numId="4">
    <w:abstractNumId w:val="7"/>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4 20:48:1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prie"/>
    <w:docVar w:name="LW_ACCOMPAGNANT.CP" w:val="prie"/>
    <w:docVar w:name="LW_ANNEX_NBR_FIRST" w:val="1"/>
    <w:docVar w:name="LW_ANNEX_NBR_LAST" w:val="1"/>
    <w:docVar w:name="LW_ANNEX_UNIQUE" w:val="1"/>
    <w:docVar w:name="LW_CORRIGENDUM" w:val="&lt;UNUSED&gt;"/>
    <w:docVar w:name="LW_COVERPAGE_EXISTS" w:val="True"/>
    <w:docVar w:name="LW_COVERPAGE_GUID" w:val="319A5315-2C47-4E0C-A87E-DC5DE37EA72A"/>
    <w:docVar w:name="LW_COVERPAGE_TYPE" w:val="1"/>
    <w:docVar w:name="LW_CROSSREFERENCE" w:val="&lt;UNUSED&gt;"/>
    <w:docVar w:name="LW_DocType" w:val="ANNEX"/>
    <w:docVar w:name="LW_EMISSION" w:val="2018 05 30"/>
    <w:docVar w:name="LW_EMISSION_ISODATE" w:val="2018-05-30"/>
    <w:docVar w:name="LW_EMISSION_LOCATION" w:val="BRX"/>
    <w:docVar w:name="LW_EMISSION_PREFIX" w:val="Briuselis,"/>
    <w:docVar w:name="LW_EMISSION_SUFFIX" w:val="&lt;EMPTY&gt;"/>
    <w:docVar w:name="LW_ID_DOCSTRUCTURE" w:val="COM/ANNEX"/>
    <w:docVar w:name="LW_ID_DOCTYPE" w:val="SG-017"/>
    <w:docVar w:name="LW_LANGUE" w:val="LT"/>
    <w:docVar w:name="LW_LEVEL_OF_SENSITIVITY" w:val="Standard treatment"/>
    <w:docVar w:name="LW_NOM.INST" w:val="EUROPOS KOMISIJA"/>
    <w:docVar w:name="LW_NOM.INST_JOINTDOC" w:val="&lt;EMPTY&gt;"/>
    <w:docVar w:name="LW_OBJETACTEPRINCIPAL" w:val="d\u279?l Europos prisitaikymo prie globalizacijos padarini\u371? fondo (EGF)"/>
    <w:docVar w:name="LW_OBJETACTEPRINCIPAL.CP" w:val="d\u279?l Europos prisitaikymo prie globalizacijos padarini\u371? fondo (EGF)"/>
    <w:docVar w:name="LW_PART_NBR" w:val="1"/>
    <w:docVar w:name="LW_PART_NBR_TOTAL" w:val="1"/>
    <w:docVar w:name="LW_REF.INST.NEW" w:val="COM"/>
    <w:docVar w:name="LW_REF.INST.NEW_ADOPTED" w:val="final"/>
    <w:docVar w:name="LW_REF.INST.NEW_TEXT" w:val="(2018) 3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IEDAS"/>
    <w:docVar w:name="LW_TYPE.DOC.CP" w:val="PRIEDAS"/>
    <w:docVar w:name="LW_TYPEACTEPRINCIPAL" w:val="pasi\u363?lymo d\u279?l Europos Parlamento ir Tarybos reglamento"/>
    <w:docVar w:name="LW_TYPEACTEPRINCIPAL.CP" w:val="pasi\u363?lymo d\u279?l Europos Parlamento ir Tarybos reglament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3</Pages>
  <Words>334</Words>
  <Characters>2382</Characters>
  <Application>Microsoft Office Word</Application>
  <DocSecurity>0</DocSecurity>
  <Lines>45</Lines>
  <Paragraphs>25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 Gabriela (EMPL)</dc:creator>
  <cp:lastModifiedBy>DIGIT/A3</cp:lastModifiedBy>
  <cp:revision>7</cp:revision>
  <dcterms:created xsi:type="dcterms:W3CDTF">2018-06-04T11:36:00Z</dcterms:created>
  <dcterms:modified xsi:type="dcterms:W3CDTF">2018-06-04T18:48:00Z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