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6F6EADC0-4BDE-4A35-84F1-6ADA34FCFA10" style="width:450.8pt;height:393.2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KONTEXT NÁVRHU</w:t>
      </w:r>
    </w:p>
    <w:p>
      <w:pPr>
        <w:rPr>
          <w:noProof/>
        </w:rPr>
      </w:pPr>
      <w:r>
        <w:rPr>
          <w:noProof/>
        </w:rPr>
        <w:t>V tomto návrhu sa stanovuje dátum uplatňovania od 1. januára 2021 a tento návrh sa predkladá pre Úniu zloženú z 27 členských štátov v súlade s oznámením Spojeného kráľovstva o jeho úmysle vystúpiť z Európskej únie a Euratomu na základe článku 50 Zmluvy o Európskej únii, ktoré bolo doručené Európskej rade 29. marca 2017.</w:t>
      </w:r>
    </w:p>
    <w:p>
      <w:pPr>
        <w:rPr>
          <w:noProof/>
        </w:rPr>
      </w:pPr>
      <w:r>
        <w:rPr>
          <w:rStyle w:val="Strong"/>
          <w:b w:val="0"/>
          <w:noProof/>
        </w:rPr>
        <w:t xml:space="preserve">Program Pericles je výmenný, pomocný a školiaci program na ochranu eura proti falšovaniu. </w:t>
      </w:r>
      <w:r>
        <w:rPr>
          <w:noProof/>
        </w:rPr>
        <w:t>Program bol zriadený na základe rozhodnutia Rady 2001/923/ES zo 17. decembra 2001 a jeho účinky sa rozšírili na členské štáty EÚ, ktoré neprijali euro ako svoju menu, na základe rozhodnutia Rady 2001/924/ES zo 17. decembra 2001. Následnými zmenami týchto základných aktov rozhodnutiami Rady 2006/75/ES, 2006/76/ES, 2006/849/ES, 2006/850/ES, nariadením (EÚ) č. 331/2014 a nariadením Rady (EÚ) 2015/768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sa trvanie programu predĺžilo do 31. decembra 2020.</w:t>
      </w:r>
    </w:p>
    <w:p>
      <w:pPr>
        <w:rPr>
          <w:noProof/>
        </w:rPr>
      </w:pPr>
      <w:r>
        <w:rPr>
          <w:noProof/>
        </w:rPr>
        <w:t>Komisia vo svojom návrhu [COM(2018) 369] navrhuje na základe článku 133 ZFEÚ, aby program Pericles pokračoval v medziach viacročného finančného rámca po roku 2020.</w:t>
      </w:r>
    </w:p>
    <w:p>
      <w:pPr>
        <w:rPr>
          <w:noProof/>
        </w:rPr>
      </w:pPr>
      <w:r>
        <w:rPr>
          <w:noProof/>
        </w:rPr>
        <w:t>V článku 139 Zmluvy o fungovaní Európskej únie sa stanovuje, že opatrenia vzťahujúce sa na používanie eura uvedené v jej článku 133 sa neuplatňujú na členské štáty, pre ktoré platí výnimka.</w:t>
      </w:r>
    </w:p>
    <w:p>
      <w:pPr>
        <w:rPr>
          <w:noProof/>
        </w:rPr>
      </w:pPr>
      <w:r>
        <w:rPr>
          <w:noProof/>
        </w:rPr>
        <w:t>Výmena informácií a personálu, podpora a odborné školenia v rámci programu Pericles by však mali byť v celej Únii jednotné, a preto by sa mali prijať nevyhnutné opatrenia, aby sa zabezpečila rovnaká úroveň ochrany eura v členských štátoch, ktoré nemajú euro ako svoju úradnú menu. Aktívna úloha nezúčastnených členských štátov je v rámci súčasného predĺženia programu Pericles 2020 relevantná a významná. Chorvátska národná banka napríklad zorganizovala sériu konferencií s názvom „Balkánska sieť na ochranu eura“, na ktorých sa stretli odborníci z juhovýchodnej Európy s cieľom posilniť ochranu eura proti falšovaniu v tejto oblasti, ktorá je známa distribúciou a výrobou falzifikátov eura.</w:t>
      </w:r>
    </w:p>
    <w:p>
      <w:pPr>
        <w:rPr>
          <w:noProof/>
        </w:rPr>
      </w:pPr>
      <w:r>
        <w:rPr>
          <w:noProof/>
        </w:rPr>
        <w:t>Týmto návrhom by sa mal program Pericles rozšíriť na členské štáty Európskej únie, ktoré ešte nepoužívajú euro ako svoju jednotnú menu.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PRÁVNY ZÁKLAD, SUBSIDIARITA A PROPORCIONALITA</w:t>
      </w:r>
    </w:p>
    <w:p>
      <w:pPr>
        <w:pStyle w:val="Bullet0"/>
        <w:numPr>
          <w:ilvl w:val="0"/>
          <w:numId w:val="14"/>
        </w:numPr>
        <w:rPr>
          <w:noProof/>
        </w:rPr>
      </w:pPr>
      <w:r>
        <w:rPr>
          <w:b/>
          <w:noProof/>
        </w:rPr>
        <w:t>Právny základ</w:t>
      </w:r>
    </w:p>
    <w:p>
      <w:pPr>
        <w:rPr>
          <w:noProof/>
        </w:rPr>
      </w:pPr>
      <w:r>
        <w:rPr>
          <w:noProof/>
        </w:rPr>
        <w:t>Právne predpisy Únie týkajúce sa ochrany eura proti falšovaniu patria do rozsahu pôsobnosti článku 133 Zmluvy o fungovaní Európskej únie (ZFEÚ). V tomto ustanovení sa uvádza, že Európsky parlament a Rada, konajúc v súlade s riadnym legislatívnym postupom po porade s Európskou centrálnou bankou, stanovia opatrenia potrebné na používanie eura ako jednotnej meny. Toto ustanovenie sa vzťahuje len na členské štáty, ktoré prijali euro ako svoju jednotnú menu.</w:t>
      </w:r>
    </w:p>
    <w:p>
      <w:pPr>
        <w:rPr>
          <w:noProof/>
        </w:rPr>
      </w:pPr>
      <w:r>
        <w:rPr>
          <w:noProof/>
        </w:rPr>
        <w:t>Tento návrh je založený na článku 352 ZFEÚ, ktorý je právnym základom pre rozšírenie uplatňovania programu Pericles na členské štáty, ktoré neprijali euro ako svoju jednotnú menu.</w:t>
      </w:r>
    </w:p>
    <w:p>
      <w:pPr>
        <w:pStyle w:val="Bullet0"/>
        <w:numPr>
          <w:ilvl w:val="0"/>
          <w:numId w:val="14"/>
        </w:numPr>
        <w:rPr>
          <w:b/>
          <w:noProof/>
        </w:rPr>
      </w:pPr>
      <w:r>
        <w:rPr>
          <w:b/>
          <w:noProof/>
        </w:rPr>
        <w:t>Subsidiarita (v prípade inej ako výlučnej právomoci)</w:t>
      </w:r>
    </w:p>
    <w:p>
      <w:pPr>
        <w:rPr>
          <w:noProof/>
        </w:rPr>
      </w:pPr>
      <w:r>
        <w:rPr>
          <w:noProof/>
        </w:rPr>
        <w:t>Návrh je v súlade so zásadou subsidiarity. Ochrana jednotnej európskej meny ako verejného statku sa vyznačuje jasným nadnárodným rozmerom a ochrana eura preto presahuje záujem a zodpovednosť jednotlivých členských štátov EÚ. Vzhľadom na cezhraničný obeh eura a rozsiahle zapojenie medzinárodnej organizovanej trestnej činnosti v oblasti falšovania eura (výroba aj distribúcia) sa národné rámce ochrany musia doplniť o iniciatívu EÚ s cieľom zabezpečiť homogénnu vnútroštátnu a medzinárodnú spoluprácu a reagovať na prípadné nové nadnárodné riziká.</w:t>
      </w:r>
    </w:p>
    <w:p>
      <w:pPr>
        <w:pStyle w:val="Bullet0"/>
        <w:rPr>
          <w:b/>
          <w:noProof/>
        </w:rPr>
      </w:pPr>
      <w:r>
        <w:rPr>
          <w:b/>
          <w:noProof/>
        </w:rPr>
        <w:t>Proporcionalita</w:t>
      </w:r>
    </w:p>
    <w:p>
      <w:pPr>
        <w:pStyle w:val="Bullet0"/>
        <w:rPr>
          <w:b/>
          <w:noProof/>
          <w:sz w:val="23"/>
        </w:rPr>
      </w:pPr>
      <w:r>
        <w:rPr>
          <w:noProof/>
        </w:rPr>
        <w:t xml:space="preserve">Navrhované nariadenie je potrebné, vhodné a primerané na dosiahnutie želaného cieľa. </w:t>
      </w:r>
      <w:r>
        <w:rPr>
          <w:noProof/>
          <w:color w:val="000000"/>
        </w:rPr>
        <w:t>Navrhuje sa v ňom efektívne posilniť spolupráca medzi členskými štátmi a tiež medzi Komisiou a členskými štátmi bez toho, aby sa obmedzila schopnosť členských štátov chrániť euro pred falšovaním. Akcia na úrovni Únie je nevyhnutná, pretože jednoznačne pomáha členským štátom pri spoločnej ochrane eura a podporuje využívanie spoločných štruktúr Únie s cieľom zvýšiť spoluprácu a výmenu informácií medzi príslušnými orgánmi</w:t>
      </w:r>
      <w:r>
        <w:rPr>
          <w:rStyle w:val="FootnoteReference"/>
          <w:noProof/>
          <w:color w:val="000000"/>
        </w:rPr>
        <w:footnoteReference w:id="2"/>
      </w:r>
      <w:r>
        <w:rPr>
          <w:noProof/>
          <w:color w:val="000000"/>
        </w:rPr>
        <w:t>.</w:t>
      </w:r>
      <w:r>
        <w:rPr>
          <w:b/>
          <w:noProof/>
        </w:rPr>
        <w:t>Výber nástroja</w:t>
      </w:r>
    </w:p>
    <w:p>
      <w:pPr>
        <w:rPr>
          <w:noProof/>
        </w:rPr>
      </w:pPr>
      <w:r>
        <w:rPr>
          <w:noProof/>
        </w:rPr>
        <w:t>Za vhodný právny nástroj na vymedzenie rámca na ochranu eura proti falšovaniu sa považuje nariadenie. Plynule to nadväzuje na nariadenie Rady (EÚ) 2015/768 z 11. mája 2015 o rozšírení uplatňovania nariadenia Európskeho parlamentu a Rady (EÚ) č. 331/2014 o vytvorení výmenného, pomocného a školiaceho programu na ochranu eura proti falšovaniu (program „Pericles 2020“) na nezúčastnené členské štáty.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HODNOTENÍ </w:t>
      </w:r>
      <w:r>
        <w:rPr>
          <w:i/>
          <w:noProof/>
        </w:rPr>
        <w:t>EX POST</w:t>
      </w:r>
      <w:r>
        <w:rPr>
          <w:noProof/>
        </w:rPr>
        <w:t>, KONZULTÁCIÍ SO ZAINTERESOVANÝMI STRANAMI A POSÚDENÍ VPLYVU</w:t>
      </w:r>
    </w:p>
    <w:p>
      <w:pPr>
        <w:rPr>
          <w:noProof/>
        </w:rPr>
      </w:pPr>
      <w:r>
        <w:rPr>
          <w:noProof/>
        </w:rPr>
        <w:t xml:space="preserve">Komisia vykonala hodnotenie </w:t>
      </w:r>
      <w:r>
        <w:rPr>
          <w:i/>
          <w:noProof/>
        </w:rPr>
        <w:t>ex ante</w:t>
      </w:r>
      <w:r>
        <w:rPr>
          <w:noProof/>
        </w:rPr>
        <w:t xml:space="preserve"> [SWD(2018) 281] v kontexte príprav nariadenia (EÚ) č. .../2018, ktorým sa stanovuje výmenný, pomocný a školiaci program na ochranu eura proti falšovaniu na obdobie po roku 2020 („program Pericles IV“). Dôkazy získané a predložené ako súčasť tohto hodnotenia </w:t>
      </w:r>
      <w:r>
        <w:rPr>
          <w:i/>
          <w:noProof/>
        </w:rPr>
        <w:t>ex ante</w:t>
      </w:r>
      <w:r>
        <w:rPr>
          <w:noProof/>
        </w:rPr>
        <w:t xml:space="preserve"> je možné priamo uplatniť v tomto návrhu.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So zainteresovanými stranami sa uskutočnili konzultácie o ochrane eura proti falšovaniu ako súčasť verejných konzultácií o fondoch EÚ v oblasti bezpečnosti.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VPLYV NA ROZPOČET</w:t>
      </w:r>
    </w:p>
    <w:p>
      <w:pPr>
        <w:rPr>
          <w:noProof/>
        </w:rPr>
      </w:pPr>
      <w:r>
        <w:rPr>
          <w:noProof/>
        </w:rPr>
        <w:t>V legislatívnom finančnom výkaze priloženom k tomuto návrhu nariadenia Rady sa stanovuje vplyv na rozpočet a potrebné ľudské a administratívne zdroje. Tento finančný výkaz týkajúci sa vplyvu na rozpočet je s výnimkou právneho základu zhodný s finančným výkazom k návrhu nariadenia Európskeho parlamentu a Rady (EÚ) č. .../2018, ktorým sa stanovuje výmenný, pomocný a školiaci program na ochranu eura proti falšovaniu na obdobie po roku 2020 („program Pericles IV“).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ĎALŠIE PRVKY</w:t>
      </w:r>
    </w:p>
    <w:p>
      <w:pPr>
        <w:pStyle w:val="Bullet0"/>
        <w:rPr>
          <w:noProof/>
        </w:rPr>
      </w:pPr>
      <w:r>
        <w:rPr>
          <w:noProof/>
        </w:rPr>
        <w:t>plány vykonávania, spôsob monitorovania, hodnotenia a podávania správ</w:t>
      </w:r>
    </w:p>
    <w:p>
      <w:pPr>
        <w:rPr>
          <w:noProof/>
        </w:rPr>
      </w:pPr>
      <w:r>
        <w:rPr>
          <w:noProof/>
        </w:rPr>
        <w:t>neuplatňuje sa</w:t>
      </w:r>
    </w:p>
    <w:p>
      <w:pPr>
        <w:pStyle w:val="Bullet0"/>
        <w:rPr>
          <w:noProof/>
        </w:rPr>
      </w:pPr>
      <w:r>
        <w:rPr>
          <w:noProof/>
        </w:rPr>
        <w:t>vysvetľujúce dokumenty (v prípade smerníc)</w:t>
      </w:r>
    </w:p>
    <w:p>
      <w:pPr>
        <w:rPr>
          <w:noProof/>
        </w:rPr>
      </w:pPr>
      <w:r>
        <w:rPr>
          <w:noProof/>
        </w:rPr>
        <w:t>neuplatňuje sa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2018/0219 (APP)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NARIADENIE RADY</w:t>
      </w:r>
    </w:p>
    <w:p>
      <w:pPr>
        <w:pStyle w:val="Titreobjet"/>
        <w:rPr>
          <w:noProof/>
        </w:rPr>
      </w:pPr>
      <w:r>
        <w:rPr>
          <w:noProof/>
        </w:rPr>
        <w:t xml:space="preserve">o rozšírení uplatňovania </w:t>
      </w:r>
      <w:r>
        <w:rPr>
          <w:noProof/>
        </w:rPr>
        <w:br/>
        <w:t xml:space="preserve">nariadenia (EÚ) č. .../2018, ktorým sa stanovuje výmenný, pomocný a školiaci program na ochranu eura proti falšovaniu </w:t>
      </w:r>
      <w:r>
        <w:rPr>
          <w:noProof/>
        </w:rPr>
        <w:br/>
        <w:t>na obdobie rokov 2021 – 2027 (program „Pericles IV“), na nezúčastnené členské štáty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>so zreteľom na Zmluvu o fungovaní Európskej únie, a najmä na jej článok 352,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po postúpení návrhu legislatívneho aktu národným parlamentom,</w:t>
      </w:r>
    </w:p>
    <w:p>
      <w:pPr>
        <w:rPr>
          <w:noProof/>
        </w:rPr>
      </w:pPr>
      <w:r>
        <w:rPr>
          <w:noProof/>
        </w:rPr>
        <w:t>so zreteľom na súhlas Európskeho parlamentu</w:t>
      </w:r>
      <w:r>
        <w:rPr>
          <w:rStyle w:val="FootnoteReference"/>
          <w:noProof/>
        </w:rPr>
        <w:footnoteReference w:id="3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konajúc v súlade s mimoriadnym legislatívnym postupom,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V nariadení (EÚ) č. .../2018, ktorým sa stanovuje „program Pericles IV“</w:t>
      </w:r>
      <w:r>
        <w:rPr>
          <w:rStyle w:val="FootnoteReference"/>
          <w:noProof/>
        </w:rPr>
        <w:footnoteReference w:id="4"/>
      </w:r>
      <w:r>
        <w:rPr>
          <w:noProof/>
        </w:rPr>
        <w:t>, sa určuje, že sa uplatňuje v členských štátoch v súlade so zmluvami. V článku 139 Zmluvy o fungovaní Európskej únie sa stanovuje, že opatrenia vzťahujúce sa na používanie eura uvedené v jej článku 133 sa neuplatňujú na členské štáty, pre ktoré platí výnimka.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Výmena informácií a personálu, podpora a odborné školenia v rámci programu Pericles IV by však mali byť v celej Únii jednotné. Preto by sa mali prijať nevyhnutné opatrenia, aby sa zabezpečila rovnaká úroveň ochrany eura v členských štátoch, ktoré nemajú euro ako svoju úradnú menu,</w:t>
      </w:r>
    </w:p>
    <w:p>
      <w:pPr>
        <w:pStyle w:val="Formuledadoption"/>
        <w:rPr>
          <w:noProof/>
        </w:rPr>
      </w:pPr>
      <w:r>
        <w:rPr>
          <w:noProof/>
        </w:rPr>
        <w:t>PRIJALA TOTO NARIADENIE:</w:t>
      </w:r>
    </w:p>
    <w:p>
      <w:pPr>
        <w:pStyle w:val="Titrearticle"/>
        <w:rPr>
          <w:noProof/>
        </w:rPr>
      </w:pPr>
      <w:r>
        <w:rPr>
          <w:noProof/>
        </w:rPr>
        <w:t>Článok 1</w:t>
      </w:r>
    </w:p>
    <w:p>
      <w:pPr>
        <w:rPr>
          <w:noProof/>
        </w:rPr>
      </w:pPr>
      <w:r>
        <w:rPr>
          <w:noProof/>
        </w:rPr>
        <w:t>Uplatňovanie nariadenia (EÚ) č. .../2018 sa rozširuje na členské štáty, ktoré nie sú účastníckymi členskými štátmi, ako sa vymedzuje v článku 1 písm. a) nariadenia Rady (ES) č. 974/1998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Subjekty z uvedených členských štátov sa považujú za oprávnené na financovanie, keď sú príslušnými orgánmi v zmysle článku 9 nariadenia (EÚ) č. .../2018, ktorým sa stanovuje „program Pericles IV“.</w:t>
      </w:r>
    </w:p>
    <w:p>
      <w:pPr>
        <w:pStyle w:val="Titrearticle"/>
        <w:rPr>
          <w:noProof/>
        </w:rPr>
      </w:pPr>
      <w:r>
        <w:rPr>
          <w:noProof/>
        </w:rPr>
        <w:t>Článok 2</w:t>
      </w:r>
    </w:p>
    <w:p>
      <w:pPr>
        <w:rPr>
          <w:noProof/>
        </w:rPr>
      </w:pPr>
      <w:r>
        <w:rPr>
          <w:noProof/>
        </w:rPr>
        <w:t>Toto nariadenie nadobúda účinnosť dňom nasledujúcim po jeho uverejnení v </w:t>
      </w:r>
      <w:r>
        <w:rPr>
          <w:i/>
          <w:noProof/>
        </w:rPr>
        <w:t>Úradnom vestníku Európskej únie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  <w:color w:val="000000"/>
        </w:rPr>
        <w:t>Uplatňuje sa od 1. januára 2021.</w:t>
      </w:r>
    </w:p>
    <w:p>
      <w:pPr>
        <w:pStyle w:val="Applicationdirecte"/>
        <w:rPr>
          <w:noProof/>
        </w:rPr>
      </w:pPr>
      <w:r>
        <w:rPr>
          <w:noProof/>
        </w:rPr>
        <w:t>Toto nariadenie je záväzné v celom rozsahu a priamo uplatniteľné vo všetkých členských štátoch.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Nariadenie Rady (EÚ) 2015/768 z 11. mája 2015 o rozšírení uplatňovania nariadenia (EÚ) č. 331/2014 na nezúčastnené členské štáty, </w:t>
      </w:r>
      <w:hyperlink r:id="rId1">
        <w:r>
          <w:rPr>
            <w:rStyle w:val="Hyperlink"/>
          </w:rPr>
          <w:t>Ú. v. EÚ L 121, 14.5.2015, s. 1.</w:t>
        </w:r>
      </w:hyperlink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Ako sa uvádza v odôvodnení 13 nariadenia Európskeho parlamentu a Rady (EÚ) č. 331/2014 o vytvorení výmenného, pomocného a školiaceho programu na ochranu eura proti falšovaniu (program „Pericles 2020“), </w:t>
      </w:r>
      <w:hyperlink r:id="rId2">
        <w:r>
          <w:rPr>
            <w:rStyle w:val="Hyperlink"/>
          </w:rPr>
          <w:t>Ú. v. EÚ L 103, 5.4.2014, s. 1.</w:t>
        </w:r>
      </w:hyperlink>
      <w:r>
        <w:t xml:space="preserve">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Ú. v. EÚ C..., s.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Pozri stranu ... tohto úradného vestníka.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3">
        <w:r>
          <w:rPr>
            <w:rStyle w:val="Hyperlink"/>
          </w:rPr>
          <w:t>Ú. v. ES L 139, 11.5.1998, s. 1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14AD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234F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094A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A9E12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EBA54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7AA4F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1D14DD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2C6A95"/>
    <w:multiLevelType w:val="singleLevel"/>
    <w:tmpl w:val="02BAFA82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2D820C1F"/>
    <w:multiLevelType w:val="singleLevel"/>
    <w:tmpl w:val="7896AADE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89D74ED"/>
    <w:multiLevelType w:val="singleLevel"/>
    <w:tmpl w:val="C2E2F936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4D0C058A"/>
    <w:multiLevelType w:val="singleLevel"/>
    <w:tmpl w:val="BAE8D90E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1F06166"/>
    <w:multiLevelType w:val="multilevel"/>
    <w:tmpl w:val="C08066D2"/>
    <w:name w:val="0,3405529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6"/>
  </w:num>
  <w:num w:numId="5">
    <w:abstractNumId w:val="24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21"/>
  </w:num>
  <w:num w:numId="17">
    <w:abstractNumId w:val="13"/>
  </w:num>
  <w:num w:numId="18">
    <w:abstractNumId w:val="23"/>
  </w:num>
  <w:num w:numId="19">
    <w:abstractNumId w:val="11"/>
  </w:num>
  <w:num w:numId="20">
    <w:abstractNumId w:val="14"/>
  </w:num>
  <w:num w:numId="21">
    <w:abstractNumId w:val="9"/>
  </w:num>
  <w:num w:numId="22">
    <w:abstractNumId w:val="22"/>
  </w:num>
  <w:num w:numId="23">
    <w:abstractNumId w:val="8"/>
  </w:num>
  <w:num w:numId="24">
    <w:abstractNumId w:val="15"/>
  </w:num>
  <w:num w:numId="25">
    <w:abstractNumId w:val="19"/>
  </w:num>
  <w:num w:numId="26">
    <w:abstractNumId w:val="20"/>
  </w:num>
  <w:num w:numId="27">
    <w:abstractNumId w:val="10"/>
  </w:num>
  <w:num w:numId="28">
    <w:abstractNumId w:val="18"/>
  </w:num>
  <w:num w:numId="29">
    <w:abstractNumId w:val="25"/>
  </w:num>
  <w:num w:numId="30">
    <w:abstractNumId w:val="21"/>
  </w:num>
  <w:num w:numId="31">
    <w:abstractNumId w:val="13"/>
  </w:num>
  <w:num w:numId="32">
    <w:abstractNumId w:val="23"/>
  </w:num>
  <w:num w:numId="33">
    <w:abstractNumId w:val="11"/>
  </w:num>
  <w:num w:numId="34">
    <w:abstractNumId w:val="14"/>
  </w:num>
  <w:num w:numId="35">
    <w:abstractNumId w:val="9"/>
  </w:num>
  <w:num w:numId="36">
    <w:abstractNumId w:val="22"/>
  </w:num>
  <w:num w:numId="37">
    <w:abstractNumId w:val="8"/>
  </w:num>
  <w:num w:numId="38">
    <w:abstractNumId w:val="15"/>
  </w:num>
  <w:num w:numId="39">
    <w:abstractNumId w:val="19"/>
  </w:num>
  <w:num w:numId="40">
    <w:abstractNumId w:val="20"/>
  </w:num>
  <w:num w:numId="41">
    <w:abstractNumId w:val="10"/>
  </w:num>
  <w:num w:numId="42">
    <w:abstractNumId w:val="18"/>
  </w:num>
  <w:num w:numId="4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2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6 16:15:4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ST_RESTREINT_UE" w:val="RESTREINT UE/EU RESTRICTED"/>
    <w:docVar w:name="LW_CORRIGENDUM" w:val="&lt;UNUSED&gt;"/>
    <w:docVar w:name="LW_COVERPAGE_EXISTS" w:val="True"/>
    <w:docVar w:name="LW_COVERPAGE_GUID" w:val="6F6EADC0-4BDE-4A35-84F1-6ADA34FCFA10"/>
    <w:docVar w:name="LW_COVERPAGE_TYPE" w:val="1"/>
    <w:docVar w:name="LW_CROSSREFERENCE" w:val="&lt;UNUSED&gt;"/>
    <w:docVar w:name="LW_DocType" w:val="COM"/>
    <w:docVar w:name="LW_EMISSION" w:val="31. 5. 2018"/>
    <w:docVar w:name="LW_EMISSION_ISODATE" w:val="2018-05-31"/>
    <w:docVar w:name="LW_EMISSION_LOCATION" w:val="BRX"/>
    <w:docVar w:name="LW_EMISSION_PREFIX" w:val="V Bruseli"/>
    <w:docVar w:name="LW_EMISSION_SUFFIX" w:val=" "/>
    <w:docVar w:name="LW_ID_DOCMODEL" w:val="SJ-016"/>
    <w:docVar w:name="LW_ID_DOCSIGNATURE" w:val="SJ-016"/>
    <w:docVar w:name="LW_ID_DOCSTRUCTURE" w:val="COM/PL/ORG"/>
    <w:docVar w:name="LW_ID_DOCTYPE" w:val="SJ-016"/>
    <w:docVar w:name="LW_ID_STATUT" w:val="SJ-016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APP"/>
    <w:docVar w:name="LW_REF.II.NEW.CP_NUMBER" w:val="0219"/>
    <w:docVar w:name="LW_REF.II.NEW.CP_YEAR" w:val="2018"/>
    <w:docVar w:name="LW_REF.INST.NEW" w:val="COM"/>
    <w:docVar w:name="LW_REF.INST.NEW_ADOPTED" w:val="final"/>
    <w:docVar w:name="LW_REF.INST.NEW_TEXT" w:val="(2018) 37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Návrh"/>
    <w:docVar w:name="LW_SUPERTITRE" w:val="&lt;UNUSED&gt;"/>
    <w:docVar w:name="LW_TITRE.OBJ.CP" w:val="o roz\u353?írení uplat\u328?ovania _x000b_nariadenia (EÚ) \u269?. .../2018, ktorým sa stanovuje výmenný, pomocný a \u353?koliaci program na ochranu eura proti fal\u353?ovaniu _x000b_na obdobie rokov 2021 \u8211? 2027 (program \u8222?Pericles IV\u8220?), na nezú\u269?astnené \u269?lenské \u353?táty_x000b_"/>
    <w:docVar w:name="LW_TYPE.DOC.CP" w:val="NARIADEN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rFonts w:cs="Times New Roman"/>
      <w:b/>
      <w:bCs/>
      <w:shd w:val="clear" w:color="auto" w:fill="auto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sk-SK"/>
    </w:rPr>
  </w:style>
  <w:style w:type="paragraph" w:styleId="ListNumber">
    <w:name w:val="List Number"/>
    <w:basedOn w:val="Normal"/>
    <w:pPr>
      <w:numPr>
        <w:numId w:val="5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">
    <w:name w:val="List Dash"/>
    <w:basedOn w:val="Normal"/>
    <w:pPr>
      <w:numPr>
        <w:numId w:val="2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3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4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5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5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5"/>
      </w:numPr>
    </w:pPr>
    <w:rPr>
      <w:rFonts w:eastAsia="Times New Roman"/>
    </w:rPr>
  </w:style>
  <w:style w:type="character" w:styleId="CommentReference">
    <w:name w:val="annotation reference"/>
    <w:rPr>
      <w:rFonts w:cs="Times New Roman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lang w:val="sk-SK" w:eastAsia="sk-SK"/>
    </w:rPr>
  </w:style>
  <w:style w:type="character" w:styleId="Hyperlink">
    <w:name w:val="Hyperlink"/>
    <w:rPr>
      <w:rFonts w:cs="Times New Roman"/>
      <w:color w:val="0000FF"/>
      <w:u w:val="single"/>
      <w:lang w:val="sk-SK" w:eastAsia="sk-SK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</w:rPr>
  </w:style>
  <w:style w:type="paragraph" w:styleId="TableofFigures">
    <w:name w:val="table of figures"/>
    <w:basedOn w:val="Normal"/>
    <w:next w:val="Normal"/>
    <w:rPr>
      <w:rFonts w:eastAsia="Times New Roman"/>
    </w:rPr>
  </w:style>
  <w:style w:type="paragraph" w:styleId="ListBullet">
    <w:name w:val="List Bullet"/>
    <w:basedOn w:val="Normal"/>
    <w:pPr>
      <w:numPr>
        <w:numId w:val="6"/>
      </w:numPr>
      <w:contextualSpacing/>
    </w:pPr>
    <w:rPr>
      <w:rFonts w:eastAsia="Times New Roman"/>
    </w:rPr>
  </w:style>
  <w:style w:type="paragraph" w:styleId="ListBullet2">
    <w:name w:val="List Bullet 2"/>
    <w:basedOn w:val="Normal"/>
    <w:pPr>
      <w:numPr>
        <w:numId w:val="7"/>
      </w:numPr>
      <w:contextualSpacing/>
    </w:pPr>
    <w:rPr>
      <w:rFonts w:eastAsia="Times New Roman"/>
    </w:rPr>
  </w:style>
  <w:style w:type="paragraph" w:styleId="ListBullet3">
    <w:name w:val="List Bullet 3"/>
    <w:basedOn w:val="Normal"/>
    <w:pPr>
      <w:numPr>
        <w:numId w:val="8"/>
      </w:numPr>
      <w:contextualSpacing/>
    </w:pPr>
    <w:rPr>
      <w:rFonts w:eastAsia="Times New Roman"/>
    </w:rPr>
  </w:style>
  <w:style w:type="paragraph" w:styleId="ListBullet4">
    <w:name w:val="List Bullet 4"/>
    <w:basedOn w:val="Normal"/>
    <w:pPr>
      <w:numPr>
        <w:numId w:val="9"/>
      </w:numPr>
      <w:contextualSpacing/>
    </w:pPr>
    <w:rPr>
      <w:rFonts w:eastAsia="Times New Roman"/>
    </w:rPr>
  </w:style>
  <w:style w:type="paragraph" w:styleId="ListNumber2">
    <w:name w:val="List Number 2"/>
    <w:basedOn w:val="Normal"/>
    <w:pPr>
      <w:numPr>
        <w:numId w:val="10"/>
      </w:numPr>
      <w:contextualSpacing/>
    </w:pPr>
    <w:rPr>
      <w:rFonts w:eastAsia="Times New Roman"/>
    </w:rPr>
  </w:style>
  <w:style w:type="paragraph" w:styleId="ListNumber3">
    <w:name w:val="List Number 3"/>
    <w:basedOn w:val="Normal"/>
    <w:pPr>
      <w:numPr>
        <w:numId w:val="11"/>
      </w:numPr>
      <w:contextualSpacing/>
    </w:pPr>
    <w:rPr>
      <w:rFonts w:eastAsia="Times New Roman"/>
    </w:rPr>
  </w:style>
  <w:style w:type="paragraph" w:styleId="ListNumber4">
    <w:name w:val="List Number 4"/>
    <w:basedOn w:val="Normal"/>
    <w:pPr>
      <w:numPr>
        <w:numId w:val="12"/>
      </w:numPr>
      <w:contextualSpacing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lang w:val="sk-SK" w:eastAsia="sk-SK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rFonts w:cs="Times New Roman"/>
      <w:b/>
      <w:bCs/>
      <w:shd w:val="clear" w:color="auto" w:fill="auto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sk-SK"/>
    </w:rPr>
  </w:style>
  <w:style w:type="paragraph" w:styleId="ListNumber">
    <w:name w:val="List Number"/>
    <w:basedOn w:val="Normal"/>
    <w:pPr>
      <w:numPr>
        <w:numId w:val="5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">
    <w:name w:val="List Dash"/>
    <w:basedOn w:val="Normal"/>
    <w:pPr>
      <w:numPr>
        <w:numId w:val="2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3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4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5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5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5"/>
      </w:numPr>
    </w:pPr>
    <w:rPr>
      <w:rFonts w:eastAsia="Times New Roman"/>
    </w:rPr>
  </w:style>
  <w:style w:type="character" w:styleId="CommentReference">
    <w:name w:val="annotation reference"/>
    <w:rPr>
      <w:rFonts w:cs="Times New Roman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lang w:val="sk-SK" w:eastAsia="sk-SK"/>
    </w:rPr>
  </w:style>
  <w:style w:type="character" w:styleId="Hyperlink">
    <w:name w:val="Hyperlink"/>
    <w:rPr>
      <w:rFonts w:cs="Times New Roman"/>
      <w:color w:val="0000FF"/>
      <w:u w:val="single"/>
      <w:lang w:val="sk-SK" w:eastAsia="sk-SK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</w:rPr>
  </w:style>
  <w:style w:type="paragraph" w:styleId="TableofFigures">
    <w:name w:val="table of figures"/>
    <w:basedOn w:val="Normal"/>
    <w:next w:val="Normal"/>
    <w:rPr>
      <w:rFonts w:eastAsia="Times New Roman"/>
    </w:rPr>
  </w:style>
  <w:style w:type="paragraph" w:styleId="ListBullet">
    <w:name w:val="List Bullet"/>
    <w:basedOn w:val="Normal"/>
    <w:pPr>
      <w:numPr>
        <w:numId w:val="6"/>
      </w:numPr>
      <w:contextualSpacing/>
    </w:pPr>
    <w:rPr>
      <w:rFonts w:eastAsia="Times New Roman"/>
    </w:rPr>
  </w:style>
  <w:style w:type="paragraph" w:styleId="ListBullet2">
    <w:name w:val="List Bullet 2"/>
    <w:basedOn w:val="Normal"/>
    <w:pPr>
      <w:numPr>
        <w:numId w:val="7"/>
      </w:numPr>
      <w:contextualSpacing/>
    </w:pPr>
    <w:rPr>
      <w:rFonts w:eastAsia="Times New Roman"/>
    </w:rPr>
  </w:style>
  <w:style w:type="paragraph" w:styleId="ListBullet3">
    <w:name w:val="List Bullet 3"/>
    <w:basedOn w:val="Normal"/>
    <w:pPr>
      <w:numPr>
        <w:numId w:val="8"/>
      </w:numPr>
      <w:contextualSpacing/>
    </w:pPr>
    <w:rPr>
      <w:rFonts w:eastAsia="Times New Roman"/>
    </w:rPr>
  </w:style>
  <w:style w:type="paragraph" w:styleId="ListBullet4">
    <w:name w:val="List Bullet 4"/>
    <w:basedOn w:val="Normal"/>
    <w:pPr>
      <w:numPr>
        <w:numId w:val="9"/>
      </w:numPr>
      <w:contextualSpacing/>
    </w:pPr>
    <w:rPr>
      <w:rFonts w:eastAsia="Times New Roman"/>
    </w:rPr>
  </w:style>
  <w:style w:type="paragraph" w:styleId="ListNumber2">
    <w:name w:val="List Number 2"/>
    <w:basedOn w:val="Normal"/>
    <w:pPr>
      <w:numPr>
        <w:numId w:val="10"/>
      </w:numPr>
      <w:contextualSpacing/>
    </w:pPr>
    <w:rPr>
      <w:rFonts w:eastAsia="Times New Roman"/>
    </w:rPr>
  </w:style>
  <w:style w:type="paragraph" w:styleId="ListNumber3">
    <w:name w:val="List Number 3"/>
    <w:basedOn w:val="Normal"/>
    <w:pPr>
      <w:numPr>
        <w:numId w:val="11"/>
      </w:numPr>
      <w:contextualSpacing/>
    </w:pPr>
    <w:rPr>
      <w:rFonts w:eastAsia="Times New Roman"/>
    </w:rPr>
  </w:style>
  <w:style w:type="paragraph" w:styleId="ListNumber4">
    <w:name w:val="List Number 4"/>
    <w:basedOn w:val="Normal"/>
    <w:pPr>
      <w:numPr>
        <w:numId w:val="12"/>
      </w:numPr>
      <w:contextualSpacing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lang w:val="sk-SK" w:eastAsia="sk-SK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SK/TXT/PDF/?uri=CELEX:31998R0974&amp;from=EN" TargetMode="External"/><Relationship Id="rId2" Type="http://schemas.openxmlformats.org/officeDocument/2006/relationships/hyperlink" Target="https://eur-lex.europa.eu/legal-content/EN/TXT/?uri=celex:32014R0331" TargetMode="External"/><Relationship Id="rId1" Type="http://schemas.openxmlformats.org/officeDocument/2006/relationships/hyperlink" Target="http://eur-lex.europa.eu/legal-content/EN/TXT/?uri=CELEX:32015R076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3F2D-8D54-46AF-AA39-EB8FA21C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1096</Words>
  <Characters>6358</Characters>
  <Application>Microsoft Office Word</Application>
  <DocSecurity>0</DocSecurity>
  <Lines>124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2018-04-19T08:21:00Z</cp:lastPrinted>
  <dcterms:created xsi:type="dcterms:W3CDTF">2018-06-05T10:25:00Z</dcterms:created>
  <dcterms:modified xsi:type="dcterms:W3CDTF">2018-06-06T14:15:00Z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SJ-016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