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06284928-FD78-4BEE-A7F8-3A91C333E0B2" style="width:450.8pt;height:393.2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>KUNTEST TAL-PROPOSTA</w:t>
      </w:r>
    </w:p>
    <w:p>
      <w:pPr>
        <w:rPr>
          <w:noProof/>
        </w:rPr>
      </w:pPr>
      <w:r>
        <w:rPr>
          <w:noProof/>
        </w:rPr>
        <w:t>Din il-proposta tipprovdi għal data ta’ applikazzjoni mill-1 ta’ Jannar 2021 u hija ppreżentata għal Unjoni ta’ 27 Stat Membru, f’konformità man-notifika mir-Renju Unit tal-intenzjoni tiegħu li joħroġ mill-Unjoni Ewropea u l-Euratom fuq il-bażi tal-Artikolu 50 tat-Trattat dwar l-Unjoni Ewropea rċevuta mill-Kunsill Ewropew fid-29 ta’ Marzu 2017.</w:t>
      </w:r>
    </w:p>
    <w:p>
      <w:pPr>
        <w:rPr>
          <w:noProof/>
        </w:rPr>
      </w:pPr>
      <w:r>
        <w:rPr>
          <w:rStyle w:val="Strong"/>
          <w:b w:val="0"/>
          <w:noProof/>
        </w:rPr>
        <w:t xml:space="preserve">Il-programm Pericles huwa programm ta' skambju, assistenza u taħriġ għall-protezzjoni tal-euro kontra l-iffalsifikar. </w:t>
      </w:r>
      <w:r>
        <w:rPr>
          <w:noProof/>
        </w:rPr>
        <w:t>Il-programm ġie stabbilit bid-Deċiżjoni tal-Kunsill 2001/923/KE tas-17 ta’ Diċembru 2001 u l-effetti tiegħu ġew estiżi għall-Istati Membri tal-UE li ma kinux adottaw il-euro bħala l-munita tagħhom bid-Deċiżjoni tal-Kunsill 2001/924/KE tas-17 ta’ Diċembru 2001. L-emendi sussegwenti għal dawn l-atti bażiċi permezz tad-Deċiżjonijiet tal-Kunsill 2006/75/KE, 2006/76/KE, 2006/849/KE, 2006/850/KE, Regolament (UE) Nru 331/2014 u r-Regolament tal-Kunsill (UE) 2015/768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estendew id-durata tal-programm sal-31 ta’ Diċembru 2020.</w:t>
      </w:r>
    </w:p>
    <w:p>
      <w:pPr>
        <w:rPr>
          <w:noProof/>
        </w:rPr>
      </w:pPr>
      <w:r>
        <w:rPr>
          <w:noProof/>
        </w:rPr>
        <w:t>Fil-proposta tagħha (COM(2018)369), skont l-Art 133 tat-TFUE, il-Kummissjoni tipproponi li tkompli l-programm Pericles skont il-Qafas Finanzjarju Pluriennali ta’ wara l-2020.</w:t>
      </w:r>
    </w:p>
    <w:p>
      <w:pPr>
        <w:rPr>
          <w:noProof/>
        </w:rPr>
      </w:pPr>
      <w:r>
        <w:rPr>
          <w:noProof/>
        </w:rPr>
        <w:t>L-Artikolu 139 tat-Trattat dwar il-Funzjonament tal-Unjoni Ewropea jipprovdi li miżuri li jirregolaw l-użu tal-euro msemmija fl-Artikolu 133 tiegħu m'għandhomx japplikaw għall-Istati Membri b'deroga.</w:t>
      </w:r>
    </w:p>
    <w:p>
      <w:pPr>
        <w:rPr>
          <w:noProof/>
        </w:rPr>
      </w:pPr>
      <w:r>
        <w:rPr>
          <w:noProof/>
        </w:rPr>
        <w:t>Madankollu, l-iskambju ta' informazzjoni u ta' persunal u l-miżuri ta' għajnuna u taħriġ implimentati taħt il-programm Pericles għandhom ikunu uniformi fl-Unjoni kollha u għaldaqstant għandhom jittieħdu l-miżuri meħtieġa biex jiġi garantit l-istess livell ta' protezzjoni għall-euro fl-Istati Membri fejn il-euro mhix il-munita uffiċjali. Ir-rwol attiv tal-Istati Membri mhux parteċipanti skont l-estensjoni preżenti tal-programm Pericles 2020 huwa rilevanti u sinifikanti. Pereżempju, il-Bank Nazzjonali tal-Kroazja organizza serje ta’ konferenzi bit-titlu “Netwerk tal-Balkani għall-protezzjoni tal-euro” li jiġbor flimkien esperti mill-Ewropa tax-Xlokk biex tissaħħaħ il-protezzjoni tal-euro kontra l-iffalsifikar f’dan il-qasam li huwa magħruf għad-distribuzzjoni u l-produzzjoni tal-iffalsifikar tal-euro.</w:t>
      </w:r>
    </w:p>
    <w:p>
      <w:pPr>
        <w:rPr>
          <w:noProof/>
        </w:rPr>
      </w:pPr>
      <w:r>
        <w:rPr>
          <w:noProof/>
        </w:rPr>
        <w:t>Din il-proposta għandha testendi l-programm Pericles għall-Istati Membri tal-Unjoni Ewropea li għadhom mhux jużaw il-euro bħala l-munita unika tagħhom.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 xml:space="preserve">BAŻI ĠURIDIKA, SUSSIDJARJETÀ U PROPORZJONALITÀ </w:t>
      </w:r>
    </w:p>
    <w:p>
      <w:pPr>
        <w:pStyle w:val="Bullet0"/>
        <w:numPr>
          <w:ilvl w:val="0"/>
          <w:numId w:val="14"/>
        </w:numPr>
        <w:rPr>
          <w:noProof/>
        </w:rPr>
      </w:pPr>
      <w:r>
        <w:rPr>
          <w:b/>
          <w:noProof/>
        </w:rPr>
        <w:t>Bażi ġuridika</w:t>
      </w:r>
    </w:p>
    <w:p>
      <w:pPr>
        <w:rPr>
          <w:noProof/>
        </w:rPr>
      </w:pPr>
      <w:r>
        <w:rPr>
          <w:noProof/>
        </w:rPr>
        <w:t xml:space="preserve">Il-leġiżlazzjoni tal-Unjoni li tikkonċerna l-protezzjoni tal-euro kontra l-iffalsifikar taqa’ fi ħdan l-ambitu tal-Artikolu 133 tat-Trattat dwar il-Funzjonament tal-Unjoni Ewropea (TFUE). Din id-dispożizzjoni tipprovdi li l-Parlament Ewropew u l-Kunsill, li jaġixxu skont il-proċedura leġiżlattiva ordinarja, wara konsultazzjoni mal-Bank Ċentrali Ewropew għandhom jistabbilixxu l-miżuri meħtieġa għall-użu tal-euro bħala l-munita unika. Din id-dispożizzjoni hija applikabbli biss għall-Istati Membri li adottaw il-euro bħala l-munita unika tagħhom. </w:t>
      </w:r>
    </w:p>
    <w:p>
      <w:pPr>
        <w:rPr>
          <w:noProof/>
        </w:rPr>
      </w:pPr>
      <w:r>
        <w:rPr>
          <w:noProof/>
        </w:rPr>
        <w:t xml:space="preserve">Din il-proposta hija bbażata fuq l-Artikolu 352 tat-TFUE, li huwa l-bażi legali biex tiġi estiża l-applikazzjoni tal-programm Pericles lill-Istati Membri li m’adottawx il-euro bħala l-munita unika tagħhom. </w:t>
      </w:r>
    </w:p>
    <w:p>
      <w:pPr>
        <w:pStyle w:val="Bullet0"/>
        <w:numPr>
          <w:ilvl w:val="0"/>
          <w:numId w:val="14"/>
        </w:numPr>
        <w:rPr>
          <w:b/>
          <w:noProof/>
        </w:rPr>
      </w:pPr>
      <w:r>
        <w:rPr>
          <w:b/>
          <w:noProof/>
        </w:rPr>
        <w:t>Sussidjarjetà (għall-kompetenza mhux esklużiva)</w:t>
      </w:r>
    </w:p>
    <w:p>
      <w:pPr>
        <w:rPr>
          <w:noProof/>
        </w:rPr>
      </w:pPr>
      <w:r>
        <w:rPr>
          <w:noProof/>
        </w:rPr>
        <w:t>Din il-proposta tikkonforma mal-prinċipju tas-sussidjarjetà. Il-protezzjoni tal-munita unika Ewropea bħala ġid pubbliku għandha dimensjoni transnazzjonali ċara u għaldaqstant tmur lil hinn mill-interess u mir-responsabbiltà tal-Istati Membri individwali. Meta tqis iċ-ċirkolazzjoni transfruntiera tal-euro u t-tnaqqis qawwi tal-kriminalità organizzata internazzjonali fl-iffalsifikar tal-euro (produzzjoni u distribuzzjoni), l-oqfsa ta’ protezzjoni nazzjonali jeħtieġ li jkunu kumplimentati minn inizjattiva tal-UE biex jiżguraw kooperazzjoni nazzjonali u internazzjonali omoġenja u biex jiffaċċjaw ir-riskji transnazzjonali emerġenti.</w:t>
      </w:r>
    </w:p>
    <w:p>
      <w:pPr>
        <w:pStyle w:val="Bullet0"/>
        <w:rPr>
          <w:b/>
          <w:noProof/>
        </w:rPr>
      </w:pPr>
      <w:r>
        <w:rPr>
          <w:b/>
          <w:noProof/>
        </w:rPr>
        <w:t>Proporzjonalità</w:t>
      </w:r>
    </w:p>
    <w:p>
      <w:pPr>
        <w:pStyle w:val="Bullet0"/>
        <w:rPr>
          <w:b/>
          <w:noProof/>
          <w:sz w:val="23"/>
          <w:szCs w:val="23"/>
        </w:rPr>
      </w:pPr>
      <w:r>
        <w:rPr>
          <w:noProof/>
        </w:rPr>
        <w:t xml:space="preserve">Ir-Regolament propost huwa neċessarju, xieraq u adatt biex jikseb l-għan aħħari. </w:t>
      </w:r>
      <w:r>
        <w:rPr>
          <w:noProof/>
          <w:color w:val="000000"/>
        </w:rPr>
        <w:t>Huwa jipproponi biex isaħħaħ b’mod effiċjenti l-kooperazzjoni fost l-Istati Membri u bejn il-Kummissjoni u l-Istati Membri, mingħajr ma tiġi ristretta l-kapaċità tal-Istati Membri li jipproteġu l-euro kontra l-iffalsifikar. Azzjoni fil-livell tal-Unjoni hija ġġustifikata għax tgħin b’mod ċar lill-Istati Membri biex kollettivament jipproteġu l-euro u tinkoraġġixxi l-użu ta’ strutturi komuni tal-Unjoni biex tiżdied il-kooperazzjoni u l-iskambju ta’ informazzjoni bejn l-awtoritajiet kompetenti</w:t>
      </w:r>
      <w:r>
        <w:rPr>
          <w:rStyle w:val="FootnoteReference"/>
          <w:noProof/>
          <w:color w:val="000000"/>
        </w:rPr>
        <w:footnoteReference w:id="2"/>
      </w:r>
      <w:r>
        <w:rPr>
          <w:noProof/>
          <w:color w:val="000000"/>
        </w:rPr>
        <w:t>.</w:t>
      </w:r>
      <w:r>
        <w:rPr>
          <w:b/>
          <w:noProof/>
        </w:rPr>
        <w:t>Għażla tal-istrument</w:t>
      </w:r>
      <w:r>
        <w:rPr>
          <w:b/>
          <w:noProof/>
          <w:sz w:val="23"/>
        </w:rPr>
        <w:t xml:space="preserve"> </w:t>
      </w:r>
    </w:p>
    <w:p>
      <w:pPr>
        <w:rPr>
          <w:noProof/>
        </w:rPr>
      </w:pPr>
      <w:r>
        <w:rPr>
          <w:noProof/>
        </w:rPr>
        <w:t>Regolament jitqies l-istrument legali xieraq biex jiddefinixxi l-qafas għall-protezzjoni tal-euro kontra l-iffalsifikar. Huwa b’kontinwità mar-Regolament tal-Kunsill (UE) 2015/768 tal-11 ta' Mejju 2015 li jestendi l-applikazzjoni tar-Regolament (UE) Nru 331/2014 tal-Parlament Ewropew u tal-Kunsill li jistabbilixxi programm ta' skambju, assistenza u taħriġ għall-protezzjoni tal-euro kontra l-iffalsifikar (il-programm “Pericles 2020”) għal Stati Membri mhux parteċipanti.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RIŻULTATI TAL-EVALWAZZJONIJIET EX POST, TAL-KONSULTAZZJONIJIET MAL-PARTIJIET IKKONĊERNATI U TAL-VALUTAZZJONIJIET TAL-IMPATT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Il-Kummissjoni wettqet evalwazzjoni </w:t>
      </w:r>
      <w:r>
        <w:rPr>
          <w:i/>
          <w:noProof/>
        </w:rPr>
        <w:t>ex ante</w:t>
      </w:r>
      <w:r>
        <w:rPr>
          <w:noProof/>
        </w:rPr>
        <w:t xml:space="preserve"> (SWD(2018)281) fil-kuntest tat-tħejjija tar-Regolament (UE) Nru …/2018 li jistabbilixxi programm ta’ skambju, assistenza u taħriġ għall-protezzjoni tal-euro kontra l-iffalsifikar għall-perijodu wara l-2020 (il-programm “Pericles IV”). L-evidenza miġbura u ppreżentata bħala parti minn din l-evalwazzjoni </w:t>
      </w:r>
      <w:r>
        <w:rPr>
          <w:i/>
          <w:noProof/>
        </w:rPr>
        <w:t>ex ante</w:t>
      </w:r>
      <w:r>
        <w:rPr>
          <w:noProof/>
        </w:rPr>
        <w:t xml:space="preserve"> hija direttament trasferibbli għall-proposta preżenti. 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Bħala parti mill-konsultazzjoni pubblika dwar il-fondi tal-UE fil-qasam tas-sigurtà, ġew ikkonsultati partijiet ikkonċernati dwar il-protezzjoni tal-euro kontra l-iffalsifikar.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rPr>
          <w:noProof/>
        </w:rPr>
      </w:pPr>
      <w:r>
        <w:rPr>
          <w:noProof/>
        </w:rPr>
        <w:t xml:space="preserve">Id-dikjarazzjoni finanzjarja leġiżlattiva mehmuża ma’ din il-proposta għal Regolament tal-Kunsill tistipula l-implikazzjonijiet baġitarji u r-riżorsi umani u amministrattivi meħtieġa. Din id-dikjarazzjoni finanzjarja dwar l-implikazzjonijiet hija identika — ħlief għall-bażi legali — għad-dikjarazzjoni finanzjarja għall-proposta dwar ir-Regolament tal-Parlament Ewropew u tal-Kunsill (UE) Nru …/2018 li jistabbilixxi programm ta’ skambju, assistenza u taħriġ għall-protezzjoni tal-euro kontra l-iffalsifikar wara l-2020 (il-‘programm Pericles IV’). 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OĦRAJN</w:t>
      </w:r>
    </w:p>
    <w:p>
      <w:pPr>
        <w:pStyle w:val="Bullet0"/>
        <w:rPr>
          <w:noProof/>
        </w:rPr>
      </w:pPr>
      <w:r>
        <w:rPr>
          <w:noProof/>
        </w:rPr>
        <w:t>Pjanijiet ta’ implimentazzjoni u arranġamenti ta’ monitoraġġ, evalwazzjoni u rappurtar</w:t>
      </w:r>
    </w:p>
    <w:p>
      <w:pPr>
        <w:rPr>
          <w:noProof/>
        </w:rPr>
      </w:pPr>
      <w:r>
        <w:rPr>
          <w:noProof/>
        </w:rPr>
        <w:t>Mhux applikabbli</w:t>
      </w:r>
    </w:p>
    <w:p>
      <w:pPr>
        <w:pStyle w:val="Bullet0"/>
        <w:rPr>
          <w:noProof/>
        </w:rPr>
      </w:pPr>
      <w:r>
        <w:rPr>
          <w:noProof/>
        </w:rPr>
        <w:t>Dokumenti ta’ spjegazzjoni (għad-direttivi)</w:t>
      </w:r>
    </w:p>
    <w:p>
      <w:pPr>
        <w:rPr>
          <w:noProof/>
        </w:rPr>
      </w:pPr>
      <w:r>
        <w:rPr>
          <w:noProof/>
        </w:rPr>
        <w:t>Mhux applikabbli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pgNumType w:start="1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2018/0219 (APP)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TAL-KUNSILL</w:t>
      </w:r>
    </w:p>
    <w:p>
      <w:pPr>
        <w:pStyle w:val="Titreobjet"/>
        <w:rPr>
          <w:noProof/>
        </w:rPr>
      </w:pPr>
      <w:r>
        <w:rPr>
          <w:noProof/>
        </w:rPr>
        <w:t xml:space="preserve">li jestendi għall-Istati Membri mhux parteċipanti l-applikazzjoni tar- </w:t>
      </w:r>
      <w:r>
        <w:rPr>
          <w:noProof/>
        </w:rPr>
        <w:br/>
        <w:t xml:space="preserve">Regolament (UE) Nru .../2018 li jistabbilixxi programm ta' skambju, assistenza u taħriġ għall-protezzjoni tal-euro kontra l-iffalsifikar għall-  </w:t>
      </w:r>
      <w:r>
        <w:rPr>
          <w:noProof/>
        </w:rPr>
        <w:br/>
        <w:t xml:space="preserve">perjodu 2021-2027 (il-programm “Pericles IV”) </w:t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b'mod partikolari l-Artikolu 352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 l-kunsens tal-Parlament Ewropew</w:t>
      </w:r>
      <w:r>
        <w:rPr>
          <w:rStyle w:val="FootnoteReference"/>
          <w:noProof/>
        </w:rPr>
        <w:footnoteReference w:id="3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Waqt li jaġixxi skont proċedura leġiżlattiva speċjali,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Ir-Regolament (UE) Nru.../2018 li jistabbilixxi l-programm “Pericles IV”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jipprevedi li huwa applikabbli fl-Istati Membri f’konformità mat-Trattati. L-Artikolu 139 tat-Trattat dwar il-Funzjonament tal-Unjoni Ewropea jipprovdi li miżuri li jirregolaw l-użu tal-euro msemmija fl-Artikolu 133 tiegħu m'għandhomx japplikaw għall-Istati Membri b'deroga.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Madankollu, l-iskambju tal-informazzjoni u l-persunal u l-miżuri ta’ assistenza u taħriġ implimentati taħt il-programm Pericles IV għandhom ikunu uniformi fl-Unjoni kollha.  Għandhom jittieħdu l-miżuri meħtieġa biex ikun garantit l-istess livell ta’ protezzjoni għall-euro fl-Istati Membri fejn il-euro mhijiex il-munita uffiċjali tagħhom.</w:t>
      </w:r>
    </w:p>
    <w:p>
      <w:pPr>
        <w:pStyle w:val="Formuledadoption"/>
        <w:rPr>
          <w:noProof/>
        </w:rPr>
      </w:pPr>
      <w:r>
        <w:rPr>
          <w:noProof/>
        </w:rPr>
        <w:t>ADOTTA DAN IR-REGOLAMENT: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L-applikazzjoni tar-Regolament (UE) Nru .../2018 għandha tiġi estiża għall-Istati Membri li mhumiex l-Istati Membri parteċipanti kif definiti fil-punt (a) tal-Artikolu 1 tar-Regolament tal-Kunsill (KE) Nru 974/1998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 xml:space="preserve">Entitajiet minn dawk l-Istati Membri għandhom jitqiesu eliġibbli għal finanzjament meta dawn ikunu awtoritajiet kompetenti fi ħdan it-tifsira tal-Artikolu 9 tar-Regolament (UE) Nru .../2018 li jistabbilixxi l-programm “Pericles IV”. 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Dan ir-Regolament għandu jidħol fis-seħħ fil-jum wara dak tal-pubblikazzjoni tiegħu f'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  <w:color w:val="000000"/>
        </w:rPr>
        <w:t>Għandu japplika mill-1 ta’ Jannar 2021.</w:t>
      </w:r>
    </w:p>
    <w:p>
      <w:pPr>
        <w:pStyle w:val="Applicationdirecte"/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Ir-Regolament tal-Kunsill (UE) 2015/768 tal-11 ta’ Mejju 2015 li jestendi għall-Istati Membri mhux parteċipanti l-applikazzjoni tar-Regolament (UE) Nru 331/2014, </w:t>
      </w:r>
      <w:hyperlink r:id="rId1">
        <w:r>
          <w:rPr>
            <w:rStyle w:val="Hyperlink"/>
          </w:rPr>
          <w:t>ĠU L121, 14.5.2015, p. 1.</w:t>
        </w:r>
      </w:hyperlink>
    </w:p>
  </w:footnote>
  <w:footnote w:id="2">
    <w:p>
      <w:pPr>
        <w:pStyle w:val="FootnoteText"/>
        <w:tabs>
          <w:tab w:val="left" w:pos="0"/>
        </w:tabs>
        <w:ind w:left="709" w:hanging="709"/>
      </w:pPr>
      <w:r>
        <w:rPr>
          <w:rStyle w:val="FootnoteReference"/>
        </w:rPr>
        <w:footnoteRef/>
      </w:r>
      <w:r>
        <w:tab/>
        <w:t xml:space="preserve">Kif imsemmi fil-premessa 13 tar-Regolament (UE) Nru 331/2014 tal-Parlament Ewropew u tal-Kunsill li jistabbilixxi programm ta' skambju, assistenza u taħriġ għall-protezzjoni tal-euro kontra l-iffalsifikar (il-programm "Pericles 2020") </w:t>
      </w:r>
      <w:hyperlink r:id="rId2">
        <w:r>
          <w:rPr>
            <w:rStyle w:val="Hyperlink"/>
          </w:rPr>
          <w:t>ĠU L 103, 5.4.2014, p. 1.</w:t>
        </w:r>
      </w:hyperlink>
      <w:r>
        <w:t xml:space="preserve"> 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ĠU C …, p. 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Ara l-paġna . . . ta’ dan il-Ġurnal Uffiċjali.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3">
        <w:r>
          <w:rPr>
            <w:rStyle w:val="Hyperlink"/>
          </w:rPr>
          <w:t>ĠU L 139, 11.5.1998, p. 1.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14AD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234F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094A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A9E12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EBA54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7AA4F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1D14DD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62C6A95"/>
    <w:multiLevelType w:val="singleLevel"/>
    <w:tmpl w:val="02BAFA82"/>
    <w:name w:val="List Bullet 1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2D820C1F"/>
    <w:multiLevelType w:val="singleLevel"/>
    <w:tmpl w:val="7896AADE"/>
    <w:name w:val="List Dash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489D74ED"/>
    <w:multiLevelType w:val="singleLevel"/>
    <w:tmpl w:val="C2E2F936"/>
    <w:name w:val="List Dash 2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7">
    <w:nsid w:val="4D0C058A"/>
    <w:multiLevelType w:val="singleLevel"/>
    <w:tmpl w:val="BAE8D90E"/>
    <w:name w:val="List Dash 1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8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1F06166"/>
    <w:multiLevelType w:val="multilevel"/>
    <w:tmpl w:val="C08066D2"/>
    <w:name w:val="0,3405529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6"/>
  </w:num>
  <w:num w:numId="5">
    <w:abstractNumId w:val="24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</w:num>
  <w:num w:numId="15">
    <w:abstractNumId w:val="25"/>
    <w:lvlOverride w:ilvl="0">
      <w:startOverride w:val="1"/>
    </w:lvlOverride>
  </w:num>
  <w:num w:numId="16">
    <w:abstractNumId w:val="21"/>
  </w:num>
  <w:num w:numId="17">
    <w:abstractNumId w:val="13"/>
  </w:num>
  <w:num w:numId="18">
    <w:abstractNumId w:val="23"/>
  </w:num>
  <w:num w:numId="19">
    <w:abstractNumId w:val="11"/>
  </w:num>
  <w:num w:numId="20">
    <w:abstractNumId w:val="14"/>
  </w:num>
  <w:num w:numId="21">
    <w:abstractNumId w:val="9"/>
  </w:num>
  <w:num w:numId="22">
    <w:abstractNumId w:val="22"/>
  </w:num>
  <w:num w:numId="23">
    <w:abstractNumId w:val="8"/>
  </w:num>
  <w:num w:numId="24">
    <w:abstractNumId w:val="15"/>
  </w:num>
  <w:num w:numId="25">
    <w:abstractNumId w:val="19"/>
  </w:num>
  <w:num w:numId="26">
    <w:abstractNumId w:val="20"/>
  </w:num>
  <w:num w:numId="27">
    <w:abstractNumId w:val="10"/>
  </w:num>
  <w:num w:numId="28">
    <w:abstractNumId w:val="18"/>
  </w:num>
  <w:num w:numId="29">
    <w:abstractNumId w:val="25"/>
  </w:num>
  <w:num w:numId="30">
    <w:abstractNumId w:val="21"/>
  </w:num>
  <w:num w:numId="31">
    <w:abstractNumId w:val="13"/>
  </w:num>
  <w:num w:numId="32">
    <w:abstractNumId w:val="23"/>
  </w:num>
  <w:num w:numId="33">
    <w:abstractNumId w:val="11"/>
  </w:num>
  <w:num w:numId="34">
    <w:abstractNumId w:val="14"/>
  </w:num>
  <w:num w:numId="35">
    <w:abstractNumId w:val="9"/>
  </w:num>
  <w:num w:numId="36">
    <w:abstractNumId w:val="22"/>
  </w:num>
  <w:num w:numId="37">
    <w:abstractNumId w:val="8"/>
  </w:num>
  <w:num w:numId="38">
    <w:abstractNumId w:val="15"/>
  </w:num>
  <w:num w:numId="39">
    <w:abstractNumId w:val="19"/>
  </w:num>
  <w:num w:numId="40">
    <w:abstractNumId w:val="20"/>
  </w:num>
  <w:num w:numId="41">
    <w:abstractNumId w:val="10"/>
  </w:num>
  <w:num w:numId="42">
    <w:abstractNumId w:val="18"/>
  </w:num>
  <w:num w:numId="4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6 16:16:22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ST_RESTREINT_UE" w:val="RESTREINT UE/EU RESTRICTED"/>
    <w:docVar w:name="LW_CORRIGENDUM" w:val="&lt;UNUSED&gt;"/>
    <w:docVar w:name="LW_COVERPAGE_EXISTS" w:val="True"/>
    <w:docVar w:name="LW_COVERPAGE_GUID" w:val="06284928-FD78-4BEE-A7F8-3A91C333E0B2"/>
    <w:docVar w:name="LW_COVERPAGE_TYPE" w:val="1"/>
    <w:docVar w:name="LW_CROSSREFERENCE" w:val="&lt;UNUSED&gt;"/>
    <w:docVar w:name="LW_DocType" w:val="COM"/>
    <w:docVar w:name="LW_EMISSION" w:val="31.5.2018"/>
    <w:docVar w:name="LW_EMISSION_ISODATE" w:val="2018-05-31"/>
    <w:docVar w:name="LW_EMISSION_LOCATION" w:val="BRX"/>
    <w:docVar w:name="LW_EMISSION_PREFIX" w:val="Brussell, "/>
    <w:docVar w:name="LW_EMISSION_SUFFIX" w:val=" "/>
    <w:docVar w:name="LW_ID_DOCMODEL" w:val="SJ-016"/>
    <w:docVar w:name="LW_ID_DOCSIGNATURE" w:val="SJ-016"/>
    <w:docVar w:name="LW_ID_DOCSTRUCTURE" w:val="COM/PL/ORG"/>
    <w:docVar w:name="LW_ID_DOCTYPE" w:val="SJ-016"/>
    <w:docVar w:name="LW_ID_STATUT" w:val="SJ-016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APP"/>
    <w:docVar w:name="LW_REF.II.NEW.CP_NUMBER" w:val="0219"/>
    <w:docVar w:name="LW_REF.II.NEW.CP_YEAR" w:val="2018"/>
    <w:docVar w:name="LW_REF.INST.NEW" w:val="COM"/>
    <w:docVar w:name="LW_REF.INST.NEW_ADOPTED" w:val="final"/>
    <w:docVar w:name="LW_REF.INST.NEW_TEXT" w:val="(2018) 37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TATUT.CP" w:val="Proposta g\u295?al"/>
    <w:docVar w:name="LW_SUPERTITRE" w:val="&lt;UNUSED&gt;"/>
    <w:docVar w:name="LW_TITRE.OBJ.CP" w:val="li jestendi g\u295?all-Istati Membri mhux parte\u267?ipanti l-applikazzjoni tar- _x000b_Regolament (UE) Nru .../2018 li jistabbilixxi programm ta' skambju, assistenza u ta\u295?ri\u289? g\u295?all-protezzjoni tal-euro kontra l-iffalsifikar g\u295?all-  _x000b_perjodu 2021-2027 (il-programm \u8220?Pericles IV\u8221?) _x000b_"/>
    <w:docVar w:name="LW_TYPE.DOC.CP" w:val="REGOLAMENT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rFonts w:cs="Times New Roman"/>
      <w:b/>
      <w:bCs/>
      <w:shd w:val="clear" w:color="auto" w:fill="auto"/>
    </w:rPr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mt-MT"/>
    </w:rPr>
  </w:style>
  <w:style w:type="paragraph" w:styleId="ListNumber">
    <w:name w:val="List Number"/>
    <w:basedOn w:val="Normal"/>
    <w:pPr>
      <w:numPr>
        <w:numId w:val="5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">
    <w:name w:val="List Dash"/>
    <w:basedOn w:val="Normal"/>
    <w:pPr>
      <w:numPr>
        <w:numId w:val="2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3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4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5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5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5"/>
      </w:numPr>
    </w:pPr>
    <w:rPr>
      <w:rFonts w:eastAsia="Times New Roman"/>
    </w:rPr>
  </w:style>
  <w:style w:type="character" w:styleId="CommentReference">
    <w:name w:val="annotation reference"/>
    <w:rPr>
      <w:rFonts w:cs="Times New Roman"/>
      <w:sz w:val="16"/>
      <w:szCs w:val="16"/>
      <w:lang w:val="mt-MT" w:eastAsia="mt-MT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lang w:val="mt-MT" w:eastAsia="mt-MT"/>
    </w:rPr>
  </w:style>
  <w:style w:type="character" w:styleId="Hyperlink">
    <w:name w:val="Hyperlink"/>
    <w:rPr>
      <w:rFonts w:cs="Times New Roman"/>
      <w:color w:val="0000FF"/>
      <w:u w:val="single"/>
      <w:lang w:val="mt-MT" w:eastAsia="mt-MT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20"/>
    </w:rPr>
  </w:style>
  <w:style w:type="paragraph" w:styleId="TableofFigures">
    <w:name w:val="table of figures"/>
    <w:basedOn w:val="Normal"/>
    <w:next w:val="Normal"/>
    <w:rPr>
      <w:rFonts w:eastAsia="Times New Roman"/>
    </w:rPr>
  </w:style>
  <w:style w:type="paragraph" w:styleId="ListBullet">
    <w:name w:val="List Bullet"/>
    <w:basedOn w:val="Normal"/>
    <w:pPr>
      <w:numPr>
        <w:numId w:val="6"/>
      </w:numPr>
      <w:contextualSpacing/>
    </w:pPr>
    <w:rPr>
      <w:rFonts w:eastAsia="Times New Roman"/>
    </w:rPr>
  </w:style>
  <w:style w:type="paragraph" w:styleId="ListBullet2">
    <w:name w:val="List Bullet 2"/>
    <w:basedOn w:val="Normal"/>
    <w:pPr>
      <w:numPr>
        <w:numId w:val="7"/>
      </w:numPr>
      <w:contextualSpacing/>
    </w:pPr>
    <w:rPr>
      <w:rFonts w:eastAsia="Times New Roman"/>
    </w:rPr>
  </w:style>
  <w:style w:type="paragraph" w:styleId="ListBullet3">
    <w:name w:val="List Bullet 3"/>
    <w:basedOn w:val="Normal"/>
    <w:pPr>
      <w:numPr>
        <w:numId w:val="8"/>
      </w:numPr>
      <w:contextualSpacing/>
    </w:pPr>
    <w:rPr>
      <w:rFonts w:eastAsia="Times New Roman"/>
    </w:rPr>
  </w:style>
  <w:style w:type="paragraph" w:styleId="ListBullet4">
    <w:name w:val="List Bullet 4"/>
    <w:basedOn w:val="Normal"/>
    <w:pPr>
      <w:numPr>
        <w:numId w:val="9"/>
      </w:numPr>
      <w:contextualSpacing/>
    </w:pPr>
    <w:rPr>
      <w:rFonts w:eastAsia="Times New Roman"/>
    </w:rPr>
  </w:style>
  <w:style w:type="paragraph" w:styleId="ListNumber2">
    <w:name w:val="List Number 2"/>
    <w:basedOn w:val="Normal"/>
    <w:pPr>
      <w:numPr>
        <w:numId w:val="10"/>
      </w:numPr>
      <w:contextualSpacing/>
    </w:pPr>
    <w:rPr>
      <w:rFonts w:eastAsia="Times New Roman"/>
    </w:rPr>
  </w:style>
  <w:style w:type="paragraph" w:styleId="ListNumber3">
    <w:name w:val="List Number 3"/>
    <w:basedOn w:val="Normal"/>
    <w:pPr>
      <w:numPr>
        <w:numId w:val="11"/>
      </w:numPr>
      <w:contextualSpacing/>
    </w:pPr>
    <w:rPr>
      <w:rFonts w:eastAsia="Times New Roman"/>
    </w:rPr>
  </w:style>
  <w:style w:type="paragraph" w:styleId="ListNumber4">
    <w:name w:val="List Number 4"/>
    <w:basedOn w:val="Normal"/>
    <w:pPr>
      <w:numPr>
        <w:numId w:val="12"/>
      </w:numPr>
      <w:contextualSpacing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lang w:val="mt-MT" w:eastAsia="mt-MT"/>
    </w:rPr>
  </w:style>
  <w:style w:type="character" w:styleId="FollowedHyperlink">
    <w:name w:val="FollowedHyperlink"/>
    <w:rPr>
      <w:color w:val="800080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0"/>
      </w:numPr>
    </w:pPr>
  </w:style>
  <w:style w:type="paragraph" w:customStyle="1" w:styleId="Tiret1">
    <w:name w:val="Tiret 1"/>
    <w:basedOn w:val="Point1"/>
    <w:pPr>
      <w:numPr>
        <w:numId w:val="31"/>
      </w:numPr>
    </w:pPr>
  </w:style>
  <w:style w:type="paragraph" w:customStyle="1" w:styleId="Tiret2">
    <w:name w:val="Tiret 2"/>
    <w:basedOn w:val="Point2"/>
    <w:pPr>
      <w:numPr>
        <w:numId w:val="32"/>
      </w:numPr>
    </w:pPr>
  </w:style>
  <w:style w:type="paragraph" w:customStyle="1" w:styleId="Tiret3">
    <w:name w:val="Tiret 3"/>
    <w:basedOn w:val="Point3"/>
    <w:pPr>
      <w:numPr>
        <w:numId w:val="33"/>
      </w:numPr>
    </w:pPr>
  </w:style>
  <w:style w:type="paragraph" w:customStyle="1" w:styleId="Tiret4">
    <w:name w:val="Tiret 4"/>
    <w:basedOn w:val="Point4"/>
    <w:pPr>
      <w:numPr>
        <w:numId w:val="3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7"/>
      </w:numPr>
    </w:pPr>
  </w:style>
  <w:style w:type="paragraph" w:customStyle="1" w:styleId="Point1number">
    <w:name w:val="Point 1 (number)"/>
    <w:basedOn w:val="Normal"/>
    <w:pPr>
      <w:numPr>
        <w:ilvl w:val="2"/>
        <w:numId w:val="37"/>
      </w:numPr>
    </w:pPr>
  </w:style>
  <w:style w:type="paragraph" w:customStyle="1" w:styleId="Point2number">
    <w:name w:val="Point 2 (number)"/>
    <w:basedOn w:val="Normal"/>
    <w:pPr>
      <w:numPr>
        <w:ilvl w:val="4"/>
        <w:numId w:val="37"/>
      </w:numPr>
    </w:pPr>
  </w:style>
  <w:style w:type="paragraph" w:customStyle="1" w:styleId="Point3number">
    <w:name w:val="Point 3 (number)"/>
    <w:basedOn w:val="Normal"/>
    <w:pPr>
      <w:numPr>
        <w:ilvl w:val="6"/>
        <w:numId w:val="37"/>
      </w:numPr>
    </w:pPr>
  </w:style>
  <w:style w:type="paragraph" w:customStyle="1" w:styleId="Point0letter">
    <w:name w:val="Point 0 (letter)"/>
    <w:basedOn w:val="Normal"/>
    <w:pPr>
      <w:numPr>
        <w:ilvl w:val="1"/>
        <w:numId w:val="37"/>
      </w:numPr>
    </w:pPr>
  </w:style>
  <w:style w:type="paragraph" w:customStyle="1" w:styleId="Point1letter">
    <w:name w:val="Point 1 (letter)"/>
    <w:basedOn w:val="Normal"/>
    <w:pPr>
      <w:numPr>
        <w:ilvl w:val="3"/>
        <w:numId w:val="37"/>
      </w:numPr>
    </w:pPr>
  </w:style>
  <w:style w:type="paragraph" w:customStyle="1" w:styleId="Point2letter">
    <w:name w:val="Point 2 (letter)"/>
    <w:basedOn w:val="Normal"/>
    <w:pPr>
      <w:numPr>
        <w:ilvl w:val="5"/>
        <w:numId w:val="37"/>
      </w:numPr>
    </w:pPr>
  </w:style>
  <w:style w:type="paragraph" w:customStyle="1" w:styleId="Point3letter">
    <w:name w:val="Point 3 (letter)"/>
    <w:basedOn w:val="Normal"/>
    <w:pPr>
      <w:numPr>
        <w:ilvl w:val="7"/>
        <w:numId w:val="37"/>
      </w:numPr>
    </w:pPr>
  </w:style>
  <w:style w:type="paragraph" w:customStyle="1" w:styleId="Point4letter">
    <w:name w:val="Point 4 (letter)"/>
    <w:basedOn w:val="Normal"/>
    <w:pPr>
      <w:numPr>
        <w:ilvl w:val="8"/>
        <w:numId w:val="37"/>
      </w:numPr>
    </w:pPr>
  </w:style>
  <w:style w:type="paragraph" w:customStyle="1" w:styleId="Bullet0">
    <w:name w:val="Bullet 0"/>
    <w:basedOn w:val="Normal"/>
    <w:pPr>
      <w:numPr>
        <w:numId w:val="38"/>
      </w:numPr>
    </w:pPr>
  </w:style>
  <w:style w:type="paragraph" w:customStyle="1" w:styleId="Bullet1">
    <w:name w:val="Bullet 1"/>
    <w:basedOn w:val="Normal"/>
    <w:pPr>
      <w:numPr>
        <w:numId w:val="39"/>
      </w:numPr>
    </w:pPr>
  </w:style>
  <w:style w:type="paragraph" w:customStyle="1" w:styleId="Bullet2">
    <w:name w:val="Bullet 2"/>
    <w:basedOn w:val="Normal"/>
    <w:pPr>
      <w:numPr>
        <w:numId w:val="40"/>
      </w:numPr>
    </w:pPr>
  </w:style>
  <w:style w:type="paragraph" w:customStyle="1" w:styleId="Bullet3">
    <w:name w:val="Bullet 3"/>
    <w:basedOn w:val="Normal"/>
    <w:pPr>
      <w:numPr>
        <w:numId w:val="41"/>
      </w:numPr>
    </w:pPr>
  </w:style>
  <w:style w:type="paragraph" w:customStyle="1" w:styleId="Bullet4">
    <w:name w:val="Bullet 4"/>
    <w:basedOn w:val="Normal"/>
    <w:pPr>
      <w:numPr>
        <w:numId w:val="4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rFonts w:cs="Times New Roman"/>
      <w:b/>
      <w:bCs/>
      <w:shd w:val="clear" w:color="auto" w:fill="auto"/>
    </w:rPr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mt-MT"/>
    </w:rPr>
  </w:style>
  <w:style w:type="paragraph" w:styleId="ListNumber">
    <w:name w:val="List Number"/>
    <w:basedOn w:val="Normal"/>
    <w:pPr>
      <w:numPr>
        <w:numId w:val="5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">
    <w:name w:val="List Dash"/>
    <w:basedOn w:val="Normal"/>
    <w:pPr>
      <w:numPr>
        <w:numId w:val="2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3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4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5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5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5"/>
      </w:numPr>
    </w:pPr>
    <w:rPr>
      <w:rFonts w:eastAsia="Times New Roman"/>
    </w:rPr>
  </w:style>
  <w:style w:type="character" w:styleId="CommentReference">
    <w:name w:val="annotation reference"/>
    <w:rPr>
      <w:rFonts w:cs="Times New Roman"/>
      <w:sz w:val="16"/>
      <w:szCs w:val="16"/>
      <w:lang w:val="mt-MT" w:eastAsia="mt-MT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lang w:val="mt-MT" w:eastAsia="mt-MT"/>
    </w:rPr>
  </w:style>
  <w:style w:type="character" w:styleId="Hyperlink">
    <w:name w:val="Hyperlink"/>
    <w:rPr>
      <w:rFonts w:cs="Times New Roman"/>
      <w:color w:val="0000FF"/>
      <w:u w:val="single"/>
      <w:lang w:val="mt-MT" w:eastAsia="mt-MT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20"/>
    </w:rPr>
  </w:style>
  <w:style w:type="paragraph" w:styleId="TableofFigures">
    <w:name w:val="table of figures"/>
    <w:basedOn w:val="Normal"/>
    <w:next w:val="Normal"/>
    <w:rPr>
      <w:rFonts w:eastAsia="Times New Roman"/>
    </w:rPr>
  </w:style>
  <w:style w:type="paragraph" w:styleId="ListBullet">
    <w:name w:val="List Bullet"/>
    <w:basedOn w:val="Normal"/>
    <w:pPr>
      <w:numPr>
        <w:numId w:val="6"/>
      </w:numPr>
      <w:contextualSpacing/>
    </w:pPr>
    <w:rPr>
      <w:rFonts w:eastAsia="Times New Roman"/>
    </w:rPr>
  </w:style>
  <w:style w:type="paragraph" w:styleId="ListBullet2">
    <w:name w:val="List Bullet 2"/>
    <w:basedOn w:val="Normal"/>
    <w:pPr>
      <w:numPr>
        <w:numId w:val="7"/>
      </w:numPr>
      <w:contextualSpacing/>
    </w:pPr>
    <w:rPr>
      <w:rFonts w:eastAsia="Times New Roman"/>
    </w:rPr>
  </w:style>
  <w:style w:type="paragraph" w:styleId="ListBullet3">
    <w:name w:val="List Bullet 3"/>
    <w:basedOn w:val="Normal"/>
    <w:pPr>
      <w:numPr>
        <w:numId w:val="8"/>
      </w:numPr>
      <w:contextualSpacing/>
    </w:pPr>
    <w:rPr>
      <w:rFonts w:eastAsia="Times New Roman"/>
    </w:rPr>
  </w:style>
  <w:style w:type="paragraph" w:styleId="ListBullet4">
    <w:name w:val="List Bullet 4"/>
    <w:basedOn w:val="Normal"/>
    <w:pPr>
      <w:numPr>
        <w:numId w:val="9"/>
      </w:numPr>
      <w:contextualSpacing/>
    </w:pPr>
    <w:rPr>
      <w:rFonts w:eastAsia="Times New Roman"/>
    </w:rPr>
  </w:style>
  <w:style w:type="paragraph" w:styleId="ListNumber2">
    <w:name w:val="List Number 2"/>
    <w:basedOn w:val="Normal"/>
    <w:pPr>
      <w:numPr>
        <w:numId w:val="10"/>
      </w:numPr>
      <w:contextualSpacing/>
    </w:pPr>
    <w:rPr>
      <w:rFonts w:eastAsia="Times New Roman"/>
    </w:rPr>
  </w:style>
  <w:style w:type="paragraph" w:styleId="ListNumber3">
    <w:name w:val="List Number 3"/>
    <w:basedOn w:val="Normal"/>
    <w:pPr>
      <w:numPr>
        <w:numId w:val="11"/>
      </w:numPr>
      <w:contextualSpacing/>
    </w:pPr>
    <w:rPr>
      <w:rFonts w:eastAsia="Times New Roman"/>
    </w:rPr>
  </w:style>
  <w:style w:type="paragraph" w:styleId="ListNumber4">
    <w:name w:val="List Number 4"/>
    <w:basedOn w:val="Normal"/>
    <w:pPr>
      <w:numPr>
        <w:numId w:val="12"/>
      </w:numPr>
      <w:contextualSpacing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lang w:val="mt-MT" w:eastAsia="mt-MT"/>
    </w:rPr>
  </w:style>
  <w:style w:type="character" w:styleId="FollowedHyperlink">
    <w:name w:val="FollowedHyperlink"/>
    <w:rPr>
      <w:color w:val="800080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0"/>
      </w:numPr>
    </w:pPr>
  </w:style>
  <w:style w:type="paragraph" w:customStyle="1" w:styleId="Tiret1">
    <w:name w:val="Tiret 1"/>
    <w:basedOn w:val="Point1"/>
    <w:pPr>
      <w:numPr>
        <w:numId w:val="31"/>
      </w:numPr>
    </w:pPr>
  </w:style>
  <w:style w:type="paragraph" w:customStyle="1" w:styleId="Tiret2">
    <w:name w:val="Tiret 2"/>
    <w:basedOn w:val="Point2"/>
    <w:pPr>
      <w:numPr>
        <w:numId w:val="32"/>
      </w:numPr>
    </w:pPr>
  </w:style>
  <w:style w:type="paragraph" w:customStyle="1" w:styleId="Tiret3">
    <w:name w:val="Tiret 3"/>
    <w:basedOn w:val="Point3"/>
    <w:pPr>
      <w:numPr>
        <w:numId w:val="33"/>
      </w:numPr>
    </w:pPr>
  </w:style>
  <w:style w:type="paragraph" w:customStyle="1" w:styleId="Tiret4">
    <w:name w:val="Tiret 4"/>
    <w:basedOn w:val="Point4"/>
    <w:pPr>
      <w:numPr>
        <w:numId w:val="3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7"/>
      </w:numPr>
    </w:pPr>
  </w:style>
  <w:style w:type="paragraph" w:customStyle="1" w:styleId="Point1number">
    <w:name w:val="Point 1 (number)"/>
    <w:basedOn w:val="Normal"/>
    <w:pPr>
      <w:numPr>
        <w:ilvl w:val="2"/>
        <w:numId w:val="37"/>
      </w:numPr>
    </w:pPr>
  </w:style>
  <w:style w:type="paragraph" w:customStyle="1" w:styleId="Point2number">
    <w:name w:val="Point 2 (number)"/>
    <w:basedOn w:val="Normal"/>
    <w:pPr>
      <w:numPr>
        <w:ilvl w:val="4"/>
        <w:numId w:val="37"/>
      </w:numPr>
    </w:pPr>
  </w:style>
  <w:style w:type="paragraph" w:customStyle="1" w:styleId="Point3number">
    <w:name w:val="Point 3 (number)"/>
    <w:basedOn w:val="Normal"/>
    <w:pPr>
      <w:numPr>
        <w:ilvl w:val="6"/>
        <w:numId w:val="37"/>
      </w:numPr>
    </w:pPr>
  </w:style>
  <w:style w:type="paragraph" w:customStyle="1" w:styleId="Point0letter">
    <w:name w:val="Point 0 (letter)"/>
    <w:basedOn w:val="Normal"/>
    <w:pPr>
      <w:numPr>
        <w:ilvl w:val="1"/>
        <w:numId w:val="37"/>
      </w:numPr>
    </w:pPr>
  </w:style>
  <w:style w:type="paragraph" w:customStyle="1" w:styleId="Point1letter">
    <w:name w:val="Point 1 (letter)"/>
    <w:basedOn w:val="Normal"/>
    <w:pPr>
      <w:numPr>
        <w:ilvl w:val="3"/>
        <w:numId w:val="37"/>
      </w:numPr>
    </w:pPr>
  </w:style>
  <w:style w:type="paragraph" w:customStyle="1" w:styleId="Point2letter">
    <w:name w:val="Point 2 (letter)"/>
    <w:basedOn w:val="Normal"/>
    <w:pPr>
      <w:numPr>
        <w:ilvl w:val="5"/>
        <w:numId w:val="37"/>
      </w:numPr>
    </w:pPr>
  </w:style>
  <w:style w:type="paragraph" w:customStyle="1" w:styleId="Point3letter">
    <w:name w:val="Point 3 (letter)"/>
    <w:basedOn w:val="Normal"/>
    <w:pPr>
      <w:numPr>
        <w:ilvl w:val="7"/>
        <w:numId w:val="37"/>
      </w:numPr>
    </w:pPr>
  </w:style>
  <w:style w:type="paragraph" w:customStyle="1" w:styleId="Point4letter">
    <w:name w:val="Point 4 (letter)"/>
    <w:basedOn w:val="Normal"/>
    <w:pPr>
      <w:numPr>
        <w:ilvl w:val="8"/>
        <w:numId w:val="37"/>
      </w:numPr>
    </w:pPr>
  </w:style>
  <w:style w:type="paragraph" w:customStyle="1" w:styleId="Bullet0">
    <w:name w:val="Bullet 0"/>
    <w:basedOn w:val="Normal"/>
    <w:pPr>
      <w:numPr>
        <w:numId w:val="38"/>
      </w:numPr>
    </w:pPr>
  </w:style>
  <w:style w:type="paragraph" w:customStyle="1" w:styleId="Bullet1">
    <w:name w:val="Bullet 1"/>
    <w:basedOn w:val="Normal"/>
    <w:pPr>
      <w:numPr>
        <w:numId w:val="39"/>
      </w:numPr>
    </w:pPr>
  </w:style>
  <w:style w:type="paragraph" w:customStyle="1" w:styleId="Bullet2">
    <w:name w:val="Bullet 2"/>
    <w:basedOn w:val="Normal"/>
    <w:pPr>
      <w:numPr>
        <w:numId w:val="40"/>
      </w:numPr>
    </w:pPr>
  </w:style>
  <w:style w:type="paragraph" w:customStyle="1" w:styleId="Bullet3">
    <w:name w:val="Bullet 3"/>
    <w:basedOn w:val="Normal"/>
    <w:pPr>
      <w:numPr>
        <w:numId w:val="41"/>
      </w:numPr>
    </w:pPr>
  </w:style>
  <w:style w:type="paragraph" w:customStyle="1" w:styleId="Bullet4">
    <w:name w:val="Bullet 4"/>
    <w:basedOn w:val="Normal"/>
    <w:pPr>
      <w:numPr>
        <w:numId w:val="4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-lex.europa.eu/LexUriServ/LexUriServ.do?uri=OJ:L:1998:139:0001:0005:EN:PDF" TargetMode="External"/><Relationship Id="rId2" Type="http://schemas.openxmlformats.org/officeDocument/2006/relationships/hyperlink" Target="https://eur-lex.europa.eu/legal-content/EN/TXT/?uri=celex:32014R0331" TargetMode="External"/><Relationship Id="rId1" Type="http://schemas.openxmlformats.org/officeDocument/2006/relationships/hyperlink" Target="http://eur-lex.europa.eu/legal-content/EN/TXT/?uri=CELEX:32015R076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FCF7-CCD9-4622-A493-8233BE50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6</Pages>
  <Words>1001</Words>
  <Characters>7674</Characters>
  <Application>Microsoft Office Word</Application>
  <DocSecurity>0</DocSecurity>
  <Lines>134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2018-04-19T08:21:00Z</cp:lastPrinted>
  <dcterms:created xsi:type="dcterms:W3CDTF">2018-06-05T12:52:00Z</dcterms:created>
  <dcterms:modified xsi:type="dcterms:W3CDTF">2018-06-06T14:16:00Z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SJ-016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