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6E7BAE70-62B1-42D3-A93F-1ACB28802985" style="width:450.4pt;height:383.45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PRILOG I.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 </w:t>
      </w:r>
    </w:p>
    <w:p>
      <w:pPr>
        <w:rPr>
          <w:b/>
          <w:noProof/>
          <w:u w:val="single"/>
        </w:rPr>
      </w:pPr>
    </w:p>
    <w:p>
      <w:pPr>
        <w:pStyle w:val="Annexetitreexpos"/>
        <w:rPr>
          <w:noProof/>
        </w:rPr>
      </w:pPr>
      <w:r>
        <w:rPr>
          <w:noProof/>
        </w:rPr>
        <w:t xml:space="preserve">Zajednički pokazatelji za opću potporu tematskog područja ESF-a plus pod podijeljenim upravljanjem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Svi osobni podaci raščlanjuju se po spolu (ženski, muški, „nebinarni”). Ako određene rezultate nije moguće dobiti, podaci o tim rezultatima ne trebaju se prikupljati i priopćavati.</w:t>
      </w:r>
    </w:p>
    <w:p>
      <w:pPr>
        <w:rPr>
          <w:noProof/>
        </w:rPr>
      </w:pPr>
    </w:p>
    <w:p>
      <w:pPr>
        <w:pStyle w:val="Point0"/>
        <w:rPr>
          <w:b/>
          <w:noProof/>
        </w:rPr>
      </w:pPr>
      <w:r>
        <w:rPr>
          <w:b/>
          <w:noProof/>
        </w:rPr>
        <w:t>(1) Zajednički pokazatelji ostvarenja povezani s operacijama namijenjenima građanima:</w:t>
      </w:r>
    </w:p>
    <w:p>
      <w:pPr>
        <w:rPr>
          <w:noProof/>
          <w:vertAlign w:val="superscript"/>
        </w:rPr>
      </w:pPr>
      <w:r>
        <w:rPr>
          <w:noProof/>
        </w:rPr>
        <w:t>(1a) Zajednički pokazatelji ostvarenja za sudionike</w:t>
      </w:r>
    </w:p>
    <w:p>
      <w:pPr>
        <w:rPr>
          <w:noProof/>
        </w:rPr>
      </w:pPr>
    </w:p>
    <w:p>
      <w:pPr>
        <w:pStyle w:val="Tiret0"/>
        <w:numPr>
          <w:ilvl w:val="0"/>
          <w:numId w:val="9"/>
        </w:numPr>
        <w:rPr>
          <w:noProof/>
        </w:rPr>
      </w:pPr>
      <w:r>
        <w:rPr>
          <w:noProof/>
        </w:rPr>
        <w:t xml:space="preserve">Zajednički pokazatelji ostvarenja za sudionike su sljedeći:  </w:t>
      </w:r>
    </w:p>
    <w:p>
      <w:pPr>
        <w:pStyle w:val="Tiret0"/>
        <w:rPr>
          <w:noProof/>
        </w:rPr>
      </w:pPr>
      <w:r>
        <w:rPr>
          <w:noProof/>
        </w:rPr>
        <w:t xml:space="preserve">nezaposleni, uključujući dugotrajno nezaposlene*, </w:t>
      </w:r>
    </w:p>
    <w:p>
      <w:pPr>
        <w:pStyle w:val="Tiret0"/>
        <w:rPr>
          <w:noProof/>
        </w:rPr>
      </w:pPr>
      <w:r>
        <w:rPr>
          <w:noProof/>
        </w:rPr>
        <w:t xml:space="preserve">dugotrajno nezaposleni*, </w:t>
      </w:r>
    </w:p>
    <w:p>
      <w:pPr>
        <w:pStyle w:val="Tiret0"/>
        <w:rPr>
          <w:noProof/>
        </w:rPr>
      </w:pPr>
      <w:r>
        <w:rPr>
          <w:noProof/>
        </w:rPr>
        <w:t>neaktivni*,</w:t>
      </w:r>
    </w:p>
    <w:p>
      <w:pPr>
        <w:pStyle w:val="Tiret0"/>
        <w:rPr>
          <w:noProof/>
        </w:rPr>
      </w:pPr>
      <w:r>
        <w:rPr>
          <w:noProof/>
        </w:rPr>
        <w:t xml:space="preserve">zaposleni, uključujući samozaposlene*, </w:t>
      </w:r>
    </w:p>
    <w:p>
      <w:pPr>
        <w:pStyle w:val="Tiret0"/>
        <w:rPr>
          <w:noProof/>
        </w:rPr>
      </w:pPr>
      <w:r>
        <w:rPr>
          <w:noProof/>
        </w:rPr>
        <w:t xml:space="preserve">mlađi od 30 godina*, </w:t>
      </w:r>
    </w:p>
    <w:p>
      <w:pPr>
        <w:pStyle w:val="Tiret0"/>
        <w:rPr>
          <w:noProof/>
        </w:rPr>
      </w:pPr>
      <w:r>
        <w:rPr>
          <w:noProof/>
        </w:rPr>
        <w:t xml:space="preserve">stariji od 54 godine*, </w:t>
      </w:r>
    </w:p>
    <w:p>
      <w:pPr>
        <w:pStyle w:val="Tiret0"/>
        <w:rPr>
          <w:noProof/>
        </w:rPr>
      </w:pPr>
      <w:r>
        <w:rPr>
          <w:noProof/>
        </w:rPr>
        <w:t>s najviše nižim sekundarnim obrazovanjem (ISCED 0–2)*,</w:t>
      </w:r>
    </w:p>
    <w:p>
      <w:pPr>
        <w:pStyle w:val="Tiret0"/>
        <w:rPr>
          <w:noProof/>
        </w:rPr>
      </w:pPr>
      <w:r>
        <w:rPr>
          <w:noProof/>
        </w:rPr>
        <w:t xml:space="preserve">s višim srednjim (ISCED 3) ili visokoškolskim obrazovanjem (ISCED 4)*, </w:t>
      </w:r>
    </w:p>
    <w:p>
      <w:pPr>
        <w:pStyle w:val="Tiret0"/>
        <w:rPr>
          <w:noProof/>
        </w:rPr>
      </w:pPr>
      <w:r>
        <w:rPr>
          <w:noProof/>
        </w:rPr>
        <w:t xml:space="preserve">s tercijarnim obrazovanjem (ISCED 5–8)*.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Ukupan broj sudionika izračunava se automatski na temelju zajedničkih pokazatelja ostvarenja povezanih s radnim statusom.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(1b) Drugi zajednički pokazatelji ostvarenja </w:t>
      </w:r>
    </w:p>
    <w:p>
      <w:pPr>
        <w:rPr>
          <w:noProof/>
        </w:rPr>
      </w:pPr>
      <w:r>
        <w:rPr>
          <w:noProof/>
        </w:rPr>
        <w:t xml:space="preserve">Ako se podaci za te pokazatelje ne prikupljaju iz registara podataka, vrijednosti tih pokazatelja mogu se odrediti prema utemeljenim procjenama korisnika. </w:t>
      </w:r>
    </w:p>
    <w:p>
      <w:pPr>
        <w:pStyle w:val="Tiret0"/>
        <w:rPr>
          <w:noProof/>
        </w:rPr>
      </w:pPr>
      <w:r>
        <w:rPr>
          <w:noProof/>
        </w:rPr>
        <w:t>sudionici s invaliditetom**,</w:t>
      </w:r>
    </w:p>
    <w:p>
      <w:pPr>
        <w:pStyle w:val="Tiret0"/>
        <w:rPr>
          <w:noProof/>
        </w:rPr>
      </w:pPr>
      <w:r>
        <w:rPr>
          <w:noProof/>
        </w:rPr>
        <w:t>državljani trećih zemalja*,</w:t>
      </w:r>
    </w:p>
    <w:p>
      <w:pPr>
        <w:pStyle w:val="Tiret0"/>
        <w:rPr>
          <w:noProof/>
        </w:rPr>
      </w:pPr>
      <w:r>
        <w:rPr>
          <w:noProof/>
        </w:rPr>
        <w:t>sudionici stranog podrijetla*,</w:t>
      </w:r>
    </w:p>
    <w:p>
      <w:pPr>
        <w:pStyle w:val="Tiret0"/>
        <w:rPr>
          <w:noProof/>
        </w:rPr>
      </w:pPr>
      <w:r>
        <w:rPr>
          <w:noProof/>
        </w:rPr>
        <w:t xml:space="preserve">manjine (uključujući marginalizirane zajednice poput romske zajednice)**, </w:t>
      </w:r>
    </w:p>
    <w:p>
      <w:pPr>
        <w:pStyle w:val="Tiret0"/>
        <w:rPr>
          <w:noProof/>
        </w:rPr>
      </w:pPr>
      <w:r>
        <w:rPr>
          <w:noProof/>
        </w:rPr>
        <w:t>beskućnici ili osobe pogođene isključenošću u pogledu stanovanja*,</w:t>
      </w:r>
    </w:p>
    <w:p>
      <w:pPr>
        <w:pStyle w:val="Tiret0"/>
        <w:rPr>
          <w:noProof/>
        </w:rPr>
      </w:pPr>
      <w:r>
        <w:rPr>
          <w:noProof/>
        </w:rPr>
        <w:lastRenderedPageBreak/>
        <w:t>sudionici iz ruralnih područja*.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 xml:space="preserve">(2) Zajednički pokazatelji ostvarenja za subjekte su sljedeći: </w:t>
      </w:r>
    </w:p>
    <w:p>
      <w:pPr>
        <w:pStyle w:val="Tiret0"/>
        <w:rPr>
          <w:noProof/>
        </w:rPr>
      </w:pPr>
      <w:r>
        <w:rPr>
          <w:noProof/>
        </w:rPr>
        <w:t xml:space="preserve">broj javnih uprava ili javnih službi na nacionalnoj, regionalnoj ili lokalnoj razini kojima je dana potpora, </w:t>
      </w:r>
    </w:p>
    <w:p>
      <w:pPr>
        <w:pStyle w:val="Tiret0"/>
        <w:rPr>
          <w:noProof/>
        </w:rPr>
      </w:pPr>
      <w:r>
        <w:rPr>
          <w:noProof/>
        </w:rPr>
        <w:t xml:space="preserve">broj mikropoduzeća te malih i srednjih poduzeća kojima je dana potpora (uključujući zadružna poduzeća i socijalna poduzeća). 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 xml:space="preserve">(3) Zajednički pokazatelji trenutačnih rezultata za sudionike su sljedeći:  </w:t>
      </w:r>
    </w:p>
    <w:p>
      <w:pPr>
        <w:rPr>
          <w:noProof/>
        </w:rPr>
      </w:pPr>
      <w:r>
        <w:rPr>
          <w:noProof/>
        </w:rPr>
        <w:t xml:space="preserve"> </w:t>
      </w:r>
    </w:p>
    <w:p>
      <w:pPr>
        <w:pStyle w:val="Tiret0"/>
        <w:rPr>
          <w:noProof/>
        </w:rPr>
      </w:pPr>
      <w:r>
        <w:rPr>
          <w:noProof/>
        </w:rPr>
        <w:t xml:space="preserve">sudionici koji traže posao nakon prestanka sudjelovanja*, </w:t>
      </w:r>
    </w:p>
    <w:p>
      <w:pPr>
        <w:pStyle w:val="Tiret0"/>
        <w:rPr>
          <w:noProof/>
        </w:rPr>
      </w:pPr>
      <w:r>
        <w:rPr>
          <w:noProof/>
        </w:rPr>
        <w:t xml:space="preserve">sudionici koji se obrazuju/osposobljavaju nakon prestanka sudjelovanja*, </w:t>
      </w:r>
    </w:p>
    <w:p>
      <w:pPr>
        <w:pStyle w:val="Tiret0"/>
        <w:rPr>
          <w:noProof/>
        </w:rPr>
      </w:pPr>
      <w:r>
        <w:rPr>
          <w:noProof/>
        </w:rPr>
        <w:t xml:space="preserve">sudionici koji stječu kvalifikaciju nakon prestanka sudjelovanja*, </w:t>
      </w:r>
    </w:p>
    <w:p>
      <w:pPr>
        <w:pStyle w:val="Tiret0"/>
        <w:rPr>
          <w:noProof/>
        </w:rPr>
      </w:pPr>
      <w:r>
        <w:rPr>
          <w:noProof/>
        </w:rPr>
        <w:t xml:space="preserve">sudionici koji imaju posao, uključujući samozaposlene, nakon prestanka sudjelovanja*. 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 xml:space="preserve">(4) Zajednički dugoročniji pokazatelji rezultata za sudionike: </w:t>
      </w:r>
    </w:p>
    <w:p>
      <w:pPr>
        <w:rPr>
          <w:noProof/>
        </w:rPr>
      </w:pPr>
    </w:p>
    <w:p>
      <w:pPr>
        <w:pStyle w:val="Tiret0"/>
        <w:rPr>
          <w:noProof/>
        </w:rPr>
      </w:pPr>
      <w:r>
        <w:rPr>
          <w:noProof/>
        </w:rPr>
        <w:t>sudionici koji imaju posao, uključujući samozaposlene, šest mjeseci nakon prestanka sudjelovanja*,</w:t>
      </w:r>
    </w:p>
    <w:p>
      <w:pPr>
        <w:pStyle w:val="Tiret0"/>
        <w:rPr>
          <w:noProof/>
        </w:rPr>
      </w:pPr>
      <w:r>
        <w:rPr>
          <w:noProof/>
        </w:rPr>
        <w:t xml:space="preserve">sudionici s poboljšanom situacijom na tržištu rada šest mjeseci nakon prestanka sudjelovanja*, </w:t>
      </w:r>
    </w:p>
    <w:p>
      <w:pPr>
        <w:rPr>
          <w:noProof/>
        </w:rPr>
      </w:pPr>
      <w:r>
        <w:rPr>
          <w:noProof/>
        </w:rPr>
        <w:t>Minimalni je uvjet da se ti podaci prikupljaju na temelju reprezentativnog uzorka sudionika u okviru svakog posebnog cilja. Osigurava se interna valjanost uzorka tako da se podaci mogu uopćavati na razini posebnog cilja.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column"/>
      </w:r>
    </w:p>
    <w:p>
      <w:pPr>
        <w:pStyle w:val="Annexetitre"/>
        <w:rPr>
          <w:noProof/>
        </w:rPr>
      </w:pPr>
      <w:r>
        <w:rPr>
          <w:noProof/>
        </w:rPr>
        <w:t>PRILOG II.</w:t>
      </w:r>
    </w:p>
    <w:p>
      <w:pPr>
        <w:pStyle w:val="Annexetitreexpos"/>
        <w:rPr>
          <w:noProof/>
        </w:rPr>
      </w:pPr>
      <w:r>
        <w:rPr>
          <w:noProof/>
        </w:rPr>
        <w:t xml:space="preserve">Zajednički pokazatelji za potporu ESF-a plus za suzbijanje materijalne oskudice </w:t>
      </w:r>
    </w:p>
    <w:p>
      <w:pPr>
        <w:rPr>
          <w:noProof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3"/>
        <w:gridCol w:w="20"/>
      </w:tblGrid>
      <w:tr>
        <w:trPr>
          <w:tblCellSpacing w:w="0" w:type="dxa"/>
        </w:trPr>
        <w:tc>
          <w:tcPr>
            <w:tcW w:w="9053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(1) Pokazatelji ostvarenja </w:t>
            </w:r>
          </w:p>
          <w:p>
            <w:pPr>
              <w:rPr>
                <w:noProof/>
              </w:rPr>
            </w:pPr>
            <w:r>
              <w:rPr>
                <w:b/>
                <w:noProof/>
              </w:rPr>
              <w:t>(a)</w:t>
            </w:r>
            <w:r>
              <w:rPr>
                <w:noProof/>
              </w:rPr>
              <w:t xml:space="preserve"> Ukupna novčana vrijednost podijeljene hrane i robe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88"/>
              <w:gridCol w:w="8595"/>
            </w:tblGrid>
            <w:tr>
              <w:trPr>
                <w:tblCellSpacing w:w="0" w:type="dxa"/>
              </w:trPr>
              <w:tc>
                <w:tcPr>
                  <w:tcW w:w="354" w:type="dxa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i.</w:t>
                  </w:r>
                </w:p>
              </w:tc>
              <w:tc>
                <w:tcPr>
                  <w:tcW w:w="8301" w:type="dxa"/>
                  <w:gridSpan w:val="2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ukupna vrijednost potpore u hrani;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"/>
                    <w:gridCol w:w="8118"/>
                  </w:tblGrid>
                  <w:tr>
                    <w:trPr>
                      <w:tblCellSpacing w:w="0" w:type="dxa"/>
                    </w:trPr>
                    <w:tc>
                      <w:tcPr>
                        <w:tcW w:w="632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i.a</w:t>
                        </w:r>
                      </w:p>
                    </w:tc>
                    <w:tc>
                      <w:tcPr>
                        <w:tcW w:w="9119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ukupna novčana vrijednost hrane za djecu;</w:t>
                        </w:r>
                      </w:p>
                    </w:tc>
                  </w:tr>
                  <w:tr>
                    <w:trPr>
                      <w:tblCellSpacing w:w="0" w:type="dxa"/>
                    </w:trPr>
                    <w:tc>
                      <w:tcPr>
                        <w:tcW w:w="632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i.b</w:t>
                        </w:r>
                      </w:p>
                    </w:tc>
                    <w:tc>
                      <w:tcPr>
                        <w:tcW w:w="9119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ukupna novčana vrijednost hrane za beskućnike;</w:t>
                        </w:r>
                      </w:p>
                    </w:tc>
                  </w:tr>
                  <w:tr>
                    <w:trPr>
                      <w:trHeight w:val="80"/>
                      <w:tblCellSpacing w:w="0" w:type="dxa"/>
                    </w:trPr>
                    <w:tc>
                      <w:tcPr>
                        <w:tcW w:w="632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i.c</w:t>
                        </w:r>
                      </w:p>
                    </w:tc>
                    <w:tc>
                      <w:tcPr>
                        <w:tcW w:w="9119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ukupna novčana vrijednost hrane za druge ciljne skupine;</w:t>
                        </w:r>
                      </w:p>
                    </w:tc>
                  </w:tr>
                </w:tbl>
                <w:p>
                  <w:pPr>
                    <w:rPr>
                      <w:noProof/>
                    </w:rPr>
                  </w:pPr>
                </w:p>
              </w:tc>
            </w:tr>
            <w:tr>
              <w:trPr>
                <w:tblCellSpacing w:w="0" w:type="dxa"/>
              </w:trPr>
              <w:tc>
                <w:tcPr>
                  <w:tcW w:w="438" w:type="dxa"/>
                  <w:gridSpan w:val="2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ii.</w:t>
                  </w:r>
                </w:p>
              </w:tc>
              <w:tc>
                <w:tcPr>
                  <w:tcW w:w="8217" w:type="dxa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ukupna vrijednost podijeljene robe;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3"/>
                    <w:gridCol w:w="7952"/>
                  </w:tblGrid>
                  <w:tr>
                    <w:trPr>
                      <w:tblCellSpacing w:w="0" w:type="dxa"/>
                    </w:trPr>
                    <w:tc>
                      <w:tcPr>
                        <w:tcW w:w="720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ii.a</w:t>
                        </w:r>
                      </w:p>
                    </w:tc>
                    <w:tc>
                      <w:tcPr>
                        <w:tcW w:w="8933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ukupna novčana vrijednost robe za djecu;</w:t>
                        </w:r>
                      </w:p>
                    </w:tc>
                  </w:tr>
                  <w:tr>
                    <w:trPr>
                      <w:tblCellSpacing w:w="0" w:type="dxa"/>
                    </w:trPr>
                    <w:tc>
                      <w:tcPr>
                        <w:tcW w:w="720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ii.b</w:t>
                        </w:r>
                      </w:p>
                    </w:tc>
                    <w:tc>
                      <w:tcPr>
                        <w:tcW w:w="8933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ukupna novčana vrijednost robe za beskućnike;</w:t>
                        </w:r>
                      </w:p>
                    </w:tc>
                  </w:tr>
                  <w:tr>
                    <w:trPr>
                      <w:trHeight w:val="80"/>
                      <w:tblCellSpacing w:w="0" w:type="dxa"/>
                    </w:trPr>
                    <w:tc>
                      <w:tcPr>
                        <w:tcW w:w="720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ii.c</w:t>
                        </w:r>
                      </w:p>
                    </w:tc>
                    <w:tc>
                      <w:tcPr>
                        <w:tcW w:w="8933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ukupna novčana vrijednost robe za druge ciljne skupine.</w:t>
                        </w:r>
                      </w:p>
                    </w:tc>
                  </w:tr>
                </w:tbl>
                <w:p>
                  <w:pPr>
                    <w:rPr>
                      <w:noProof/>
                    </w:rPr>
                  </w:pPr>
                </w:p>
              </w:tc>
            </w:tr>
          </w:tbl>
          <w:p>
            <w:pPr>
              <w:rPr>
                <w:b/>
                <w:noProof/>
              </w:rPr>
            </w:pPr>
          </w:p>
          <w:p>
            <w:pPr>
              <w:rPr>
                <w:noProof/>
              </w:rPr>
            </w:pPr>
            <w:r>
              <w:rPr>
                <w:noProof/>
              </w:rPr>
              <w:t>(b) Ukupna količina podijeljene potpore u hrani (u tonama)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Od toga</w:t>
            </w:r>
            <w:r>
              <w:rPr>
                <w:rStyle w:val="FootnoteReference"/>
                <w:noProof/>
              </w:rPr>
              <w:footnoteReference w:id="3"/>
            </w:r>
            <w:r>
              <w:rPr>
                <w:noProof/>
              </w:rPr>
              <w:t>: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7"/>
              <w:gridCol w:w="8795"/>
            </w:tblGrid>
            <w:tr>
              <w:trPr>
                <w:tblCellSpacing w:w="0" w:type="dxa"/>
              </w:trPr>
              <w:tc>
                <w:tcPr>
                  <w:tcW w:w="258" w:type="dxa"/>
                  <w:gridSpan w:val="2"/>
                  <w:hideMark/>
                </w:tcPr>
                <w:p>
                  <w:pPr>
                    <w:pStyle w:val="Point0letter"/>
                    <w:numPr>
                      <w:ilvl w:val="1"/>
                      <w:numId w:val="10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>(a)</w:t>
                  </w:r>
                </w:p>
              </w:tc>
              <w:tc>
                <w:tcPr>
                  <w:tcW w:w="8795" w:type="dxa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udio hrane za koju su iz programa plaćeni samo prijevoz, podjela i skladištenje (u %);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41" w:type="dxa"/>
                  <w:hideMark/>
                </w:tcPr>
                <w:p>
                  <w:pPr>
                    <w:pStyle w:val="Point0let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(b)</w:t>
                  </w:r>
                </w:p>
              </w:tc>
              <w:tc>
                <w:tcPr>
                  <w:tcW w:w="8812" w:type="dxa"/>
                  <w:gridSpan w:val="2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udio prehrambenih proizvoda sufinanciranih iz ESF-a plus u ukupnom volumenu hrane podijeljene korisnicima (u %).</w:t>
                  </w:r>
                </w:p>
              </w:tc>
            </w:tr>
          </w:tbl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(2) Zajednički pokazatelji rezultata</w:t>
            </w:r>
            <w:r>
              <w:rPr>
                <w:rStyle w:val="FootnoteReference"/>
                <w:b/>
                <w:noProof/>
              </w:rPr>
              <w:footnoteReference w:id="4"/>
            </w:r>
          </w:p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Broj primatelja pomoći u hrani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– broj djece u dobi od 18 godina ili manje,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– broj mladih u dobi od 18 do 29 godina,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– broj primatelja pomoći u dobi od 54 godine ili više,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– broj primatelja pomoći s invaliditetom,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– broj državljana trećih zemalja,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– broj primatelja pomoći koji su stranog podrijetla i pripadnici manjina (uključujući marginalizirane zajednice poput romske zajednice),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– broj primatelja pomoći koji su beskućnici ili osobe pogođene isključenošću u pogledu stanovanja.</w:t>
            </w:r>
          </w:p>
          <w:p>
            <w:pPr>
              <w:rPr>
                <w:noProof/>
              </w:rPr>
            </w:pPr>
          </w:p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Broj primatelja materijalne pomoći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– broj djece u dobi od 18 godina ili manje,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– broj mladih u dobi od 18 do 29 godina,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– broj primatelja pomoći u dobi od 54 godine ili više,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– broj primatelja pomoći s invaliditetom,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– broj državljana trećih zemalja,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– broj primatelja pomoći koji su stranog podrijetla i pripadnici manjina (uključujući marginalizirane zajednice poput romske zajednice),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– broj primatelja pomoći koji su beskućnici ili osobe pogođene isključenošću u pogledu stanovanja.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</w:tc>
        <w:tc>
          <w:tcPr>
            <w:tcW w:w="20" w:type="dxa"/>
          </w:tcPr>
          <w:p>
            <w:pPr>
              <w:rPr>
                <w:noProof/>
              </w:rPr>
            </w:pP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column"/>
      </w:r>
    </w:p>
    <w:p>
      <w:pPr>
        <w:pStyle w:val="Annexetitre"/>
        <w:rPr>
          <w:noProof/>
        </w:rPr>
      </w:pPr>
      <w:r>
        <w:rPr>
          <w:noProof/>
        </w:rPr>
        <w:t>PRILOG III.</w:t>
      </w:r>
    </w:p>
    <w:p>
      <w:pPr>
        <w:pStyle w:val="Annexetitreexpos"/>
        <w:rPr>
          <w:noProof/>
        </w:rPr>
      </w:pPr>
      <w:r>
        <w:rPr>
          <w:noProof/>
        </w:rPr>
        <w:t>Pokazatelji za tematsko područje Zdravlje</w:t>
      </w:r>
    </w:p>
    <w:p>
      <w:pPr>
        <w:rPr>
          <w:rFonts w:ascii="EC Square Sans Cond Pro" w:hAnsi="EC Square Sans Cond Pro"/>
          <w:b/>
          <w:noProof/>
          <w:szCs w:val="24"/>
        </w:rPr>
      </w:pPr>
    </w:p>
    <w:p>
      <w:pPr>
        <w:rPr>
          <w:b/>
          <w:noProof/>
          <w:szCs w:val="24"/>
        </w:rPr>
      </w:pPr>
      <w:r>
        <w:rPr>
          <w:b/>
          <w:noProof/>
        </w:rPr>
        <w:t>Stupanj integriranog rada u području zdravlja i upotrebe rezultata programa u nacionalnim zdravstvenim politikama</w:t>
      </w:r>
    </w:p>
    <w:p>
      <w:pPr>
        <w:rPr>
          <w:noProof/>
          <w:szCs w:val="24"/>
        </w:rPr>
      </w:pPr>
      <w:r>
        <w:rPr>
          <w:noProof/>
        </w:rPr>
        <w:t>1. Broj pacijenata koji primaju pomoć europskih referentnih mreža</w:t>
      </w:r>
    </w:p>
    <w:p>
      <w:pPr>
        <w:rPr>
          <w:noProof/>
          <w:szCs w:val="24"/>
        </w:rPr>
      </w:pPr>
      <w:r>
        <w:rPr>
          <w:noProof/>
        </w:rPr>
        <w:t>2. Broj zajedničkih kliničkih procjena zdravstvenih tehnologija</w:t>
      </w:r>
    </w:p>
    <w:p>
      <w:pPr>
        <w:rPr>
          <w:noProof/>
          <w:szCs w:val="24"/>
        </w:rPr>
      </w:pPr>
      <w:r>
        <w:rPr>
          <w:noProof/>
        </w:rPr>
        <w:t xml:space="preserve">3. Broj prenesenih najboljih praksi </w:t>
      </w:r>
    </w:p>
    <w:p>
      <w:pPr>
        <w:rPr>
          <w:noProof/>
          <w:szCs w:val="24"/>
        </w:rPr>
      </w:pPr>
      <w:r>
        <w:rPr>
          <w:noProof/>
        </w:rPr>
        <w:t>4. Stupanj upotrebe rezultata programa u nacionalnoj zdravstvenoj politici kako je izmjeren u upitniku o upotrebi prije i poslije</w:t>
      </w:r>
    </w:p>
    <w:p>
      <w:pPr>
        <w:rPr>
          <w:b/>
          <w:noProof/>
        </w:rPr>
      </w:pPr>
    </w:p>
    <w:sectPr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 Square Sans Cond Pro">
    <w:altName w:val="Segoe UI"/>
    <w:charset w:val="00"/>
    <w:family w:val="swiss"/>
    <w:pitch w:val="variable"/>
    <w:sig w:usb0="00000001" w:usb1="500000D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Podaci prijavljeni za pokazatelje koji su obilježeni znakom * osobni su podaci u skladu s člankom 4. stavkom 1. Uredbe (EU) 2016/679. Podaci prijavljeni za pokazatelje koji su obilježeni znakom ** posebna su kategorija podataka u skladu s člankom 9. Uredbe (EU) 2016/679.</w:t>
      </w:r>
    </w:p>
  </w:footnote>
  <w:footnote w:id="3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ab/>
        <w:t>Vrijednosti tih pokazatelja utvrđuju se prema utemeljenim procjenama korisnika.</w:t>
      </w:r>
    </w:p>
  </w:footnote>
  <w:footnote w:id="4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Vidjeti prethodnu bilješku.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73227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90AE0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03AE9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BF8E7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A5403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F12D9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0CE2B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7085B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4 20:44:0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7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Prijedlogu"/>
    <w:docVar w:name="LW_ACCOMPAGNANT.CP" w:val="Prijedlogu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6E7BAE70-62B1-42D3-A93F-1ACB28802985"/>
    <w:docVar w:name="LW_COVERPAGE_TYPE" w:val="1"/>
    <w:docVar w:name="LW_CROSSREFERENCE" w:val="{SEC(2018) 273 final}_x000b_{SWD(2018) 289 final}"/>
    <w:docVar w:name="LW_DocType" w:val="ANNEX"/>
    <w:docVar w:name="LW_EMISSION" w:val="30.5.2018."/>
    <w:docVar w:name="LW_EMISSION_ISODATE" w:val="2018-05-30"/>
    <w:docVar w:name="LW_EMISSION_LOCATION" w:val="BRX"/>
    <w:docVar w:name="LW_EMISSION_PREFIX" w:val="Bruxelles,"/>
    <w:docVar w:name="LW_EMISSION_SUFFIX" w:val="&lt;EMPTY&gt;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o Europskom socijalnom fondu plus (ESF+)"/>
    <w:docVar w:name="LW_OBJETACTEPRINCIPAL.CP" w:val="o Europskom socijalnom fondu plus (ESF+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38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ZI"/>
    <w:docVar w:name="LW_TYPE.DOC.CP" w:val="PRILOZI"/>
    <w:docVar w:name="LW_TYPEACTEPRINCIPAL" w:val="UREDBE EUROPSKOG PARLAMENTA I VIJE\u262?A"/>
    <w:docVar w:name="LW_TYPEACTEPRINCIPAL.CP" w:val="UREDBE EUROPSKOG PARLAMENTA I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table" w:styleId="TableGrid">
    <w:name w:val="Table Grid"/>
    <w:aliases w:val="Document Table,CV1,Standard table format,Simple table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Char">
    <w:name w:val="Text 1 Char"/>
    <w:basedOn w:val="DefaultParagraphFont"/>
    <w:locked/>
    <w:rPr>
      <w:rFonts w:ascii="Times New Roman" w:hAnsi="Times New Roman" w:cs="Times New Roman"/>
      <w:sz w:val="24"/>
      <w:lang w:val="hr-H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table" w:styleId="TableGrid">
    <w:name w:val="Table Grid"/>
    <w:aliases w:val="Document Table,CV1,Standard table format,Simple table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Char">
    <w:name w:val="Text 1 Char"/>
    <w:basedOn w:val="DefaultParagraphFont"/>
    <w:locked/>
    <w:rPr>
      <w:rFonts w:ascii="Times New Roman" w:hAnsi="Times New Roman" w:cs="Times New Roman"/>
      <w:sz w:val="24"/>
      <w:lang w:val="hr-H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9239F874EA5FD41B34AF9113097C08F" ma:contentTypeVersion="0" ma:contentTypeDescription="Create a new document in this library." ma:contentTypeScope="" ma:versionID="99fc3b33ce158b1cfa40fb971bf5e058">
  <xsd:schema xmlns:xsd="http://www.w3.org/2001/XMLSchema" xmlns:xs="http://www.w3.org/2001/XMLSchema" xmlns:p="http://schemas.microsoft.com/office/2006/metadata/properties" xmlns:ns2="http://schemas.microsoft.com/sharepoint/v3/fields" xmlns:ns3="4E797991-D6A1-4B98-93D1-0DE95956AA90" targetNamespace="http://schemas.microsoft.com/office/2006/metadata/properties" ma:root="true" ma:fieldsID="d7a5695c33f04cc0477b592f9a9edf29" ns2:_="" ns3:_="">
    <xsd:import namespace="http://schemas.microsoft.com/sharepoint/v3/fields"/>
    <xsd:import namespace="4E797991-D6A1-4B98-93D1-0DE95956AA90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97991-D6A1-4B98-93D1-0DE95956AA90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DocumentLanguage xmlns="4E797991-D6A1-4B98-93D1-0DE95956AA90">EN</EC_Collab_DocumentLanguage>
    <EC_Collab_Status xmlns="4E797991-D6A1-4B98-93D1-0DE95956AA90">Not Started</EC_Collab_Status>
    <EC_Collab_Reference xmlns="4E797991-D6A1-4B98-93D1-0DE95956AA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1DF1-F6A7-4683-A88D-3F7E414E3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E797991-D6A1-4B98-93D1-0DE95956A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EA59C-E272-4F8C-95C5-A5984BA388B1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http://purl.org/dc/elements/1.1/"/>
    <ds:schemaRef ds:uri="4E797991-D6A1-4B98-93D1-0DE95956AA90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C88729-F544-44F8-A409-F896C8FC6D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F9CE1-DD46-473F-8DE8-CF02666C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6</Pages>
  <Words>657</Words>
  <Characters>4295</Characters>
  <Application>Microsoft Office Word</Application>
  <DocSecurity>0</DocSecurity>
  <Lines>153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180524 - Egreffe ESF+ Annexes</vt:lpstr>
    </vt:vector>
  </TitlesOfParts>
  <Company>European Commission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180524 - Egreffe ESF+ Annexes</dc:title>
  <dc:subject>180524 - Egreffe ESF+ Annexes</dc:subject>
  <dc:creator>EMPL F1</dc:creator>
  <cp:lastModifiedBy>DIGIT/A3</cp:lastModifiedBy>
  <cp:revision>10</cp:revision>
  <dcterms:created xsi:type="dcterms:W3CDTF">2018-06-04T15:06:00Z</dcterms:created>
  <dcterms:modified xsi:type="dcterms:W3CDTF">2018-06-04T18:44:00Z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3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0x010100258AA79CEB83498886A3A086811232500089239F874EA5FD41B34AF9113097C08F</vt:lpwstr>
  </property>
  <property fmtid="{D5CDD505-2E9C-101B-9397-08002B2CF9AE}" pid="14" name="DQCStatus">
    <vt:lpwstr>Green (DQC version 03)</vt:lpwstr>
  </property>
</Properties>
</file>