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9E2BF16D-55E2-4459-A6F8-0B26AA2F959E" style="width:450.75pt;height:384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I</w:t>
      </w:r>
      <w:r>
        <w:rPr>
          <w:rStyle w:val="FootnoteReference"/>
          <w:noProof/>
        </w:rPr>
        <w:footnoteReference w:id="2"/>
      </w:r>
    </w:p>
    <w:p>
      <w:pPr>
        <w:rPr>
          <w:b/>
          <w:noProof/>
          <w:u w:val="single"/>
        </w:rPr>
      </w:pPr>
    </w:p>
    <w:p>
      <w:pPr>
        <w:pStyle w:val="Annexetitreexpos"/>
        <w:rPr>
          <w:noProof/>
        </w:rPr>
      </w:pPr>
      <w:r>
        <w:rPr>
          <w:noProof/>
        </w:rPr>
        <w:t xml:space="preserve">Wspólne wskaźniki dotyczące wsparcia ogólnego z komponentu EFS+ objętego zarządzaniem dzielonym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Wszystkie dane osobowe mają być przedstawione w podziale według płci (kobieta, mężczyzna, osoba niebinarna). Jeżeli określone rezultaty nie są możliwe, dane odnoszące się do tych rezultatów nie muszą być gromadzone ani przekazywane.</w:t>
      </w:r>
    </w:p>
    <w:p>
      <w:pPr>
        <w:rPr>
          <w:noProof/>
        </w:rPr>
      </w:pPr>
    </w:p>
    <w:p>
      <w:pPr>
        <w:pStyle w:val="Point0"/>
        <w:rPr>
          <w:b/>
          <w:noProof/>
        </w:rPr>
      </w:pPr>
      <w:r>
        <w:rPr>
          <w:b/>
          <w:noProof/>
        </w:rPr>
        <w:t>1) Wspólne wskaźniki produktu dotyczące operacji kierowanych do osób są następujące:</w:t>
      </w:r>
    </w:p>
    <w:p>
      <w:pPr>
        <w:rPr>
          <w:noProof/>
          <w:vertAlign w:val="superscript"/>
        </w:rPr>
      </w:pPr>
      <w:r>
        <w:rPr>
          <w:noProof/>
        </w:rPr>
        <w:t>1a) Wspólne wskaźniki produktu dotyczące uczestników</w:t>
      </w:r>
    </w:p>
    <w:p>
      <w:pPr>
        <w:rPr>
          <w:noProof/>
        </w:rPr>
      </w:pP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Wspólne wskaźniki produktu dotyczące uczestników są następujące: </w:t>
      </w:r>
    </w:p>
    <w:p>
      <w:pPr>
        <w:pStyle w:val="Tiret0"/>
        <w:rPr>
          <w:noProof/>
        </w:rPr>
      </w:pPr>
      <w:r>
        <w:rPr>
          <w:noProof/>
        </w:rPr>
        <w:t xml:space="preserve">bezrobotni, w tym długotrwale bezrobotni*; </w:t>
      </w:r>
    </w:p>
    <w:p>
      <w:pPr>
        <w:pStyle w:val="Tiret0"/>
        <w:rPr>
          <w:noProof/>
        </w:rPr>
      </w:pPr>
      <w:r>
        <w:rPr>
          <w:noProof/>
        </w:rPr>
        <w:t xml:space="preserve">długotrwale bezrobotni*; </w:t>
      </w:r>
    </w:p>
    <w:p>
      <w:pPr>
        <w:pStyle w:val="Tiret0"/>
        <w:rPr>
          <w:noProof/>
        </w:rPr>
      </w:pPr>
      <w:r>
        <w:rPr>
          <w:noProof/>
        </w:rPr>
        <w:t>osoby bierne zawodowo*;</w:t>
      </w:r>
    </w:p>
    <w:p>
      <w:pPr>
        <w:pStyle w:val="Tiret0"/>
        <w:rPr>
          <w:noProof/>
        </w:rPr>
      </w:pPr>
      <w:r>
        <w:rPr>
          <w:noProof/>
        </w:rPr>
        <w:t xml:space="preserve">osoby pracujące, łącznie z prowadzącymi działalność na własny rachunek*; </w:t>
      </w:r>
    </w:p>
    <w:p>
      <w:pPr>
        <w:pStyle w:val="Tiret0"/>
        <w:rPr>
          <w:noProof/>
        </w:rPr>
      </w:pPr>
      <w:r>
        <w:rPr>
          <w:noProof/>
        </w:rPr>
        <w:t xml:space="preserve">osoby poniżej 30 lat*; </w:t>
      </w:r>
    </w:p>
    <w:p>
      <w:pPr>
        <w:pStyle w:val="Tiret0"/>
        <w:rPr>
          <w:noProof/>
        </w:rPr>
      </w:pPr>
      <w:r>
        <w:rPr>
          <w:noProof/>
        </w:rPr>
        <w:t xml:space="preserve">osoby powyżej 54 lat*; </w:t>
      </w:r>
    </w:p>
    <w:p>
      <w:pPr>
        <w:pStyle w:val="Tiret0"/>
        <w:rPr>
          <w:noProof/>
        </w:rPr>
      </w:pPr>
      <w:r>
        <w:rPr>
          <w:noProof/>
        </w:rPr>
        <w:t>osoby z wykształceniem średnim I stopnia lub niższym (ISCED 0–2)*;</w:t>
      </w:r>
    </w:p>
    <w:p>
      <w:pPr>
        <w:pStyle w:val="Tiret0"/>
        <w:rPr>
          <w:noProof/>
        </w:rPr>
      </w:pPr>
      <w:r>
        <w:rPr>
          <w:noProof/>
        </w:rPr>
        <w:t xml:space="preserve">osoby z wykształceniem na poziomie ponadgimnazjalnym (ISCED 3) lub policealnym (ISCED 4)*; </w:t>
      </w:r>
    </w:p>
    <w:p>
      <w:pPr>
        <w:pStyle w:val="Tiret0"/>
        <w:rPr>
          <w:noProof/>
        </w:rPr>
      </w:pPr>
      <w:r>
        <w:rPr>
          <w:noProof/>
        </w:rPr>
        <w:t>osoby z wykształceniem wyższym (ISCED 5–8)*.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Łączna liczba uczestników ma być obliczana automatycznie na podstawie wspólnych wskaźników produktu związanych ze statusem zatrudnienia.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1b) Pozostałe wspólne wskaźniki produktu</w:t>
      </w:r>
    </w:p>
    <w:p>
      <w:pPr>
        <w:rPr>
          <w:noProof/>
        </w:rPr>
      </w:pPr>
      <w:r>
        <w:rPr>
          <w:noProof/>
        </w:rPr>
        <w:t>Jeżeli dane dotyczące tych wskaźników nie są gromadzone z rejestrów danych, wartości tych wskaźników mogą być ustalone przez beneficjenta na podstawie wiarygodnych szacunków.</w:t>
      </w:r>
    </w:p>
    <w:p>
      <w:pPr>
        <w:pStyle w:val="Tiret0"/>
        <w:rPr>
          <w:noProof/>
        </w:rPr>
      </w:pPr>
      <w:r>
        <w:rPr>
          <w:noProof/>
        </w:rPr>
        <w:t>uczestnicy z niepełnosprawnościami**;</w:t>
      </w:r>
    </w:p>
    <w:p>
      <w:pPr>
        <w:pStyle w:val="Tiret0"/>
        <w:rPr>
          <w:noProof/>
        </w:rPr>
      </w:pPr>
      <w:r>
        <w:rPr>
          <w:noProof/>
        </w:rPr>
        <w:t>obywatele państw trzecich*;</w:t>
      </w:r>
    </w:p>
    <w:p>
      <w:pPr>
        <w:pStyle w:val="Tiret0"/>
        <w:rPr>
          <w:noProof/>
        </w:rPr>
      </w:pPr>
      <w:r>
        <w:rPr>
          <w:noProof/>
        </w:rPr>
        <w:t>uczestnicy obcego pochodzenia*;</w:t>
      </w:r>
    </w:p>
    <w:p>
      <w:pPr>
        <w:pStyle w:val="Tiret0"/>
        <w:rPr>
          <w:noProof/>
        </w:rPr>
      </w:pPr>
      <w:r>
        <w:rPr>
          <w:noProof/>
        </w:rPr>
        <w:lastRenderedPageBreak/>
        <w:t>mniejszości (w tym społeczności marginalizowane, takie jak Romowie)**;</w:t>
      </w:r>
    </w:p>
    <w:p>
      <w:pPr>
        <w:pStyle w:val="Tiret0"/>
        <w:rPr>
          <w:noProof/>
        </w:rPr>
      </w:pPr>
      <w:r>
        <w:rPr>
          <w:noProof/>
        </w:rPr>
        <w:t>osoby bezdomne lub dotknięte wykluczeniem mieszkaniowym*;</w:t>
      </w:r>
    </w:p>
    <w:p>
      <w:pPr>
        <w:pStyle w:val="Tiret0"/>
        <w:rPr>
          <w:noProof/>
        </w:rPr>
      </w:pPr>
      <w:r>
        <w:rPr>
          <w:noProof/>
        </w:rPr>
        <w:t>uczestnicy z obszarów wiejskich*.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2) Wspólne wskaźniki produktu dotyczące podmiotów są następujące:</w:t>
      </w:r>
    </w:p>
    <w:p>
      <w:pPr>
        <w:pStyle w:val="Tiret0"/>
        <w:rPr>
          <w:noProof/>
        </w:rPr>
      </w:pPr>
      <w:r>
        <w:rPr>
          <w:noProof/>
        </w:rPr>
        <w:t xml:space="preserve">liczba objętych wsparciem podmiotów administracji publicznej lub służb publicznych na szczeblu krajowym, regionalnym lub lokalnym; </w:t>
      </w:r>
    </w:p>
    <w:p>
      <w:pPr>
        <w:pStyle w:val="Tiret0"/>
        <w:rPr>
          <w:noProof/>
        </w:rPr>
      </w:pPr>
      <w:r>
        <w:rPr>
          <w:noProof/>
        </w:rPr>
        <w:t xml:space="preserve">liczba objętych wsparciem mikro-, małych i średnich przedsiębiorstw (w tym przedsiębiorstw spółdzielczych i przedsiębiorstw społecznych).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3) Wspólne wskaźniki rezultatu bezpośredniego dotyczące uczestników są następujące: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pStyle w:val="Tiret0"/>
        <w:rPr>
          <w:noProof/>
        </w:rPr>
      </w:pPr>
      <w:r>
        <w:rPr>
          <w:noProof/>
        </w:rPr>
        <w:t xml:space="preserve">uczestnicy poszukujący pracy po zakończeniu udziału w programie*; </w:t>
      </w:r>
    </w:p>
    <w:p>
      <w:pPr>
        <w:pStyle w:val="Tiret0"/>
        <w:rPr>
          <w:noProof/>
        </w:rPr>
      </w:pPr>
      <w:r>
        <w:rPr>
          <w:noProof/>
        </w:rPr>
        <w:t xml:space="preserve">uczestnicy biorący udział w kształceniu lub szkoleniu po zakończeniu udziału w programie*; </w:t>
      </w:r>
    </w:p>
    <w:p>
      <w:pPr>
        <w:pStyle w:val="Tiret0"/>
        <w:rPr>
          <w:noProof/>
        </w:rPr>
      </w:pPr>
      <w:r>
        <w:rPr>
          <w:noProof/>
        </w:rPr>
        <w:t xml:space="preserve">uczestnicy uzyskujący kwalifikacje po zakończeniu udziału w programie*; </w:t>
      </w:r>
    </w:p>
    <w:p>
      <w:pPr>
        <w:pStyle w:val="Tiret0"/>
        <w:rPr>
          <w:noProof/>
        </w:rPr>
      </w:pPr>
      <w:r>
        <w:rPr>
          <w:noProof/>
        </w:rPr>
        <w:t xml:space="preserve">uczestnicy pracujący, łącznie z prowadzącymi działalność na własny rachunek, po zakończeniu udziału w programie*.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4) Wspólne wskaźniki rezultatu długoterminowego dotyczące uczestników są następujące: </w:t>
      </w:r>
    </w:p>
    <w:p>
      <w:pPr>
        <w:rPr>
          <w:noProof/>
        </w:rPr>
      </w:pPr>
    </w:p>
    <w:p>
      <w:pPr>
        <w:pStyle w:val="Tiret0"/>
        <w:rPr>
          <w:noProof/>
        </w:rPr>
      </w:pPr>
      <w:r>
        <w:rPr>
          <w:noProof/>
        </w:rPr>
        <w:t>uczestnicy pracujący, łącznie z prowadzącymi działalność na własny rachunek, sześć miesięcy po zakończeniu udziału w programie*;</w:t>
      </w:r>
    </w:p>
    <w:p>
      <w:pPr>
        <w:pStyle w:val="Tiret0"/>
        <w:rPr>
          <w:noProof/>
        </w:rPr>
      </w:pPr>
      <w:r>
        <w:rPr>
          <w:noProof/>
        </w:rPr>
        <w:t xml:space="preserve">uczestnicy znajdujący się w lepszej sytuacji na rynku pracy sześć miesięcy po zakończeniu udziału w programie*; </w:t>
      </w:r>
    </w:p>
    <w:p>
      <w:pPr>
        <w:rPr>
          <w:noProof/>
        </w:rPr>
      </w:pPr>
      <w:r>
        <w:rPr>
          <w:noProof/>
        </w:rPr>
        <w:t>Jako wymóg minimalny dane te mają być gromadzone na podstawie reprezentatywnej próby uczestników w ramach każdego celu szczegółowego. Należy zapewnić wiarygodność wewnętrzną próby tak, aby zebrane dane mogły być uogólnione na poziomie danego celu szczegółowego.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ZAŁĄCZNIK II</w:t>
      </w:r>
    </w:p>
    <w:p>
      <w:pPr>
        <w:pStyle w:val="Annexetitreexpos"/>
        <w:rPr>
          <w:noProof/>
        </w:rPr>
      </w:pPr>
      <w:r>
        <w:rPr>
          <w:noProof/>
        </w:rPr>
        <w:t xml:space="preserve">Wspólne wskaźniki dotyczące wsparcia z EFS+ na zwalczanie deprywacji materialnej </w:t>
      </w:r>
    </w:p>
    <w:p>
      <w:pPr>
        <w:rPr>
          <w:noProof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20"/>
      </w:tblGrid>
      <w:tr>
        <w:trPr>
          <w:tblCellSpacing w:w="0" w:type="dxa"/>
        </w:trPr>
        <w:tc>
          <w:tcPr>
            <w:tcW w:w="9053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1) Wskaźniki produktu </w:t>
            </w:r>
          </w:p>
          <w:p>
            <w:pPr>
              <w:rPr>
                <w:noProof/>
              </w:rPr>
            </w:pPr>
            <w:r>
              <w:rPr>
                <w:b/>
                <w:noProof/>
              </w:rPr>
              <w:t>a)</w:t>
            </w:r>
            <w:r>
              <w:rPr>
                <w:noProof/>
              </w:rPr>
              <w:t xml:space="preserve"> Łączna wartość pieniężna dostarczonej żywności i produktów.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88"/>
              <w:gridCol w:w="8595"/>
            </w:tblGrid>
            <w:tr>
              <w:trPr>
                <w:tblCellSpacing w:w="0" w:type="dxa"/>
              </w:trPr>
              <w:tc>
                <w:tcPr>
                  <w:tcW w:w="354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(i)</w:t>
                  </w:r>
                </w:p>
              </w:tc>
              <w:tc>
                <w:tcPr>
                  <w:tcW w:w="8301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łączna wartość pomocy żywnościowej;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8118"/>
                  </w:tblGrid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(ia)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łączna wartość pieniężna żywności dla dzieci;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(ib)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łączna wartość pieniężna żywności dla bezdomnych;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(ic)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łączna wartość pieniężna żywności dla innych grup docelowych;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438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(ii)</w:t>
                  </w:r>
                </w:p>
              </w:tc>
              <w:tc>
                <w:tcPr>
                  <w:tcW w:w="8217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łączna wartość dostarczonych produktów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"/>
                    <w:gridCol w:w="7952"/>
                  </w:tblGrid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(iia)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łączna wartość pieniężna produktów dla dzieci;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(iib)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łączna wartość pieniężna produktów dla bezdomnych;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(iic)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łączna wartość pieniężna produktów dla innych grup docelowych.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</w:tbl>
          <w:p>
            <w:pPr>
              <w:rPr>
                <w:b/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b) Łączna ilość udzielonej pomocy żywnościowej (w tonach)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Z czego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8769"/>
            </w:tblGrid>
            <w:tr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>
                  <w:pPr>
                    <w:pStyle w:val="Point0"/>
                    <w:rPr>
                      <w:noProof/>
                    </w:rPr>
                  </w:pPr>
                  <w:r>
                    <w:rPr>
                      <w:noProof/>
                    </w:rPr>
                    <w:t>a)</w:t>
                  </w:r>
                  <w:r>
                    <w:rPr>
                      <w:noProof/>
                    </w:rPr>
                    <w:tab/>
                    <w:t>a)</w:t>
                  </w:r>
                </w:p>
              </w:tc>
              <w:tc>
                <w:tcPr>
                  <w:tcW w:w="8769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procentowy udział żywności, w przypadku której z programu pokryto jedynie koszty transportu, dystrybucji i magazynowania;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>
                  <w:pPr>
                    <w:pStyle w:val="Point0"/>
                    <w:rPr>
                      <w:noProof/>
                    </w:rPr>
                  </w:pPr>
                  <w:r>
                    <w:rPr>
                      <w:noProof/>
                    </w:rPr>
                    <w:t>b)</w:t>
                  </w:r>
                  <w:r>
                    <w:rPr>
                      <w:noProof/>
                    </w:rPr>
                    <w:tab/>
                    <w:t xml:space="preserve"> b)</w:t>
                  </w:r>
                </w:p>
              </w:tc>
              <w:tc>
                <w:tcPr>
                  <w:tcW w:w="8769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procentowy udział żywności współfinansowanej z EFS+ w łącznej ilości żywności dostarczonej beneficjentom.</w:t>
                  </w:r>
                </w:p>
              </w:tc>
            </w:tr>
          </w:tbl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3) Wspólne wskaźniki rezultatu</w:t>
            </w:r>
            <w:r>
              <w:rPr>
                <w:rStyle w:val="FootnoteReference"/>
                <w:b/>
                <w:noProof/>
              </w:rPr>
              <w:footnoteReference w:id="4"/>
            </w: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Liczba odbiorców końcowych otrzymujących pomoc żywnościową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dzieci w wieku poniżej 18 lat;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– liczba młodzieży w wielu 18–29 lat;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liczba odbiorców końcowych w wieku powyżej 54 lat;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odbiorców końcowych z niepełnosprawnościami;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obywateli państw trzecich;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liczba odbiorców końcowych obcego pochodzenia i należących do mniejszości (w tym społeczności marginalizowanych, takich jak Romowie);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bezdomnych odbiorców końcowych lub odbiorców końcowych dotkniętych wykluczeniem mieszkaniowym.</w:t>
            </w:r>
          </w:p>
          <w:p>
            <w:pPr>
              <w:rPr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Liczba odbiorców końcowych otrzymujących pomoc materialną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dzieci w wieku poniżej 18 lat;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młodzieży w wielu 18–29 lat;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liczba odbiorców końcowych w wieku powyżej 54 lat;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odbiorców końcowych z niepełnosprawnościami;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liczba obywateli państw trzecich;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liczba odbiorców końcowych obcego pochodzenia i należących do mniejszości (w tym społeczności marginalizowanych, takich jak Romowie);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liczba bezdomnych odbiorców końcowych lub odbiorców końcowych dotkniętych wykluczeniem mieszkaniowym.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  <w:tc>
          <w:tcPr>
            <w:tcW w:w="20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ZAŁĄCZNIK III</w:t>
      </w:r>
    </w:p>
    <w:p>
      <w:pPr>
        <w:pStyle w:val="Annexetitreexpos"/>
        <w:rPr>
          <w:noProof/>
        </w:rPr>
      </w:pPr>
      <w:r>
        <w:rPr>
          <w:noProof/>
        </w:rPr>
        <w:t>Wskaźniki dla komponentu „Zdrowie”</w:t>
      </w:r>
    </w:p>
    <w:p>
      <w:pPr>
        <w:rPr>
          <w:rFonts w:ascii="EC Square Sans Cond Pro" w:hAnsi="EC Square Sans Cond Pro"/>
          <w:b/>
          <w:noProof/>
          <w:szCs w:val="24"/>
        </w:rPr>
      </w:pPr>
    </w:p>
    <w:p>
      <w:pPr>
        <w:rPr>
          <w:b/>
          <w:noProof/>
          <w:szCs w:val="24"/>
        </w:rPr>
      </w:pPr>
      <w:r>
        <w:rPr>
          <w:b/>
          <w:noProof/>
        </w:rPr>
        <w:t>Poziom zintegrowanych działań w dziedzinie zdrowia i poziom wykorzystania rezultatów programu w krajowych politykach zdrowotnych</w:t>
      </w:r>
    </w:p>
    <w:p>
      <w:pPr>
        <w:rPr>
          <w:noProof/>
          <w:szCs w:val="24"/>
        </w:rPr>
      </w:pPr>
      <w:r>
        <w:rPr>
          <w:noProof/>
        </w:rPr>
        <w:t>1. Liczba pacjentów otrzymujących wsparcie z europejskich sieci referencyjnych</w:t>
      </w:r>
    </w:p>
    <w:p>
      <w:pPr>
        <w:rPr>
          <w:noProof/>
          <w:szCs w:val="24"/>
        </w:rPr>
      </w:pPr>
      <w:r>
        <w:rPr>
          <w:noProof/>
        </w:rPr>
        <w:t>2. Liczba wspólnych ocen klinicznych technologii medycznych</w:t>
      </w:r>
    </w:p>
    <w:p>
      <w:pPr>
        <w:rPr>
          <w:noProof/>
          <w:szCs w:val="24"/>
        </w:rPr>
      </w:pPr>
      <w:r>
        <w:rPr>
          <w:noProof/>
        </w:rPr>
        <w:t xml:space="preserve">3. Liczba transferów najlepszych praktyk </w:t>
      </w:r>
    </w:p>
    <w:p>
      <w:pPr>
        <w:rPr>
          <w:noProof/>
          <w:szCs w:val="24"/>
        </w:rPr>
      </w:pPr>
      <w:r>
        <w:rPr>
          <w:noProof/>
        </w:rPr>
        <w:t>4. Stopień wykorzystania rezultatów programów w krajowej polityce zdrowotnej mierzona za pomocą kwestionariusza „przed i po”</w:t>
      </w:r>
    </w:p>
    <w:p>
      <w:pPr>
        <w:rPr>
          <w:b/>
          <w:noProof/>
        </w:rPr>
      </w:pP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Cond Pro">
    <w:altName w:val="Segoe UI"/>
    <w:charset w:val="00"/>
    <w:family w:val="swiss"/>
    <w:pitch w:val="variable"/>
    <w:sig w:usb0="00000001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Dane przekazane w związku ze wskaźnikami oznaczonymi * są danymi osobowymi zgodnie z art. 4 ust. 1 rozporządzenia (UE) 2016/679. Dane przekazane w związku ze wskaźnikami oznaczonymi gwiazdką ** należą do szczególnej kategorii danych osobowych zgodnie z art. 9 rozporządzenia (UE) 2016/679.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Wartości tych wskaźników mogą być ustalone przez beneficjenta na podstawie wiarygodnych szacunków.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Ibidem.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3227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0AE0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03AE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BF8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5403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12D9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CE2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08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4 20:43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 wniosku dotycz\u261?cego"/>
    <w:docVar w:name="LW_ACCOMPAGNANT.CP" w:val="do wniosku dotycz\u261?cego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9E2BF16D-55E2-4459-A6F8-0B26AA2F959E"/>
    <w:docVar w:name="LW_COVERPAGE_TYPE" w:val="1"/>
    <w:docVar w:name="LW_CROSSREFERENCE" w:val="{SEC(2018) 273 final}_x000b_{SWD(2018) 289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Europejskiego Funduszu Spo\u322?ecznego Plus"/>
    <w:docVar w:name="LW_OBJETACTEPRINCIPAL.CP" w:val="w sprawie Europejskiego Funduszu Spo\u322?ecznego Plus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ROZPORZ\u260?DZENIA PARLAMENTU EUROPEJSKIEGO I RADY"/>
    <w:docVar w:name="LW_TYPEACTEPRINCIPAL.CP" w:val="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4E797991-D6A1-4B98-93D1-0DE95956AA90">EN</EC_Collab_DocumentLanguage>
    <EC_Collab_Status xmlns="4E797991-D6A1-4B98-93D1-0DE95956AA90">Not Started</EC_Collab_Status>
    <EC_Collab_Reference xmlns="4E797991-D6A1-4B98-93D1-0DE95956AA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9239F874EA5FD41B34AF9113097C08F" ma:contentTypeVersion="0" ma:contentTypeDescription="Create a new document in this library." ma:contentTypeScope="" ma:versionID="99fc3b33ce158b1cfa40fb971bf5e058">
  <xsd:schema xmlns:xsd="http://www.w3.org/2001/XMLSchema" xmlns:xs="http://www.w3.org/2001/XMLSchema" xmlns:p="http://schemas.microsoft.com/office/2006/metadata/properties" xmlns:ns2="http://schemas.microsoft.com/sharepoint/v3/fields" xmlns:ns3="4E797991-D6A1-4B98-93D1-0DE95956AA90" targetNamespace="http://schemas.microsoft.com/office/2006/metadata/properties" ma:root="true" ma:fieldsID="d7a5695c33f04cc0477b592f9a9edf29" ns2:_="" ns3:_="">
    <xsd:import namespace="http://schemas.microsoft.com/sharepoint/v3/fields"/>
    <xsd:import namespace="4E797991-D6A1-4B98-93D1-0DE95956AA9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7991-D6A1-4B98-93D1-0DE95956AA9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8729-F544-44F8-A409-F896C8FC6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A59C-E272-4F8C-95C5-A5984BA388B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  <ds:schemaRef ds:uri="4E797991-D6A1-4B98-93D1-0DE95956AA90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01DF1-F6A7-4683-A88D-3F7E414E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E797991-D6A1-4B98-93D1-0DE95956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CE9D8-EB9F-48EC-8B4D-632E6AE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679</Words>
  <Characters>4802</Characters>
  <Application>Microsoft Office Word</Application>
  <DocSecurity>0</DocSecurity>
  <Lines>150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180524 - Egreffe ESF+ Annexes</vt:lpstr>
    </vt:vector>
  </TitlesOfParts>
  <Company>European Commission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180524 - Egreffe ESF+ Annexes</dc:title>
  <dc:subject>180524 - Egreffe ESF+ Annexes</dc:subject>
  <dc:creator>EMPL F1</dc:creator>
  <cp:lastModifiedBy>DIGIT/A3</cp:lastModifiedBy>
  <cp:revision>10</cp:revision>
  <dcterms:created xsi:type="dcterms:W3CDTF">2018-06-04T13:36:00Z</dcterms:created>
  <dcterms:modified xsi:type="dcterms:W3CDTF">2018-06-04T18:43:00Z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0x010100258AA79CEB83498886A3A086811232500089239F874EA5FD41B34AF9113097C08F</vt:lpwstr>
  </property>
  <property fmtid="{D5CDD505-2E9C-101B-9397-08002B2CF9AE}" pid="14" name="DQCStatus">
    <vt:lpwstr>Green (DQC version 03)</vt:lpwstr>
  </property>
</Properties>
</file>