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BFBB5E33-9FF3-4F4A-8CE6-EE3B89C91E3A" style="width:451.5pt;height:396.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t xml:space="preserve">LIITE </w:t>
      </w:r>
    </w:p>
    <w:p>
      <w:pPr>
        <w:pStyle w:val="NormalCentered"/>
        <w:rPr>
          <w:b/>
          <w:noProof/>
        </w:rPr>
      </w:pPr>
      <w:r>
        <w:rPr>
          <w:b/>
          <w:noProof/>
        </w:rPr>
        <w:t>UUDET KOULUTUSVAATIMUKSET</w:t>
      </w:r>
    </w:p>
    <w:p>
      <w:pPr>
        <w:jc w:val="center"/>
        <w:rPr>
          <w:noProof/>
        </w:rPr>
      </w:pPr>
      <w:r>
        <w:rPr>
          <w:noProof/>
        </w:rPr>
        <w:t xml:space="preserve"> (1 artiklassa tarkoitetut)</w:t>
      </w:r>
    </w:p>
    <w:p>
      <w:pPr>
        <w:rPr>
          <w:noProof/>
        </w:rPr>
      </w:pPr>
      <w:r>
        <w:rPr>
          <w:noProof/>
        </w:rPr>
        <w:t>Muutetaan direktiivin 2008/106/EY liite I seuraavasti:</w:t>
      </w:r>
    </w:p>
    <w:p>
      <w:pPr>
        <w:pStyle w:val="Point0number"/>
        <w:numPr>
          <w:ilvl w:val="0"/>
          <w:numId w:val="5"/>
        </w:numPr>
        <w:rPr>
          <w:noProof/>
        </w:rPr>
      </w:pPr>
      <w:r>
        <w:rPr>
          <w:noProof/>
        </w:rPr>
        <w:t xml:space="preserve"> Korvataan liitteessä I olevassa V luvussa oleva sääntö V/2 seuraavasti:</w:t>
      </w:r>
    </w:p>
    <w:p>
      <w:pPr>
        <w:jc w:val="center"/>
        <w:rPr>
          <w:b/>
          <w:noProof/>
        </w:rPr>
      </w:pPr>
      <w:r>
        <w:rPr>
          <w:noProof/>
        </w:rPr>
        <w:t>”</w:t>
      </w:r>
      <w:r>
        <w:rPr>
          <w:b/>
          <w:noProof/>
        </w:rPr>
        <w:t>Sääntö V/2</w:t>
      </w:r>
    </w:p>
    <w:p>
      <w:pPr>
        <w:jc w:val="center"/>
        <w:rPr>
          <w:b/>
          <w:noProof/>
        </w:rPr>
      </w:pPr>
      <w:r>
        <w:rPr>
          <w:b/>
          <w:noProof/>
        </w:rPr>
        <w:t>Matkustaja-aluksen päällikön, päällystön, miehistön ja muun laivaväen koulutukselle ja pätevyydelle asetetut pakolliset vähimmäisvaatimukset</w:t>
      </w:r>
    </w:p>
    <w:p>
      <w:pPr>
        <w:rPr>
          <w:noProof/>
        </w:rPr>
      </w:pPr>
      <w:r>
        <w:rPr>
          <w:noProof/>
        </w:rPr>
        <w:t xml:space="preserve">1. Tätä sääntöä sovelletaan kansainvälisillä matkoilla liikennöivän matkustaja-aluksen päällikköön, päällystöön, miehistöön ja muuhun laivaväkeen. Jäsenvaltiot päättävät, miten kyseisiä vaatimuksia sovelletaan kotimaan matkoilla liikennöivän matkustaja-aluksen henkilöstöön. </w:t>
      </w:r>
    </w:p>
    <w:p>
      <w:pPr>
        <w:rPr>
          <w:noProof/>
        </w:rPr>
      </w:pPr>
      <w:r>
        <w:rPr>
          <w:noProof/>
        </w:rPr>
        <w:t xml:space="preserve">2. Kaikkien matkustaja-aluksella palvelevien henkilöiden on täytettävä STCW-säännöstön säännössä A-VI/1 olevan 1 kohdan vaatimukset ennen kuin heidät voidaan määrätä tehtäviin aluksella.  </w:t>
      </w:r>
    </w:p>
    <w:p>
      <w:pPr>
        <w:rPr>
          <w:noProof/>
        </w:rPr>
      </w:pPr>
      <w:r>
        <w:rPr>
          <w:noProof/>
        </w:rPr>
        <w:t xml:space="preserve">3. Matkustaja-aluksen päällikön, päällystön, miehistön ja muun laivaväen on läpäistävä 5–9 kohdassa vaadittu toimensa, tehtäviensä ja vastuualueidensa mukainen koulutus ja perehdytys.  </w:t>
      </w:r>
    </w:p>
    <w:p>
      <w:pPr>
        <w:rPr>
          <w:noProof/>
        </w:rPr>
      </w:pPr>
      <w:r>
        <w:rPr>
          <w:noProof/>
        </w:rPr>
        <w:t xml:space="preserve">4. Päällikön, päällystön, miehistön ja muun laivaväen, jonka koulutuksen edellytetään olevan 7–9 kohdan mukainen, on vähintään viiden vuoden väliajoin suoritettava asianmukainen täydennyskoulutus tai todistettava hankkineensa vaaditun pätevyystason viiden edeltävän vuoden aikana. </w:t>
      </w:r>
    </w:p>
    <w:p>
      <w:pPr>
        <w:rPr>
          <w:noProof/>
        </w:rPr>
      </w:pPr>
      <w:r>
        <w:rPr>
          <w:noProof/>
        </w:rPr>
        <w:t xml:space="preserve">5. Matkustaja-aluksen laivaväen on suoritettava toimensa, tehtäviensä ja vastuualueidensa kannalta tarkoituksenmukainen STCW-säännöstön säännössä A-V/2 olevassa 1 kohdassa määritelty hätätilanneperehdytys. </w:t>
      </w:r>
    </w:p>
    <w:p>
      <w:pPr>
        <w:rPr>
          <w:noProof/>
        </w:rPr>
      </w:pPr>
      <w:r>
        <w:rPr>
          <w:noProof/>
        </w:rPr>
        <w:t xml:space="preserve">6. Matkustaja-alusten matkustajatiloissa suoraan matkustajille palveluja tarjoavan henkilöstön on läpäistävä STCW-säännöstön säännössä A-V/2 olevassa 2 kohdassa määritelty turvallisuuskoulutus. </w:t>
      </w:r>
    </w:p>
    <w:p>
      <w:pPr>
        <w:rPr>
          <w:noProof/>
        </w:rPr>
      </w:pPr>
      <w:r>
        <w:rPr>
          <w:noProof/>
        </w:rPr>
        <w:t xml:space="preserve">7. Päällikön, päällystön ja miehistön, jolla on II, III ja VII luvun mukainen pätevyys, ja muun laivaväen, joka on hälytysluettelossa määrätty auttamaan matkustajia hätätilanteissa matkustaja-aluksilla, on läpäistävä STCW-säännöstön säännössä A-V/2 olevassa 3 kohdassa määritelty väkijoukkojen hallintaa koskeva koulutus. </w:t>
      </w:r>
    </w:p>
    <w:p>
      <w:pPr>
        <w:rPr>
          <w:noProof/>
        </w:rPr>
      </w:pPr>
      <w:r>
        <w:rPr>
          <w:noProof/>
        </w:rPr>
        <w:t xml:space="preserve">8. Päällikön, konepäällikön, yliperämiehen, ensimmäisen konemestarin ja kunkin henkilön, joka on hälytysluettelossa määrätty vastaamaan matkustajien turvallisuudesta hätätilanteissa matkustaja-aluksilla, on läpäistävä STCW-säännöstön säännössä A-V/2 olevassa 4 kohdassa määritelty hyväksytty kriisitilanteiden hallintaa ja ihmisten käyttäytymistä koskeva koulutus. </w:t>
      </w:r>
    </w:p>
    <w:p>
      <w:pPr>
        <w:rPr>
          <w:noProof/>
        </w:rPr>
      </w:pPr>
      <w:r>
        <w:rPr>
          <w:noProof/>
        </w:rPr>
        <w:t xml:space="preserve">9. Päällikön, konepäällikön, yliperämiehen, ensimmäisen konemestarin ja kunkin henkilön, jolle on määrätty välitön vastuu matkustajien alukseen nousemisesta ja aluksesta poistumisesta, lastin lastauksesta, purkamisesta tai kiinnittämisestä taikka rungon aukkojen sulkemisesta ro-ro-matkustaja-aluksilla, on suoritettava STCW-säännöstön säännössä A-V/2 olevassa 5 kohdassa hyväksytty matkustajaturvallisuutta, lastin turvallisuutta ja rungon eheyttä koskeva koulutus. </w:t>
      </w:r>
    </w:p>
    <w:p>
      <w:pPr>
        <w:rPr>
          <w:noProof/>
        </w:rPr>
      </w:pPr>
      <w:r>
        <w:rPr>
          <w:noProof/>
        </w:rPr>
        <w:t xml:space="preserve">10. Jäsenvaltioiden on varmistettava, että jokaiselle henkilölle, joka todetaan päteväksi tämän säännön 6–9 kohdan mukaisesti, myönnetään asiakirjatodiste läpäistystä koulutuksesta. ” </w:t>
      </w:r>
    </w:p>
    <w:p>
      <w:pPr>
        <w:pStyle w:val="Point0number"/>
        <w:rPr>
          <w:noProof/>
        </w:rPr>
      </w:pPr>
      <w:r>
        <w:rPr>
          <w:noProof/>
        </w:rPr>
        <w:t>Lisätään liitteessä I olevaan V lukuun sääntö V/3 seuraavasti:</w:t>
      </w:r>
    </w:p>
    <w:p>
      <w:pPr>
        <w:jc w:val="center"/>
        <w:rPr>
          <w:b/>
          <w:noProof/>
        </w:rPr>
      </w:pPr>
      <w:r>
        <w:rPr>
          <w:noProof/>
        </w:rPr>
        <w:t>”</w:t>
      </w:r>
      <w:r>
        <w:rPr>
          <w:b/>
          <w:noProof/>
        </w:rPr>
        <w:t>Sääntö V/3</w:t>
      </w:r>
    </w:p>
    <w:p>
      <w:pPr>
        <w:jc w:val="center"/>
        <w:rPr>
          <w:noProof/>
        </w:rPr>
      </w:pPr>
      <w:r>
        <w:rPr>
          <w:b/>
          <w:noProof/>
        </w:rPr>
        <w:t>IGF-säännöstön piiriin kuuluvan aluksen päällikön, päällystön, miehistön ja muun laivaväen koulutukselle ja pätevyydelle asetetut pakolliset vähimmäisvaatimukset</w:t>
      </w:r>
    </w:p>
    <w:p>
      <w:pPr>
        <w:rPr>
          <w:noProof/>
        </w:rPr>
      </w:pPr>
      <w:r>
        <w:rPr>
          <w:noProof/>
        </w:rPr>
        <w:t xml:space="preserve">1. Tätä sääntöä sovelletaan IGF-säännöstön piiriin kuuluvan aluksen päällikköön, päällystöön, miehistöön ja muuhun laivaväkeen. </w:t>
      </w:r>
    </w:p>
    <w:p>
      <w:pPr>
        <w:rPr>
          <w:noProof/>
        </w:rPr>
      </w:pPr>
      <w:r>
        <w:rPr>
          <w:noProof/>
        </w:rPr>
        <w:t xml:space="preserve">2. Merenkulkijoiden on täytynyt läpäistä 4–9 kohdassa vaadittu toimensa, tehtäviensä ja vastuualueidensa mukainen koulutus ennen kuin heidät voidaan määrätä tehtäviin IGF-säännöstön piiriin kuuluvalla aluksella. </w:t>
      </w:r>
    </w:p>
    <w:p>
      <w:pPr>
        <w:rPr>
          <w:noProof/>
        </w:rPr>
      </w:pPr>
      <w:r>
        <w:rPr>
          <w:noProof/>
        </w:rPr>
        <w:t>3. Kaikkien IGF-säännöstön piiriin kuuluvalla aluksella palvelevien merenkulkijoiden on saatava tämän direktiivin 14 artiklan 1 kohdan d alakohdassa määritelty alus- ja varustekohtainen perehdytys ennen kuin heidät voidaan määrätä tehtäviin aluksella.</w:t>
      </w:r>
    </w:p>
    <w:p>
      <w:pPr>
        <w:rPr>
          <w:noProof/>
        </w:rPr>
      </w:pPr>
      <w:r>
        <w:rPr>
          <w:noProof/>
        </w:rPr>
        <w:t xml:space="preserve">4. Merenkulkijoilla, jotka ovat vastuussa määrätyistä turvallisuustehtävistä, jotka liittyvät polttoaineesta huolehtimiseen, polttoaineen käyttöön tai polttoaineeseen liittyvissä hätätilanteissa toimimiseen IGF-säännöstön piiriin kuuluvalla aluksella, on oltava pätevyysasiakirja peruskoulutuksesta, joka koskee palvelua IGF-säännöstön piiriin kuuluvilla aluksilla. </w:t>
      </w:r>
    </w:p>
    <w:p>
      <w:pPr>
        <w:rPr>
          <w:noProof/>
        </w:rPr>
      </w:pPr>
      <w:r>
        <w:rPr>
          <w:noProof/>
        </w:rPr>
        <w:t xml:space="preserve">5. Jokaisen hakijan, joka hakee pätevyysasiakirjaa peruskoulutuksesta, joka koskee palvelua IGF-säännöstön piiriin kuuluvilla aluksilla, on täytynyt läpäistä peruskoulutus STCW-säännöstön säännössä A-V/3 olevan 1 kohdan mukaisesti. </w:t>
      </w:r>
    </w:p>
    <w:p>
      <w:pPr>
        <w:rPr>
          <w:noProof/>
        </w:rPr>
      </w:pPr>
      <w:r>
        <w:rPr>
          <w:noProof/>
        </w:rPr>
        <w:t xml:space="preserve">6. Merenkulkijoiden, jotka ovat vastuussa määrätyistä turvallisuustehtävistä, jotka liittyvät polttoaineesta huolehtimiseen, polttoaineen käyttöön tai polttoaineeseen liittyvissä hätätilanteissa toimimiseen IGF-säännöstön piiriin kuuluvilla aluksilla, ja joilla on nestemäistä kaasua kuljettavaa säiliöalusta koskevassa säännössä V/1-2 olevan 2 ja 5 kohdan tai säännössä V/1-2 olevan 4 ja 5 kohdan mukainen pätevyys ja pätevyysasiakirja, katsotaan täyttävän STCW-säännöstön säännössä A-V/3 olevassa 1 kohdassa määritellyt vaatimukset peruskoulutuksesta, joka koskee palvelua IGF-säännöstön piiriin kuuluvilla aluksilla. </w:t>
      </w:r>
    </w:p>
    <w:p>
      <w:pPr>
        <w:rPr>
          <w:noProof/>
        </w:rPr>
      </w:pPr>
      <w:r>
        <w:rPr>
          <w:noProof/>
        </w:rPr>
        <w:t xml:space="preserve">7. Päälliköllä, konemestarilla ja kullakin henkilöllä, jolla on välitön vastuu polttoaineesta ja polttoainejärjestelmistä huolehtimisesta ja niiden käytöstä IGF-säännöstön piiriin kuuluvalla aluksella, on oltava pätevyysasiakirja jatkokoulutuksesta, joka koskee palvelua IGF-säännöstön piiriin kuuluvilla aluksilla. </w:t>
      </w:r>
    </w:p>
    <w:p>
      <w:pPr>
        <w:rPr>
          <w:noProof/>
        </w:rPr>
      </w:pPr>
      <w:r>
        <w:rPr>
          <w:noProof/>
        </w:rPr>
        <w:t xml:space="preserve">8. Jokaisella hakijalla, joka hakee pätevyysasiakirjaa jatkokoulutuksesta, joka koskee palvelua IGF-säännöstön piiriin kuuluvilla aluksilla, on sen lisäksi, että hänellä on 4 kohdassa kuvattu pätevyystodistus, </w:t>
      </w:r>
    </w:p>
    <w:p>
      <w:pPr>
        <w:ind w:left="720"/>
        <w:rPr>
          <w:noProof/>
        </w:rPr>
      </w:pPr>
      <w:r>
        <w:rPr>
          <w:noProof/>
        </w:rPr>
        <w:t xml:space="preserve">8.1 täytynyt läpäistä hyväksytty jatkokoulutus, joka koskee palvelua IGF-säännöstön piiriin kuuluvilla aluksilla, ja täytettävä STCW-säännöstön säännössä A-V/3 olevassa 2 kohdassa määritelty pätevyystaso; sekä </w:t>
      </w:r>
    </w:p>
    <w:p>
      <w:pPr>
        <w:ind w:left="720"/>
        <w:rPr>
          <w:noProof/>
        </w:rPr>
      </w:pPr>
      <w:r>
        <w:rPr>
          <w:noProof/>
        </w:rPr>
        <w:t xml:space="preserve">8.2 täytynyt suorittaa vähintään yhden kuukauden pituinen hyväksytty meripalvelu, joka kattaa vähintään kolme polttoainetäydennystä IGF-säännöstön piiriin kuuluvilla aluksilla. Näistä kolmesta polttoainetäydennyksestä kaksi voidaan vaihtoehtoisesti suorittaa hyväksyttynä polttoainetäydennyksiä koskevana simulaattorikoulutuksena osana 8.1 kohdassa tarkoitettua koulutusta. </w:t>
      </w:r>
    </w:p>
    <w:p>
      <w:pPr>
        <w:rPr>
          <w:noProof/>
        </w:rPr>
      </w:pPr>
      <w:r>
        <w:rPr>
          <w:noProof/>
        </w:rPr>
        <w:t xml:space="preserve">9. Päällikön, konemestarin ja kunkin henkilön, joilla on välitön vastuu polttoaineesta ja polttoainejärjestelmistä huolehtimisesta ja niiden käytöstä IGF-säännöstön piiriin kuuluvilla aluksilla ja joilla on STCW-säännöstön säännössä A-V/1-2 olevassa 2 kohdassa määriteltyjen pätevyystasojen mukainen pätevyys ja pätevyysasiakirja nestemäistä kaasua kuljettavilla säiliöaluksilla palvelua varten, katsotaan täyttävän STCW-säännöstön säännössä A-V/3 olevassa 2 kohdassa määritellyt vaatimukset jatkokoulutukselle, joka koskee palvelua IGF-säännöstön piiriin kuuluvilla aluksilla, jos he myös </w:t>
      </w:r>
    </w:p>
    <w:p>
      <w:pPr>
        <w:ind w:firstLine="720"/>
        <w:rPr>
          <w:noProof/>
        </w:rPr>
      </w:pPr>
      <w:r>
        <w:rPr>
          <w:noProof/>
        </w:rPr>
        <w:t xml:space="preserve">9.1 täyttävät 6 kohdan mukaiset vaatimukset; sekä </w:t>
      </w:r>
    </w:p>
    <w:p>
      <w:pPr>
        <w:ind w:left="720"/>
        <w:rPr>
          <w:noProof/>
        </w:rPr>
      </w:pPr>
      <w:r>
        <w:rPr>
          <w:noProof/>
        </w:rPr>
        <w:t xml:space="preserve">9.2 täyttävät 8.2 kohdan mukaiset polttoainetäydennysvaatimukset tai ovat osallistuneet kolmeen lastitoimintaan nestemäistä kaasua kuljettavalla säiliöaluksella; sekä </w:t>
      </w:r>
    </w:p>
    <w:p>
      <w:pPr>
        <w:ind w:left="720"/>
        <w:rPr>
          <w:noProof/>
        </w:rPr>
      </w:pPr>
      <w:r>
        <w:rPr>
          <w:noProof/>
        </w:rPr>
        <w:t xml:space="preserve">9.3 ovat suorittaneet edeltävien viiden vuoden aikana kolmen kuukauden pituisen meripalvelun </w:t>
      </w:r>
    </w:p>
    <w:p>
      <w:pPr>
        <w:ind w:left="720" w:firstLine="720"/>
        <w:rPr>
          <w:noProof/>
        </w:rPr>
      </w:pPr>
      <w:r>
        <w:rPr>
          <w:noProof/>
        </w:rPr>
        <w:t xml:space="preserve">9.3.1 IGF-säännöstön piiriin kuuluvalla aluksella; </w:t>
      </w:r>
    </w:p>
    <w:p>
      <w:pPr>
        <w:ind w:left="1440"/>
        <w:rPr>
          <w:noProof/>
        </w:rPr>
      </w:pPr>
      <w:r>
        <w:rPr>
          <w:noProof/>
        </w:rPr>
        <w:t xml:space="preserve">9.3.2 säiliöaluksella, joka kuljettaa IGF-säännöstön piiriin kuuluvia polttoaineita; tai </w:t>
      </w:r>
    </w:p>
    <w:p>
      <w:pPr>
        <w:ind w:left="1440"/>
        <w:rPr>
          <w:noProof/>
        </w:rPr>
      </w:pPr>
      <w:r>
        <w:rPr>
          <w:noProof/>
        </w:rPr>
        <w:t xml:space="preserve">9.3.3 aluksella, joka käyttää polttoaineena kaasuja tai alhaisen leimahduspisteen polttoainetta. </w:t>
      </w:r>
    </w:p>
    <w:p>
      <w:pPr>
        <w:rPr>
          <w:noProof/>
        </w:rPr>
      </w:pPr>
      <w:r>
        <w:rPr>
          <w:noProof/>
        </w:rPr>
        <w:t xml:space="preserve">10. Jäsenvaltioiden on varmistettava, että merenkulkijoille, joilla on 4 tai 7 kohdan mukainen pätevyys, myönnetään tarvittava pätevyystodistus. </w:t>
      </w:r>
    </w:p>
    <w:p>
      <w:pPr>
        <w:rPr>
          <w:noProof/>
        </w:rPr>
      </w:pPr>
      <w:r>
        <w:rPr>
          <w:noProof/>
        </w:rPr>
        <w:t xml:space="preserve">11. Merenkulkijoiden, joilla on 4 tai 7 kohdan mukainen pätevyystodistus, on vähintään viiden vuoden väliajoin suoritettava asianmukainen täydennyskoulutus tai todistettava hankkineensa vaaditun pätevyystason viiden edeltävän vuoden aikana.” </w:t>
      </w:r>
    </w:p>
    <w:p>
      <w:pPr>
        <w:pStyle w:val="Point0number"/>
        <w:rPr>
          <w:noProof/>
        </w:rPr>
      </w:pPr>
      <w:r>
        <w:rPr>
          <w:noProof/>
        </w:rPr>
        <w:t xml:space="preserve"> Lisätään liitteessä I olevaan V lukuun sääntö V/4 seuraavasti:</w:t>
      </w:r>
    </w:p>
    <w:p>
      <w:pPr>
        <w:jc w:val="center"/>
        <w:rPr>
          <w:b/>
          <w:noProof/>
        </w:rPr>
      </w:pPr>
      <w:r>
        <w:rPr>
          <w:noProof/>
        </w:rPr>
        <w:t>”</w:t>
      </w:r>
      <w:r>
        <w:rPr>
          <w:b/>
          <w:noProof/>
        </w:rPr>
        <w:t>Sääntö V/4</w:t>
      </w:r>
    </w:p>
    <w:p>
      <w:pPr>
        <w:jc w:val="center"/>
        <w:rPr>
          <w:noProof/>
        </w:rPr>
      </w:pPr>
      <w:r>
        <w:rPr>
          <w:b/>
          <w:noProof/>
        </w:rPr>
        <w:t>Napa-alueiden vesillä liikennöivän aluksen päällikön ja perämiehen koulutukselle ja pätevyydelle asetetut pakolliset vähimmäisvaatimukset</w:t>
      </w:r>
    </w:p>
    <w:p>
      <w:pPr>
        <w:rPr>
          <w:noProof/>
        </w:rPr>
      </w:pPr>
      <w:r>
        <w:rPr>
          <w:noProof/>
        </w:rPr>
        <w:t xml:space="preserve">1. Napa-alueiden vesillä liikennöivän aluksen päälliköllä, yliperämiehellä ja komentosiltavahdin vahtipäälliköllä on polaarisäännöstön vaatimusten mukaisesti oltava pätevyysasiakirja peruskoulutuksesta, joka koskee polaarisilla vesialueilla liikennöiviä aluksia. </w:t>
      </w:r>
    </w:p>
    <w:p>
      <w:pPr>
        <w:rPr>
          <w:noProof/>
        </w:rPr>
      </w:pPr>
      <w:r>
        <w:rPr>
          <w:noProof/>
        </w:rPr>
        <w:t xml:space="preserve">2. Jokaisen hakijan, joka hakee pätevyysasiakirjaa peruskoulutuksesta, joka koskee polaarisilla vesialueilla liikennöiviä aluksia, on täytynyt läpäistä hyväksytty peruskoulutus, joka koskee polaarisilla vesialueilla liikennöiviä aluksia, ja täytettävä STCW-säännöstön säännössä A-V/4 olevassa 1 kohdassa määritelty pätevyystaso.  </w:t>
      </w:r>
    </w:p>
    <w:p>
      <w:pPr>
        <w:rPr>
          <w:noProof/>
        </w:rPr>
      </w:pPr>
      <w:r>
        <w:rPr>
          <w:noProof/>
        </w:rPr>
        <w:t xml:space="preserve">3. Polaarisilla vesialueilla liikennöivän aluksen päälliköllä ja yliperämiehellä on oltava polaarisäännöstön vaatimusten mukainen pätevyysasiakirja jatkokoulutuksesta, joka koskee polaarisilla vesialueilla liikennöiviä aluksia. </w:t>
      </w:r>
    </w:p>
    <w:p>
      <w:pPr>
        <w:rPr>
          <w:noProof/>
        </w:rPr>
      </w:pPr>
      <w:r>
        <w:rPr>
          <w:noProof/>
        </w:rPr>
        <w:t xml:space="preserve">4. Jokaisen hakijan, joka hakee pätevyysasiakirjaa jatkokoulutuksesta, joka koskee polaarisilla vesialueilla liikennöiviä aluksia, on </w:t>
      </w:r>
    </w:p>
    <w:p>
      <w:pPr>
        <w:ind w:left="720"/>
        <w:rPr>
          <w:noProof/>
        </w:rPr>
      </w:pPr>
      <w:r>
        <w:rPr>
          <w:noProof/>
        </w:rPr>
        <w:t xml:space="preserve">4.1 täytettävä vaatimukset pätevyysasiakirjan myöntämiseksi peruskoulutuksesta, joka koskee polaarisilla vesialueilla liikennöiviä aluksia; </w:t>
      </w:r>
    </w:p>
    <w:p>
      <w:pPr>
        <w:ind w:left="720"/>
        <w:rPr>
          <w:noProof/>
        </w:rPr>
      </w:pPr>
      <w:r>
        <w:rPr>
          <w:noProof/>
        </w:rPr>
        <w:t xml:space="preserve">4.2 täytynyt suorittaa vähintään kahden kuukauden pituinen hyväksytty meripalvelu kansiosastossa, johtotasolla tai vahtitehtävissä operatiivisella tasolla polaarisilla vesialueilla tai muu vastaava hyväksytty meripalvelu; sekä </w:t>
      </w:r>
    </w:p>
    <w:p>
      <w:pPr>
        <w:ind w:left="720"/>
        <w:rPr>
          <w:noProof/>
        </w:rPr>
      </w:pPr>
      <w:r>
        <w:rPr>
          <w:noProof/>
        </w:rPr>
        <w:t xml:space="preserve">4.3 täytynyt läpäistä hyväksytty jatkokoulutus, joka koskee polaarisilla vesialueilla liikennöiviä aluksia, ja täytettävä STCW-säännöstön säännössä A-V/4 olevassa 2 kohdassa määritelty pätevyystaso. </w:t>
      </w:r>
    </w:p>
    <w:p>
      <w:pPr>
        <w:rPr>
          <w:noProof/>
        </w:rPr>
      </w:pPr>
      <w:r>
        <w:rPr>
          <w:noProof/>
        </w:rPr>
        <w:t xml:space="preserve">5. Jäsenvaltioiden on varmistettava, että merenkulkijoille, joilla on 2 tai 4 kohdan mukainen pätevyys, myönnetään tarvittava pätevyystodistus. </w:t>
      </w:r>
    </w:p>
    <w:p>
      <w:pPr>
        <w:rPr>
          <w:noProof/>
        </w:rPr>
      </w:pPr>
      <w:r>
        <w:rPr>
          <w:noProof/>
        </w:rPr>
        <w:t xml:space="preserve">6. Merenkulkijat, jotka ovat aloittaneet hyväksytyn meripalvelun polaarisilla vesialueilla ennen 1 päivää heinäkuuta 2018, voivat 1 päivään heinäkuuta 2020 saakka osoittaa täyttävänsä 2 kohdan vaatimukset, jos he ovat </w:t>
      </w:r>
    </w:p>
    <w:p>
      <w:pPr>
        <w:ind w:left="720"/>
        <w:rPr>
          <w:noProof/>
        </w:rPr>
      </w:pPr>
      <w:r>
        <w:rPr>
          <w:noProof/>
        </w:rPr>
        <w:t xml:space="preserve">6.1 suorittaneet hyväksytyn meripalvelun polaarisilla vesialueilla liikennöivällä aluksella tai vastaavan hyväksytyn meripalvelun kansiosastolla operatiivisella tasolla tai johtotasolla yhteensä vähintään kolmen kuukauden ajan edeltävien viiden vuoden aikana; tai </w:t>
      </w:r>
    </w:p>
    <w:p>
      <w:pPr>
        <w:ind w:left="720"/>
        <w:rPr>
          <w:noProof/>
        </w:rPr>
      </w:pPr>
      <w:r>
        <w:rPr>
          <w:noProof/>
        </w:rPr>
        <w:t xml:space="preserve">6.2 läpäisseet menestyksekkäästi kurssin, joka on järjestetty Kansainvälisen merenkulkujärjestön laatimien polaarisilla vesialueilla liikennöiviä aluksia koskevien koulutusohjeiden mukaisesti. </w:t>
      </w:r>
    </w:p>
    <w:p>
      <w:pPr>
        <w:rPr>
          <w:noProof/>
        </w:rPr>
      </w:pPr>
      <w:r>
        <w:rPr>
          <w:noProof/>
        </w:rPr>
        <w:t xml:space="preserve">7. Merenkulkijat, jotka ovat aloittaneet hyväksytyn meripalvelun polaarisilla vesialueilla ennen 1 päivää heinäkuuta 2018, voivat 1 päivään heinäkuuta 2020 saakka osoittaa täyttävänsä 4 kohdan vaatimukset, jos he ovat </w:t>
      </w:r>
    </w:p>
    <w:p>
      <w:pPr>
        <w:ind w:left="720"/>
        <w:rPr>
          <w:noProof/>
        </w:rPr>
      </w:pPr>
      <w:r>
        <w:rPr>
          <w:noProof/>
        </w:rPr>
        <w:t xml:space="preserve">7.1 suorittaneet hyväksytyn meripalvelun polaarisilla vesialueilla liikennöivällä aluksella tai vastaavan hyväksytyn meripalvelun kansiosastolla johtotasolla yhteensä vähintään kolmen kuukauden ajan edeltävien viiden vuoden aikana; tai </w:t>
      </w:r>
    </w:p>
    <w:p>
      <w:pPr>
        <w:ind w:left="720"/>
        <w:rPr>
          <w:noProof/>
        </w:rPr>
      </w:pPr>
      <w:r>
        <w:rPr>
          <w:noProof/>
        </w:rPr>
        <w:t xml:space="preserve">7.2 läpäisseet menestyksekkäästi kurssin, joka on Kansainvälisen merenkulkujärjestön laatimien polaarisilla vesialueilla liikennöiviä aluksia koskevien koulutusohjeiden mukainen, ja suorittaneet hyväksytyn meripalvelun polaarisilla vesialueilla liikennöivällä aluksella tai vastaavan hyväksytyn meripalvelun kansiosastolla johtotasolla yhteensä vähintään kahden kuukauden ajan edeltävien viiden vuoden aikana.” </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04BA7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1183B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D83C5A"/>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407D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E441A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5D47BB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390A0EE"/>
    <w:lvl w:ilvl="0">
      <w:start w:val="1"/>
      <w:numFmt w:val="decimal"/>
      <w:pStyle w:val="ListNumber"/>
      <w:lvlText w:val="%1."/>
      <w:lvlJc w:val="left"/>
      <w:pPr>
        <w:tabs>
          <w:tab w:val="num" w:pos="360"/>
        </w:tabs>
        <w:ind w:left="360" w:hanging="360"/>
      </w:pPr>
    </w:lvl>
  </w:abstractNum>
  <w:abstractNum w:abstractNumId="7">
    <w:nsid w:val="FFFFFF89"/>
    <w:multiLevelType w:val="singleLevel"/>
    <w:tmpl w:val="421CBE6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29 13:39:0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ACCOMPAGNANT" w:val="ehdotukseen"/>
    <w:docVar w:name="LW_ACCOMPAGNANT.CP" w:val="ehdotukseen"/>
    <w:docVar w:name="LW_ANNEX_NBR_FIRST" w:val="1"/>
    <w:docVar w:name="LW_ANNEX_NBR_LAST" w:val="1"/>
    <w:docVar w:name="LW_ANNEX_UNIQUE" w:val="1"/>
    <w:docVar w:name="LW_CORRIGENDUM" w:val="&lt;UNUSED&gt;"/>
    <w:docVar w:name="LW_COVERPAGE_EXISTS" w:val="True"/>
    <w:docVar w:name="LW_COVERPAGE_GUID" w:val="BFBB5E33-9FF3-4F4A-8CE6-EE3B89C91E3A"/>
    <w:docVar w:name="LW_COVERPAGE_TYPE" w:val="1"/>
    <w:docVar w:name="LW_CROSSREFERENCE" w:val="{SWD(2018) 239 final}"/>
    <w:docVar w:name="LW_DocType" w:val="ANNEX"/>
    <w:docVar w:name="LW_EMISSION" w:val="24.5.2018"/>
    <w:docVar w:name="LW_EMISSION_ISODATE" w:val="2018-05-24"/>
    <w:docVar w:name="LW_EMISSION_LOCATION" w:val="BRX"/>
    <w:docVar w:name="LW_EMISSION_PREFIX" w:val="Bryssel"/>
    <w:docVar w:name="LW_EMISSION_SUFFIX" w:val="&lt;EMPTY&gt;"/>
    <w:docVar w:name="LW_ID_DOCSTRUCTURE" w:val="COM/ANNEX"/>
    <w:docVar w:name="LW_ID_DOCTYPE" w:val="SG-017"/>
    <w:docVar w:name="LW_LANGUE" w:val="FI"/>
    <w:docVar w:name="LW_LEVEL_OF_SENSITIVITY" w:val="Standard treatment"/>
    <w:docVar w:name="LW_NOM.INST" w:val="EUROOPAN KOMISSIO"/>
    <w:docVar w:name="LW_NOM.INST_JOINTDOC" w:val="&lt;EMPTY&gt;"/>
    <w:docVar w:name="LW_OBJETACTEPRINCIPAL" w:val="merenkulkijoiden vähimmäiskoulutuksesta annetun direktiivin 2008/106/EY muuttamisesta ja direktiivin 2005/45/EY kumoamisesta"/>
    <w:docVar w:name="LW_OBJETACTEPRINCIPAL.CP" w:val="merenkulkijoiden vähimmäiskoulutuksesta annetun direktiivin 2008/106/EY muuttamisesta ja direktiivin 2005/45/EY kumoamisesta"/>
    <w:docVar w:name="LW_PART_NBR" w:val="1"/>
    <w:docVar w:name="LW_PART_NBR_TOTAL" w:val="1"/>
    <w:docVar w:name="LW_REF.INST.NEW" w:val="COM"/>
    <w:docVar w:name="LW_REF.INST.NEW_ADOPTED" w:val="final"/>
    <w:docVar w:name="LW_REF.INST.NEW_TEXT" w:val="(2018)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LIITE"/>
    <w:docVar w:name="LW_TYPE.DOC.CP" w:val="LIITE"/>
    <w:docVar w:name="LW_TYPEACTEPRINCIPAL" w:val="EUROOPAN PARLAMENTIN JA NEUVOSTON DIREKTIIVIKSI"/>
    <w:docVar w:name="LW_TYPEACTEPRINCIPAL.CP" w:val="EUROOPAN PARLAMENTIN JA NEUVOSTON DIREKTIIVIKS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fi-FI" w:bidi="fi-F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i-F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i-F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78C4-5005-4A11-8B21-71B2BE03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5</Pages>
  <Words>1172</Words>
  <Characters>9982</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LAMPRIANIDIS Pantelis (MOVE)</dc:creator>
  <cp:lastModifiedBy>DIGIT/A3</cp:lastModifiedBy>
  <cp:revision>8</cp:revision>
  <cp:lastPrinted>2018-04-24T14:58:00Z</cp:lastPrinted>
  <dcterms:created xsi:type="dcterms:W3CDTF">2018-05-28T12:09:00Z</dcterms:created>
  <dcterms:modified xsi:type="dcterms:W3CDTF">2018-05-29T11:39:00Z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