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4DD40DC-80F2-4BB6-9638-B06246307565" style="width:450.35pt;height:397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rPr>
          <w:noProof/>
        </w:rPr>
      </w:pPr>
      <w:r>
        <w:rPr>
          <w:noProof/>
        </w:rPr>
        <w:t>Wskaźniki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Wysokiej jakości mobilność edukacyjna osób z różnych środowisk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Europeizacja i internacjonalizacja organizacji i instytucji</w:t>
      </w:r>
    </w:p>
    <w:p>
      <w:pPr>
        <w:rPr>
          <w:noProof/>
        </w:rPr>
      </w:pPr>
      <w:r>
        <w:rPr>
          <w:noProof/>
        </w:rPr>
        <w:t>Jakie elementy poddać pomiarom?</w:t>
      </w:r>
    </w:p>
    <w:p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Liczba osób biorących udział w działaniach na rzecz mobilności w ramach programu</w:t>
      </w:r>
    </w:p>
    <w:p>
      <w:pPr>
        <w:pStyle w:val="Point1"/>
        <w:rPr>
          <w:noProof/>
        </w:rPr>
      </w:pPr>
      <w:r>
        <w:rPr>
          <w:noProof/>
        </w:rPr>
        <w:t>4)</w:t>
      </w:r>
      <w:r>
        <w:rPr>
          <w:noProof/>
        </w:rPr>
        <w:tab/>
        <w:t>Liczba osób o mniejszych szansach biorących udział w działaniach na rzecz mobilności edukacyjnej w ramach programu</w:t>
      </w:r>
    </w:p>
    <w:p>
      <w:pPr>
        <w:pStyle w:val="Point1"/>
        <w:rPr>
          <w:noProof/>
        </w:rPr>
      </w:pPr>
      <w:r>
        <w:rPr>
          <w:noProof/>
        </w:rPr>
        <w:t>5)</w:t>
      </w:r>
      <w:r>
        <w:rPr>
          <w:noProof/>
        </w:rPr>
        <w:tab/>
        <w:t>Liczba osób, które są zdania, że odniosły korzyści z udziału w działaniach na rzecz mobilności edukacyjnej w ramach programu</w:t>
      </w:r>
    </w:p>
    <w:p>
      <w:pPr>
        <w:pStyle w:val="Point1"/>
        <w:rPr>
          <w:noProof/>
        </w:rPr>
      </w:pPr>
      <w:r>
        <w:rPr>
          <w:noProof/>
        </w:rPr>
        <w:t>6)</w:t>
      </w:r>
      <w:r>
        <w:rPr>
          <w:noProof/>
        </w:rPr>
        <w:tab/>
        <w:t>Liczba instytucji i organizacji objętych wsparciem programu w ramach akcji kluczowej 1 (mobilność edukacyjna) i akcji kluczowej 2 (współpraca)</w:t>
      </w:r>
    </w:p>
    <w:p>
      <w:pPr>
        <w:pStyle w:val="Point1"/>
        <w:rPr>
          <w:noProof/>
        </w:rPr>
      </w:pPr>
      <w:r>
        <w:rPr>
          <w:noProof/>
        </w:rPr>
        <w:t>7)</w:t>
      </w:r>
      <w:r>
        <w:rPr>
          <w:noProof/>
        </w:rPr>
        <w:tab/>
        <w:t>Liczba organizacji po raz pierwszy objętych wsparciem programu w ramach akcji kluczowej 1 (mobilność edukacyjna) i akcji kluczowej 2 (współpraca)</w:t>
      </w:r>
    </w:p>
    <w:p>
      <w:pPr>
        <w:pStyle w:val="Point1"/>
        <w:rPr>
          <w:noProof/>
        </w:rPr>
      </w:pPr>
      <w:r>
        <w:rPr>
          <w:noProof/>
        </w:rPr>
        <w:t>8)</w:t>
      </w:r>
      <w:r>
        <w:rPr>
          <w:noProof/>
        </w:rPr>
        <w:tab/>
        <w:t>Liczba instytucji i organizacji objętych wsparciem programu, które dzięki udziałowi w programie wypracowały wysokiej jakości praktyki działania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6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4DD40DC-80F2-4BB6-9638-B06246307565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\u8222?Erasmus\u8221?: unijny program na rzecz kszta\u322?cenia, szkolenia, m\u322?odzie\u380?y i sportu oraz uchylaj\u261?cego rozporz\u261?dzenie (UE) nr 1288/2013"/>
    <w:docVar w:name="LW_OBJETACTEPRINCIPAL.CP" w:val="ustanawiaj\u261?cego \u8222?Erasmus\u8221?: unijny program na rzecz kszta\u322?cenia, szkolenia, m\u322?odzie\u380?y i sportu oraz uchylaj\u261?cego rozporz\u261?dzenie (UE) nr 1288/2013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ROZPORZ\u260?DZENIA PARLAMENTU EUROPEJSKIEGO I RADY"/>
    <w:docVar w:name="LW_TYPEACTEPRINCIPAL.CP" w:val="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131</Words>
  <Characters>826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CLEVE Sabine (EAC)</dc:creator>
  <cp:lastModifiedBy>DIGIT/A3</cp:lastModifiedBy>
  <cp:revision>8</cp:revision>
  <dcterms:created xsi:type="dcterms:W3CDTF">2018-06-04T11:48:00Z</dcterms:created>
  <dcterms:modified xsi:type="dcterms:W3CDTF">2018-06-08T13:56:00Z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