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DE15D07-B6E7-481B-9F31-85D4328EECFA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PIELIKUMS</w:t>
      </w:r>
    </w:p>
    <w:p>
      <w:pPr>
        <w:rPr>
          <w:noProof/>
        </w:rPr>
      </w:pPr>
      <w:r>
        <w:rPr>
          <w:noProof/>
        </w:rPr>
        <w:t>Rādītāji</w:t>
      </w:r>
    </w:p>
    <w:p>
      <w:pPr>
        <w:pStyle w:val="Point1number"/>
        <w:numPr>
          <w:ilvl w:val="2"/>
          <w:numId w:val="1"/>
        </w:numPr>
        <w:rPr>
          <w:noProof/>
        </w:rPr>
      </w:pPr>
      <w:r>
        <w:rPr>
          <w:noProof/>
        </w:rPr>
        <w:t>Kvalitatīva mācību mobilitāte dažādas izcelsmes cilvēkiem</w:t>
      </w:r>
    </w:p>
    <w:p>
      <w:pPr>
        <w:pStyle w:val="Point1number"/>
        <w:rPr>
          <w:noProof/>
        </w:rPr>
      </w:pPr>
      <w:r>
        <w:rPr>
          <w:noProof/>
        </w:rPr>
        <w:t xml:space="preserve">Organizāciju un iestāžu “eiropizācija” un internacionalizācija </w:t>
      </w:r>
    </w:p>
    <w:p>
      <w:pPr>
        <w:rPr>
          <w:noProof/>
        </w:rPr>
      </w:pPr>
      <w:r>
        <w:rPr>
          <w:noProof/>
        </w:rPr>
        <w:t>Ko mērīt?</w:t>
      </w:r>
    </w:p>
    <w:p>
      <w:pPr>
        <w:pStyle w:val="Point1number"/>
        <w:rPr>
          <w:noProof/>
        </w:rPr>
      </w:pPr>
      <w:r>
        <w:rPr>
          <w:noProof/>
        </w:rPr>
        <w:t>Cilvēku skaits, kas piedalās mobilitātes darbībās Programmas ietvaros</w:t>
      </w:r>
    </w:p>
    <w:p>
      <w:pPr>
        <w:pStyle w:val="Point1number"/>
        <w:rPr>
          <w:noProof/>
        </w:rPr>
      </w:pPr>
      <w:r>
        <w:rPr>
          <w:noProof/>
        </w:rPr>
        <w:t>Cilvēku ar mazāk iespējām skaits, kas piedalās mācību mobilitātes darbībās Programmas ietvaros</w:t>
      </w:r>
    </w:p>
    <w:p>
      <w:pPr>
        <w:pStyle w:val="Point1number"/>
        <w:rPr>
          <w:noProof/>
        </w:rPr>
      </w:pPr>
      <w:r>
        <w:rPr>
          <w:noProof/>
        </w:rPr>
        <w:t>To dalībnieku daļa, kuri uzskata, ka guvuši labumu no līdzdalības mācību mobilitātes darbībās Programmas ietvaros</w:t>
      </w:r>
    </w:p>
    <w:p>
      <w:pPr>
        <w:pStyle w:val="Point1number"/>
        <w:rPr>
          <w:noProof/>
        </w:rPr>
      </w:pPr>
      <w:r>
        <w:rPr>
          <w:noProof/>
        </w:rPr>
        <w:t>Organizāciju un iestāžu skaits, kuras gūst atbalstu no Programmas saskaņā ar 1. pamatdarbību (mācību mobilitāte) un 2. pamatdarbību (sadarbība)</w:t>
      </w:r>
    </w:p>
    <w:p>
      <w:pPr>
        <w:pStyle w:val="Point1number"/>
        <w:rPr>
          <w:noProof/>
        </w:rPr>
      </w:pPr>
      <w:r>
        <w:rPr>
          <w:noProof/>
        </w:rPr>
        <w:t>Jaunpienācēju organizāciju skaits, kuras gūst atbalstu no Programmas saskaņā ar 1. pamatdarbību (mācību mobilitāte) un 2. pamatdarbību (sadarbība)</w:t>
      </w:r>
    </w:p>
    <w:p>
      <w:pPr>
        <w:pStyle w:val="Point1number"/>
        <w:rPr>
          <w:noProof/>
        </w:rPr>
      </w:pPr>
      <w:r>
        <w:rPr>
          <w:noProof/>
        </w:rPr>
        <w:t>To organizāciju un iestāžu daļa, kuras gūst atbalstu no Programmas un kuras savas līdzdalības Programmā rezultātā attīstījušas kvalitatīvas prakses.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9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DE15D07-B6E7-481B-9F31-85D4328EECFA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isel\u275?,"/>
    <w:docVar w:name="LW_EMISSION_SUFFIX" w:val="&lt;EMPTY&gt;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ar ko izveido Savien\u299?bas programmu izgl\u299?t\u299?bas, apm\u257?c\u299?bas, jaunatnes un sporta jom\u257? \u8220?Erasmus\u8221? un ar ko atce\u316? Regulu (ES) Nr. 1288/2013_x000b_"/>
    <w:docVar w:name="LW_OBJETACTEPRINCIPAL.CP" w:val="ar ko izveido Savien\u299?bas programmu izgl\u299?t\u299?bas, apm\u257?c\u299?bas, jaunatnes un sporta jom\u257? \u8220?Erasmus\u8221? un ar ko atce\u316? Regulu (ES) Nr. 1288/2013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Priek\u353?likums_x000b_EIROPAS PARLAMENTA UN PADOMES REGULA,"/>
    <w:docVar w:name="LW_TYPEACTEPRINCIPAL.CP" w:val="Priek\u353?likums_x000b_EIROPAS PARLAMENTA UN PADOMES REGULA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111</Words>
  <Characters>763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CLEVE Sabine (EAC)</dc:creator>
  <cp:lastModifiedBy>DIGIT/A3</cp:lastModifiedBy>
  <cp:revision>8</cp:revision>
  <dcterms:created xsi:type="dcterms:W3CDTF">2018-06-04T15:02:00Z</dcterms:created>
  <dcterms:modified xsi:type="dcterms:W3CDTF">2018-06-08T13:59:00Z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