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3CDF73B-8AC9-4D74-A7E0-7B973EC96C05" style="width:451pt;height:370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before="0"/>
        <w:rPr>
          <w:noProof/>
        </w:rPr>
      </w:pPr>
      <w:bookmarkStart w:id="0" w:name="_GoBack"/>
      <w:bookmarkEnd w:id="0"/>
      <w:r>
        <w:rPr>
          <w:noProof/>
        </w:rPr>
        <w:lastRenderedPageBreak/>
        <w:t>BILAG I</w:t>
      </w:r>
    </w:p>
    <w:p>
      <w:pPr>
        <w:spacing w:before="0"/>
        <w:jc w:val="center"/>
        <w:rPr>
          <w:b/>
          <w:noProof/>
          <w:szCs w:val="24"/>
        </w:rPr>
      </w:pPr>
      <w:r>
        <w:rPr>
          <w:b/>
          <w:noProof/>
        </w:rPr>
        <w:t>Programmets aktiviteter</w:t>
      </w:r>
    </w:p>
    <w:p>
      <w:pPr>
        <w:spacing w:before="0"/>
        <w:rPr>
          <w:i/>
          <w:noProof/>
        </w:rPr>
      </w:pPr>
      <w:r>
        <w:rPr>
          <w:noProof/>
        </w:rPr>
        <w:t>Programmets specifikke mål som omhandlet i artikel 3, stk. 2, vil blive videreført, navnlig i form af støtte til følgende aktiviteter:</w:t>
      </w:r>
    </w:p>
    <w:p>
      <w:pPr>
        <w:pStyle w:val="NumPar1"/>
        <w:numPr>
          <w:ilvl w:val="0"/>
          <w:numId w:val="9"/>
        </w:numPr>
        <w:spacing w:before="0"/>
        <w:rPr>
          <w:noProof/>
        </w:rPr>
      </w:pPr>
      <w:r>
        <w:rPr>
          <w:noProof/>
        </w:rPr>
        <w:t>bevidstgørelseskampagner og formidling af oplysninger med henblik på at forbedre kendskabet til EU's politikker og EU-retten, herunder materielle og processuelle regler, til instrumenter til retsligt samarbejde, til   Den Europæiske Unions Domstols praksis og til komparativ ret samt til europæiske og internationale standarder</w:t>
      </w:r>
    </w:p>
    <w:p>
      <w:pPr>
        <w:pStyle w:val="NumPar1"/>
        <w:numPr>
          <w:ilvl w:val="0"/>
          <w:numId w:val="9"/>
        </w:numPr>
        <w:spacing w:before="0"/>
        <w:rPr>
          <w:noProof/>
        </w:rPr>
      </w:pPr>
      <w:r>
        <w:rPr>
          <w:noProof/>
        </w:rPr>
        <w:t>gensidig læring gennem udveksling af god praksis mellem interessenterne med henblik på at forbedre kendskabet til og den gensidige forståelse af medlemsstaternes civil- og strafferet samt deres retsorden og retssystemer, herunder retsstatsprincippet, og på at øge den gensidige tillid</w:t>
      </w:r>
    </w:p>
    <w:p>
      <w:pPr>
        <w:pStyle w:val="NumPar1"/>
        <w:numPr>
          <w:ilvl w:val="0"/>
          <w:numId w:val="9"/>
        </w:numPr>
        <w:spacing w:before="0"/>
        <w:rPr>
          <w:noProof/>
        </w:rPr>
      </w:pPr>
      <w:r>
        <w:rPr>
          <w:noProof/>
        </w:rPr>
        <w:t>analytiske og tilsynsrelaterede aktiviteter</w:t>
      </w:r>
      <w:r>
        <w:rPr>
          <w:rStyle w:val="FootnoteReference"/>
          <w:noProof/>
        </w:rPr>
        <w:footnoteReference w:id="1"/>
      </w:r>
      <w:r>
        <w:rPr>
          <w:noProof/>
        </w:rPr>
        <w:t xml:space="preserve"> for at forbedre kendskabet til og forståelsen af mulige hindringer for et velfungerende europæisk retsområde, og for at forbedre gennemførelsen af EU-retten og EU's politik i medlemsstaterne</w:t>
      </w:r>
    </w:p>
    <w:p>
      <w:pPr>
        <w:pStyle w:val="NumPar1"/>
        <w:numPr>
          <w:ilvl w:val="0"/>
          <w:numId w:val="9"/>
        </w:numPr>
        <w:spacing w:before="0"/>
        <w:rPr>
          <w:noProof/>
        </w:rPr>
      </w:pPr>
      <w:r>
        <w:rPr>
          <w:noProof/>
        </w:rPr>
        <w:t>undervisning af relevante interessenter med henblik på at forbedre kendskabet til EU's politikker og EU-retten, herunder bl.a. materielle og processuelle regler, instrumenter til retsligt samarbejde, Den Europæiske Unions Domstols relevante praksis samt til juridisk sprogbrug og komparativ ret</w:t>
      </w:r>
    </w:p>
    <w:p>
      <w:pPr>
        <w:pStyle w:val="NumPar1"/>
        <w:numPr>
          <w:ilvl w:val="0"/>
          <w:numId w:val="9"/>
        </w:numPr>
        <w:spacing w:before="0"/>
        <w:rPr>
          <w:noProof/>
        </w:rPr>
      </w:pPr>
      <w:r>
        <w:rPr>
          <w:noProof/>
        </w:rPr>
        <w:t>udvikling og opdatering af informations- og kommunikationsteknologiske værktøjer med henblik på at forbedre retssystemernes effektivitet og samarbejdet mellem dem ved hjælp af informations- og kommunikationsteknologi, herunder systemers og applikationers grænseoverskridende interoperabilitet</w:t>
      </w:r>
    </w:p>
    <w:p>
      <w:pPr>
        <w:pStyle w:val="NumPar1"/>
        <w:numPr>
          <w:ilvl w:val="0"/>
          <w:numId w:val="9"/>
        </w:numPr>
        <w:spacing w:before="0"/>
        <w:rPr>
          <w:noProof/>
        </w:rPr>
      </w:pPr>
      <w:r>
        <w:rPr>
          <w:noProof/>
        </w:rPr>
        <w:t>at udvikle kapaciteten af centrale netværk på europæisk plan og de europæiske retlige netværk, herunder netværk, der er oprettet i medfør af EU-retten for at sikre en effektiv anvendelse og håndhævelse af EU-retten, for at fremme og videreudvikle Unionens politiske mål og strategier på programmets forskellige områder, samt for at støtte civilsamfundsorganisationer, der er aktive på de områder, der er omfattet af programmet</w:t>
      </w:r>
    </w:p>
    <w:p>
      <w:pPr>
        <w:pStyle w:val="NumPar1"/>
        <w:numPr>
          <w:ilvl w:val="0"/>
          <w:numId w:val="9"/>
        </w:numPr>
        <w:spacing w:before="0"/>
        <w:rPr>
          <w:noProof/>
        </w:rPr>
      </w:pPr>
      <w:r>
        <w:rPr>
          <w:noProof/>
        </w:rPr>
        <w:t>at fremme kendskabet til programmet og formidling og overførsel af de resultater, der opnås hermed, og fremme af borgernes kontaktflader, bl.a. ved at oprette og støtte programoplysning/nationale kontaktnetværk.</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spacing w:before="0"/>
        <w:rPr>
          <w:noProof/>
        </w:rPr>
      </w:pPr>
      <w:r>
        <w:rPr>
          <w:noProof/>
        </w:rPr>
        <w:t>BILAG II</w:t>
      </w:r>
    </w:p>
    <w:p>
      <w:pPr>
        <w:spacing w:before="0"/>
        <w:jc w:val="center"/>
        <w:rPr>
          <w:b/>
          <w:noProof/>
        </w:rPr>
      </w:pPr>
      <w:r>
        <w:rPr>
          <w:b/>
          <w:noProof/>
        </w:rPr>
        <w:t>Indikatorer</w:t>
      </w:r>
    </w:p>
    <w:p>
      <w:pPr>
        <w:rPr>
          <w:noProof/>
        </w:rPr>
      </w:pPr>
      <w:r>
        <w:rPr>
          <w:noProof/>
        </w:rPr>
        <w:t>Programmet vil blive fulgt på grundlag af et sæt indikatorer, der er beregnet til at måle, i hvilket omfang de generelle og specifikke mål for programmet er nået, og med henblik på at minimere de administrative byrder og omkostninger. Med henblik herpå vil der blive indsamlet data for så vidt angår følgende sæt af nøgleindikatorer:</w:t>
      </w:r>
    </w:p>
    <w:tbl>
      <w:tblPr>
        <w:tblW w:w="9464" w:type="dxa"/>
        <w:tblCellMar>
          <w:left w:w="0" w:type="dxa"/>
          <w:right w:w="0" w:type="dxa"/>
        </w:tblCellMar>
        <w:tblLook w:val="04A0" w:firstRow="1" w:lastRow="0" w:firstColumn="1" w:lastColumn="0" w:noHBand="0" w:noVBand="1"/>
      </w:tblPr>
      <w:tblGrid>
        <w:gridCol w:w="9464"/>
      </w:tblGrid>
      <w:tr>
        <w:tc>
          <w:tcPr>
            <w:tcW w:w="946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pPr>
              <w:pStyle w:val="NumPar1"/>
              <w:numPr>
                <w:ilvl w:val="0"/>
                <w:numId w:val="0"/>
              </w:numPr>
              <w:rPr>
                <w:noProof/>
                <w:sz w:val="18"/>
                <w:szCs w:val="18"/>
              </w:rPr>
            </w:pPr>
            <w:r>
              <w:rPr>
                <w:noProof/>
                <w:sz w:val="18"/>
              </w:rPr>
              <w:t>Antal og procentdel af dommere, anklagere og andet personale i retsvæsenet, der har deltaget i uddannelsesaktiviteter (herunder personaleudveksling, studieture, workshops og seminarer), der er blevet finansieret inden for rammerne af programmet, herunder ved driftstilskud til EJTN</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 xml:space="preserve">Antal udvekslinger af oplysninger i det europæiske informationssystem vedrørende strafferegistre (ECRIS) </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Antallet af hits på e-justice-portalen/siderne for at imødekomme behovet for oplysninger om grænseoverskridende civile sager</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Antal personer, som har været inddraget i forbindelse med:</w:t>
            </w:r>
          </w:p>
          <w:p>
            <w:pPr>
              <w:pStyle w:val="NumPar1"/>
              <w:numPr>
                <w:ilvl w:val="0"/>
                <w:numId w:val="0"/>
              </w:numPr>
              <w:rPr>
                <w:noProof/>
                <w:sz w:val="18"/>
                <w:szCs w:val="18"/>
              </w:rPr>
            </w:pPr>
            <w:r>
              <w:rPr>
                <w:noProof/>
                <w:sz w:val="18"/>
              </w:rPr>
              <w:t>I) gensidig læring og udveksling af god praksis,</w:t>
            </w:r>
          </w:p>
          <w:p>
            <w:pPr>
              <w:pStyle w:val="NumPar1"/>
              <w:numPr>
                <w:ilvl w:val="0"/>
                <w:numId w:val="0"/>
              </w:numPr>
              <w:rPr>
                <w:noProof/>
                <w:sz w:val="18"/>
                <w:szCs w:val="18"/>
              </w:rPr>
            </w:pPr>
            <w:r>
              <w:rPr>
                <w:noProof/>
                <w:sz w:val="18"/>
              </w:rPr>
              <w:t xml:space="preserve">II) bevidstgørelses-, oplysnings- og formidlingsaktiviteter. </w:t>
            </w:r>
          </w:p>
        </w:tc>
      </w:tr>
    </w:tbl>
    <w:p>
      <w:pPr>
        <w:ind w:left="709" w:hanging="709"/>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Disse aktiviteter omfatter f.eks. indsamling af data og statistikker udvikling af fælles metoder og, når det skønnes hensigtsmæssigt, af indikatorer eller benchmarks, undersøgelser, forskning, analyser og rundspørger, evalueringer, konsekvensanalyse, udarbejdelse og offentliggørelse af vejledninger, rapporter og uddannelsesmateriale.</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4A8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9980A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A82B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780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74A1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8459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044D38"/>
    <w:lvl w:ilvl="0">
      <w:start w:val="1"/>
      <w:numFmt w:val="decimal"/>
      <w:pStyle w:val="ListNumber"/>
      <w:lvlText w:val="%1."/>
      <w:lvlJc w:val="left"/>
      <w:pPr>
        <w:tabs>
          <w:tab w:val="num" w:pos="360"/>
        </w:tabs>
        <w:ind w:left="360" w:hanging="360"/>
      </w:pPr>
    </w:lvl>
  </w:abstractNum>
  <w:abstractNum w:abstractNumId="7">
    <w:nsid w:val="FFFFFF89"/>
    <w:multiLevelType w:val="singleLevel"/>
    <w:tmpl w:val="27AC6B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75"/>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39: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til forslaget til"/>
    <w:docVar w:name="LW_ACCOMPAGNANT.CP" w:val="til forslaget til"/>
    <w:docVar w:name="LW_ANNEX_NBR_FIRST" w:val="1"/>
    <w:docVar w:name="LW_ANNEX_NBR_LAST" w:val="2"/>
    <w:docVar w:name="LW_ANNEX_UNIQUE" w:val="0"/>
    <w:docVar w:name="LW_CORRIGENDUM" w:val="&lt;UNUSED&gt;"/>
    <w:docVar w:name="LW_COVERPAGE_EXISTS" w:val="True"/>
    <w:docVar w:name="LW_COVERPAGE_GUID" w:val="53CDF73B-8AC9-4D74-A7E0-7B973EC96C05"/>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uxelles, den"/>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oprettelse af programmet for retslige anliggender for perioden 2021-2027"/>
    <w:docVar w:name="LW_OBJETACTEPRINCIPAL.CP" w:val="om oprettelse af programmet for retslige anliggender for perioden 2021-2027"/>
    <w:docVar w:name="LW_PART_NBR" w:val="&lt;UNUSED&gt;"/>
    <w:docVar w:name="LW_PART_NBR_TOTAL" w:val="&lt;UNUSED&gt;"/>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Europa-Parlamentets og Rådets forordning"/>
    <w:docVar w:name="LW_TYPEACTEPRINCIPAL.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eastAsia="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eastAsia="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3162-ED17-4CD3-8857-0B58C9C3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445</Words>
  <Characters>2845</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SMITHAM Emma (JUST)</dc:creator>
  <cp:lastModifiedBy>DIGIT/A3</cp:lastModifiedBy>
  <cp:revision>7</cp:revision>
  <cp:lastPrinted>2018-06-04T10:34:00Z</cp:lastPrinted>
  <dcterms:created xsi:type="dcterms:W3CDTF">2018-06-04T12:00:00Z</dcterms:created>
  <dcterms:modified xsi:type="dcterms:W3CDTF">2018-06-11T15:39:00Z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