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5603694-F5C9-4E0B-8D3E-CF0F3D71C431" style="width:450.75pt;height:36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spacing w:before="0"/>
        <w:rPr>
          <w:noProof/>
        </w:rPr>
      </w:pPr>
      <w:bookmarkStart w:id="0" w:name="_GoBack"/>
      <w:bookmarkEnd w:id="0"/>
      <w:r>
        <w:rPr>
          <w:noProof/>
        </w:rPr>
        <w:t>I PIELIKUMS</w:t>
      </w:r>
    </w:p>
    <w:p>
      <w:pPr>
        <w:spacing w:before="0"/>
        <w:jc w:val="center"/>
        <w:rPr>
          <w:b/>
          <w:noProof/>
          <w:szCs w:val="24"/>
        </w:rPr>
      </w:pPr>
      <w:r>
        <w:rPr>
          <w:b/>
          <w:noProof/>
        </w:rPr>
        <w:t>Programmas darbības</w:t>
      </w:r>
    </w:p>
    <w:p>
      <w:pPr>
        <w:spacing w:before="0"/>
        <w:rPr>
          <w:i/>
          <w:noProof/>
        </w:rPr>
      </w:pPr>
      <w:r>
        <w:rPr>
          <w:noProof/>
        </w:rPr>
        <w:t>Programmas, kas minēta 3. panta 2. punktā, konkrētie mērķi tiks sasniegti, atbalstot jo īpaši šādas darbības:</w:t>
      </w:r>
    </w:p>
    <w:p>
      <w:pPr>
        <w:pStyle w:val="NumPar1"/>
        <w:numPr>
          <w:ilvl w:val="0"/>
          <w:numId w:val="9"/>
        </w:numPr>
        <w:spacing w:before="0"/>
        <w:rPr>
          <w:noProof/>
        </w:rPr>
      </w:pPr>
      <w:r>
        <w:rPr>
          <w:noProof/>
        </w:rPr>
        <w:t>izpratnes veidošana, informācijas izplatīšana nolūkā uzlabot zināšanas par Savienības politikas virzieniem un Savienības tiesību aktiem, tai skaitā materiālajām un procesuālajām tiesībām, par tiesu iestāžu sadarbības instrumentiem, par attiecīgo Eiropas Savienības Tiesas judikatūru un par salīdzinošajām tiesībām un starptautiskajiem standartiem;</w:t>
      </w:r>
    </w:p>
    <w:p>
      <w:pPr>
        <w:pStyle w:val="NumPar1"/>
        <w:numPr>
          <w:ilvl w:val="0"/>
          <w:numId w:val="9"/>
        </w:numPr>
        <w:spacing w:before="0"/>
        <w:rPr>
          <w:noProof/>
        </w:rPr>
      </w:pPr>
      <w:r>
        <w:rPr>
          <w:noProof/>
        </w:rPr>
        <w:t>ieinteresēto personu savstarpēja mācīšanās, apmainoties ar labu praksi nolūkā uzlabot zināšanas un savstarpēju izpratni par civiltiesībām un krimināltiesībām un dalībvalstu tiesību un tiesu sistēmām, tai skaitā tiesiskumu, un savstarpējas uzticēšanās veicināšana;</w:t>
      </w:r>
    </w:p>
    <w:p>
      <w:pPr>
        <w:pStyle w:val="NumPar1"/>
        <w:numPr>
          <w:ilvl w:val="0"/>
          <w:numId w:val="9"/>
        </w:numPr>
        <w:spacing w:before="0"/>
        <w:rPr>
          <w:noProof/>
        </w:rPr>
      </w:pPr>
      <w:r>
        <w:rPr>
          <w:noProof/>
        </w:rPr>
        <w:t>analītiskas un pārraudzības darbības</w:t>
      </w:r>
      <w:r>
        <w:rPr>
          <w:rStyle w:val="FootnoteReference"/>
          <w:noProof/>
        </w:rPr>
        <w:footnoteReference w:id="1"/>
      </w:r>
      <w:r>
        <w:rPr>
          <w:noProof/>
        </w:rPr>
        <w:t xml:space="preserve"> nolūkā uzlabot zināšanas un izpratni par iespējamiem šķēršļiem Eiropas tiesiskuma telpas netraucētai darbībai un uzlabot Savienības tiesību aktu un politikas virzienu īstenošanu dalībvalstīs;</w:t>
      </w:r>
    </w:p>
    <w:p>
      <w:pPr>
        <w:pStyle w:val="NumPar1"/>
        <w:numPr>
          <w:ilvl w:val="0"/>
          <w:numId w:val="9"/>
        </w:numPr>
        <w:spacing w:before="0"/>
        <w:rPr>
          <w:noProof/>
        </w:rPr>
      </w:pPr>
      <w:r>
        <w:rPr>
          <w:noProof/>
        </w:rPr>
        <w:t>ieinteresēto personu apmācība nolūkā uzlabot zināšanas par Savienības politikas virzieniem un Savienības tiesību aktiem, tai skaitā materiālajām un procesuālajām tiesībām, par ES tiesu iestāžu sadarbības instrumentu izmantošanu, par attiecīgo Eiropas Savienības Tiesas judikatūru, juridisko valodu un salīdzinošajām tiesībām;</w:t>
      </w:r>
    </w:p>
    <w:p>
      <w:pPr>
        <w:pStyle w:val="NumPar1"/>
        <w:numPr>
          <w:ilvl w:val="0"/>
          <w:numId w:val="9"/>
        </w:numPr>
        <w:spacing w:before="0"/>
        <w:rPr>
          <w:noProof/>
        </w:rPr>
      </w:pPr>
      <w:r>
        <w:rPr>
          <w:noProof/>
        </w:rPr>
        <w:t>informācijas un komunikācijas tehnoloģijas (IKT) rīku izstrāde un uzturēšana nolūkā uzlabot tiesu sistēmu un to sadarbības efektivitāti, izmantojot informācijas un komunikācijas tehnoloģijas, tai skaitā sistēmu un lietojumprogrammu pārrobežu sadarbspēju;</w:t>
      </w:r>
    </w:p>
    <w:p>
      <w:pPr>
        <w:pStyle w:val="NumPar1"/>
        <w:numPr>
          <w:ilvl w:val="0"/>
          <w:numId w:val="9"/>
        </w:numPr>
        <w:spacing w:before="0"/>
        <w:rPr>
          <w:noProof/>
        </w:rPr>
      </w:pPr>
      <w:r>
        <w:rPr>
          <w:noProof/>
        </w:rPr>
        <w:t>galveno Eiropas līmeņa sadarbības tīklu un Eiropas Tiesiskās sadarbības tīkla, tai skaitā ar Savienības tiesību aktiem izveidotu tīklu, spēju veidošana nolūkā nodrošināt Savienības tiesību efektīvu piemērošanu un izpildi, Savienības tiesību, politikas mērķu un stratēģiju veicināšana un turpmāka attīstība programmas jomās, kā arī atbalsts pilsoniskās sabiedrības organizācijām, kuras aktīvi darbojas programmas jomās;</w:t>
      </w:r>
    </w:p>
    <w:p>
      <w:pPr>
        <w:pStyle w:val="NumPar1"/>
        <w:numPr>
          <w:ilvl w:val="0"/>
          <w:numId w:val="9"/>
        </w:numPr>
        <w:spacing w:before="0"/>
        <w:rPr>
          <w:noProof/>
        </w:rPr>
      </w:pPr>
      <w:r>
        <w:rPr>
          <w:noProof/>
        </w:rPr>
        <w:t>zināšanu par programmu vairošana un izplatīšana un tās rezultātu pārnesamības palielināšana, aptverot arvien lielāku iedzīvotāju skaitu, tostarp izveidojot un atbalstot programmas nodaļas un valsts kontaktpunktu tīklu.</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spacing w:before="0"/>
        <w:rPr>
          <w:noProof/>
        </w:rPr>
      </w:pPr>
      <w:r>
        <w:rPr>
          <w:noProof/>
        </w:rPr>
        <w:t>II PIELIKUMS</w:t>
      </w:r>
    </w:p>
    <w:p>
      <w:pPr>
        <w:spacing w:before="0"/>
        <w:jc w:val="center"/>
        <w:rPr>
          <w:b/>
          <w:noProof/>
        </w:rPr>
      </w:pPr>
      <w:r>
        <w:rPr>
          <w:b/>
          <w:noProof/>
        </w:rPr>
        <w:t>Rādītāji</w:t>
      </w:r>
    </w:p>
    <w:p>
      <w:pPr>
        <w:rPr>
          <w:noProof/>
        </w:rPr>
      </w:pPr>
      <w:r>
        <w:rPr>
          <w:noProof/>
        </w:rPr>
        <w:t>Programmu pārraudzīs, pamatojoties uz rādītāju kopumu, kas paredzēti, lai noteiktu pakāpi, kādā Programmas vispārējie un konkrētie mērķi ir sasniegti, un lai līdz minimumam samazinātu administratīvo slogu un izmaksas. Šim nolūkam tiks vākti dati attiecībā uz šādu pamatrādītāju kopumu:</w:t>
      </w:r>
    </w:p>
    <w:tbl>
      <w:tblPr>
        <w:tblW w:w="9464" w:type="dxa"/>
        <w:tblCellMar>
          <w:left w:w="0" w:type="dxa"/>
          <w:right w:w="0" w:type="dxa"/>
        </w:tblCellMar>
        <w:tblLook w:val="04A0" w:firstRow="1" w:lastRow="0" w:firstColumn="1" w:lastColumn="0" w:noHBand="0" w:noVBand="1"/>
      </w:tblPr>
      <w:tblGrid>
        <w:gridCol w:w="9464"/>
      </w:tblGrid>
      <w:tr>
        <w:tc>
          <w:tcPr>
            <w:tcW w:w="946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pPr>
              <w:pStyle w:val="NumPar1"/>
              <w:numPr>
                <w:ilvl w:val="0"/>
                <w:numId w:val="0"/>
              </w:numPr>
              <w:rPr>
                <w:noProof/>
                <w:sz w:val="18"/>
                <w:szCs w:val="18"/>
              </w:rPr>
            </w:pPr>
            <w:r>
              <w:rPr>
                <w:noProof/>
                <w:sz w:val="18"/>
              </w:rPr>
              <w:t>Tiesnešu un tiesu iestāžu darbinieku skaits, kuri piedalījušies mācību pasākumos (tostarp darbinieku apmaiņā, mācību braucienos, darbsemināros un semināros), kas finansēti no programmas, tai skaitā izmantojot Eiropas Tiesiskās apmācības tīkla (</w:t>
            </w:r>
            <w:r>
              <w:rPr>
                <w:i/>
                <w:noProof/>
                <w:sz w:val="18"/>
              </w:rPr>
              <w:t>EJTN</w:t>
            </w:r>
            <w:r>
              <w:rPr>
                <w:noProof/>
                <w:sz w:val="18"/>
              </w:rPr>
              <w:t>) darbības dotāciju</w:t>
            </w:r>
          </w:p>
        </w:tc>
      </w:tr>
      <w:tr>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NumPar1"/>
              <w:numPr>
                <w:ilvl w:val="0"/>
                <w:numId w:val="0"/>
              </w:numPr>
              <w:rPr>
                <w:noProof/>
                <w:sz w:val="18"/>
                <w:szCs w:val="18"/>
              </w:rPr>
            </w:pPr>
            <w:r>
              <w:rPr>
                <w:noProof/>
                <w:sz w:val="18"/>
              </w:rPr>
              <w:t>Informācijas apmaiņas gadījumu skaits Eiropas Sodāmības reģistru informācijas sistēmā (</w:t>
            </w:r>
            <w:r>
              <w:rPr>
                <w:i/>
                <w:noProof/>
                <w:sz w:val="18"/>
              </w:rPr>
              <w:t>ECRIS</w:t>
            </w:r>
            <w:r>
              <w:rPr>
                <w:noProof/>
                <w:sz w:val="18"/>
              </w:rPr>
              <w:t xml:space="preserve">) </w:t>
            </w:r>
          </w:p>
        </w:tc>
      </w:tr>
      <w:tr>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NumPar1"/>
              <w:numPr>
                <w:ilvl w:val="0"/>
                <w:numId w:val="0"/>
              </w:numPr>
              <w:rPr>
                <w:noProof/>
                <w:sz w:val="18"/>
                <w:szCs w:val="18"/>
              </w:rPr>
            </w:pPr>
            <w:r>
              <w:rPr>
                <w:noProof/>
                <w:sz w:val="18"/>
              </w:rPr>
              <w:t>To trāpījumu skaits e-tiesiskuma portālā / lapās, kuros izteikta vēlme iegūt informāciju par pārrobežu civillietām</w:t>
            </w:r>
          </w:p>
        </w:tc>
      </w:tr>
      <w:tr>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NumPar1"/>
              <w:numPr>
                <w:ilvl w:val="0"/>
                <w:numId w:val="0"/>
              </w:numPr>
              <w:rPr>
                <w:noProof/>
                <w:sz w:val="18"/>
                <w:szCs w:val="18"/>
              </w:rPr>
            </w:pPr>
            <w:r>
              <w:rPr>
                <w:noProof/>
                <w:sz w:val="18"/>
              </w:rPr>
              <w:t>Cilvēku skaits, kas bija iesaistīti</w:t>
            </w:r>
          </w:p>
          <w:p>
            <w:pPr>
              <w:pStyle w:val="NumPar1"/>
              <w:numPr>
                <w:ilvl w:val="0"/>
                <w:numId w:val="0"/>
              </w:numPr>
              <w:rPr>
                <w:noProof/>
                <w:sz w:val="18"/>
                <w:szCs w:val="18"/>
              </w:rPr>
            </w:pPr>
            <w:r>
              <w:rPr>
                <w:noProof/>
                <w:sz w:val="18"/>
              </w:rPr>
              <w:t>i) savstarpējās mācībās un apmaiņā ar labu praksi,</w:t>
            </w:r>
          </w:p>
          <w:p>
            <w:pPr>
              <w:pStyle w:val="NumPar1"/>
              <w:numPr>
                <w:ilvl w:val="0"/>
                <w:numId w:val="0"/>
              </w:numPr>
              <w:rPr>
                <w:noProof/>
                <w:sz w:val="18"/>
                <w:szCs w:val="18"/>
              </w:rPr>
            </w:pPr>
            <w:r>
              <w:rPr>
                <w:noProof/>
                <w:sz w:val="18"/>
              </w:rPr>
              <w:t xml:space="preserve">ii) izpratnes veidošanas, informēšanas un informācijas izplatīšanas darbībās. </w:t>
            </w:r>
          </w:p>
        </w:tc>
      </w:tr>
    </w:tbl>
    <w:p>
      <w:pPr>
        <w:ind w:left="709" w:hanging="709"/>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Šīs aktivitātes ir, piemēram, datu un statistikas vākšana, kopēju metodiku un vajadzības gadījumā rādītāju vai kritēriju izstrāde, pētījumi, izpēte, analīze un apsekojumi, izvērtējumi, ietekmes novērtējumi, ceļvežu, ziņojumu un izglītojošu materiālu izstrāde un publicēšana.</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4A89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9980A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A82B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780A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74A1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8459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F044D38"/>
    <w:lvl w:ilvl="0">
      <w:start w:val="1"/>
      <w:numFmt w:val="decimal"/>
      <w:pStyle w:val="ListNumber"/>
      <w:lvlText w:val="%1."/>
      <w:lvlJc w:val="left"/>
      <w:pPr>
        <w:tabs>
          <w:tab w:val="num" w:pos="360"/>
        </w:tabs>
        <w:ind w:left="360" w:hanging="360"/>
      </w:pPr>
    </w:lvl>
  </w:abstractNum>
  <w:abstractNum w:abstractNumId="7">
    <w:nsid w:val="FFFFFF89"/>
    <w:multiLevelType w:val="singleLevel"/>
    <w:tmpl w:val="27AC6B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7:41: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Priek\u353?likumam"/>
    <w:docVar w:name="LW_ACCOMPAGNANT.CP" w:val="Priek\u353?likumam"/>
    <w:docVar w:name="LW_ANNEX_NBR_FIRST" w:val="1"/>
    <w:docVar w:name="LW_ANNEX_NBR_LAST" w:val="2"/>
    <w:docVar w:name="LW_ANNEX_UNIQUE" w:val="0"/>
    <w:docVar w:name="LW_CORRIGENDUM" w:val="&lt;UNUSED&gt;"/>
    <w:docVar w:name="LW_COVERPAGE_EXISTS" w:val="True"/>
    <w:docVar w:name="LW_COVERPAGE_GUID" w:val="15603694-F5C9-4E0B-8D3E-CF0F3D71C431"/>
    <w:docVar w:name="LW_COVERPAGE_TYPE" w:val="1"/>
    <w:docVar w:name="LW_CROSSREFERENCE" w:val="&lt;UNUSED&gt;"/>
    <w:docVar w:name="LW_DocType" w:val="ANNEX"/>
    <w:docVar w:name="LW_EMISSION" w:val="30.5.2018"/>
    <w:docVar w:name="LW_EMISSION_ISODATE" w:val="2018-05-30"/>
    <w:docVar w:name="LW_EMISSION_LOCATION" w:val="BRX"/>
    <w:docVar w:name="LW_EMISSION_PREFIX" w:val="Brisel\u275?,"/>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ar ko izveido programmu &quot;Tiesiskums&quot;"/>
    <w:docVar w:name="LW_OBJETACTEPRINCIPAL.CP" w:val="ar ko izveido programmu &quot;Tiesiskums&quot;"/>
    <w:docVar w:name="LW_PART_NBR" w:val="&lt;UNUSED&gt;"/>
    <w:docVar w:name="LW_PART_NBR_TOTAL" w:val="&lt;UNUSED&gt;"/>
    <w:docVar w:name="LW_REF.INST.NEW" w:val="COM"/>
    <w:docVar w:name="LW_REF.INST.NEW_ADOPTED" w:val="final"/>
    <w:docVar w:name="LW_REF.INST.NEW_TEXT" w:val="(2018)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I"/>
    <w:docVar w:name="LW_TYPE.DOC.CP" w:val="PIELIKUMI"/>
    <w:docVar w:name="LW_TYPEACTEPRINCIPAL" w:val="EIROPAS PARLAMENTA UN PADOMES REGULA,"/>
    <w:docVar w:name="LW_TYPEACTEPRINCIPAL.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ommentSubject">
    <w:name w:val="annotation subject"/>
    <w:basedOn w:val="CommentText"/>
    <w:next w:val="CommentText"/>
    <w:link w:val="CommentSubjectChar"/>
    <w:uiPriority w:val="99"/>
    <w:semiHidden/>
    <w:unhideWhenUsed/>
    <w:pPr>
      <w:spacing w:before="120" w:after="120"/>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eastAsia="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ommentSubject">
    <w:name w:val="annotation subject"/>
    <w:basedOn w:val="CommentText"/>
    <w:next w:val="CommentText"/>
    <w:link w:val="CommentSubjectChar"/>
    <w:uiPriority w:val="99"/>
    <w:semiHidden/>
    <w:unhideWhenUsed/>
    <w:pPr>
      <w:spacing w:before="120" w:after="120"/>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eastAsia="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EC87-7D23-4176-AACB-705F6D8A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Pages>
  <Words>385</Words>
  <Characters>2779</Characters>
  <Application>Microsoft Office Word</Application>
  <DocSecurity>0</DocSecurity>
  <Lines>50</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SMITHAM Emma (JUST)</dc:creator>
  <cp:lastModifiedBy>DIGIT/A3</cp:lastModifiedBy>
  <cp:revision>7</cp:revision>
  <cp:lastPrinted>2018-05-14T14:22:00Z</cp:lastPrinted>
  <dcterms:created xsi:type="dcterms:W3CDTF">2018-06-05T06:26:00Z</dcterms:created>
  <dcterms:modified xsi:type="dcterms:W3CDTF">2018-06-11T15:41:00Z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