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031F43B-56F4-42E4-9C05-E221A4F436BC" style="width:450.35pt;height:370.2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spacing w:before="0"/>
        <w:rPr>
          <w:noProof/>
        </w:rPr>
      </w:pPr>
      <w:bookmarkStart w:id="0" w:name="_GoBack"/>
      <w:bookmarkEnd w:id="0"/>
      <w:r>
        <w:rPr>
          <w:noProof/>
        </w:rPr>
        <w:lastRenderedPageBreak/>
        <w:t>I PRIEDAS</w:t>
      </w:r>
    </w:p>
    <w:p>
      <w:pPr>
        <w:spacing w:before="0"/>
        <w:jc w:val="center"/>
        <w:rPr>
          <w:b/>
          <w:noProof/>
          <w:szCs w:val="24"/>
        </w:rPr>
      </w:pPr>
      <w:r>
        <w:rPr>
          <w:b/>
          <w:noProof/>
        </w:rPr>
        <w:t>Programos veikla</w:t>
      </w:r>
    </w:p>
    <w:p>
      <w:pPr>
        <w:spacing w:before="0"/>
        <w:rPr>
          <w:i/>
          <w:noProof/>
        </w:rPr>
      </w:pPr>
      <w:r>
        <w:rPr>
          <w:noProof/>
        </w:rPr>
        <w:t>Konkretūs 3 straipsnio 2 dalyje nurodyti Programos tikslai bus įgyvendinami visų pirma remiant šią veiklą:</w:t>
      </w:r>
    </w:p>
    <w:p>
      <w:pPr>
        <w:pStyle w:val="NumPar1"/>
        <w:numPr>
          <w:ilvl w:val="0"/>
          <w:numId w:val="9"/>
        </w:numPr>
        <w:spacing w:before="0"/>
        <w:rPr>
          <w:noProof/>
        </w:rPr>
      </w:pPr>
      <w:r>
        <w:rPr>
          <w:noProof/>
        </w:rPr>
        <w:t>informuotumo didinimo, informacijos sklaidos, siekiant pagerinti žinias apie Sąjungos politiką ir Sąjungos teisę, įskaitant materialinę ir procesinę teisę, teisminio bendradarbiavimo priemones, susijusią Europos Sąjungos Teisingumo Teismo praktiką, taip pat lyginamąją teisę ir Europos bei tarptautinius standartus;</w:t>
      </w:r>
    </w:p>
    <w:p>
      <w:pPr>
        <w:pStyle w:val="NumPar1"/>
        <w:numPr>
          <w:ilvl w:val="0"/>
          <w:numId w:val="9"/>
        </w:numPr>
        <w:spacing w:before="0"/>
        <w:rPr>
          <w:noProof/>
        </w:rPr>
      </w:pPr>
      <w:r>
        <w:rPr>
          <w:noProof/>
        </w:rPr>
        <w:t>tarpusavio mokymosi, suinteresuotosioms šalims keičiantis gerąja patirtimi, siekiant pagerinti žinias ir tarpusavio supratimą apie civilinę ir baudžiamąją teisę bei valstybių narių teisines ir teismų sistemas, įskaitant teisinės valstybės principą, ir tarpusavio pasitikėjimo stiprinimo;</w:t>
      </w:r>
    </w:p>
    <w:p>
      <w:pPr>
        <w:pStyle w:val="NumPar1"/>
        <w:numPr>
          <w:ilvl w:val="0"/>
          <w:numId w:val="9"/>
        </w:numPr>
        <w:spacing w:before="0"/>
        <w:rPr>
          <w:noProof/>
        </w:rPr>
      </w:pPr>
      <w:r>
        <w:rPr>
          <w:noProof/>
        </w:rPr>
        <w:t>analizės ir stebėsenos veiklą</w:t>
      </w:r>
      <w:r>
        <w:rPr>
          <w:rStyle w:val="FootnoteReference"/>
          <w:noProof/>
        </w:rPr>
        <w:footnoteReference w:id="1"/>
      </w:r>
      <w:r>
        <w:rPr>
          <w:noProof/>
        </w:rPr>
        <w:t>, siekiant pagerinti žinias ir supratimą apie kliūtis, galinčias trukdyti sklandžiam Europos teisingumo erdvės veikimui, ir pagerinti Sąjungos teisės ir politikos sričių įgyvendinimą valstybėse narėse;</w:t>
      </w:r>
    </w:p>
    <w:p>
      <w:pPr>
        <w:pStyle w:val="NumPar1"/>
        <w:numPr>
          <w:ilvl w:val="0"/>
          <w:numId w:val="9"/>
        </w:numPr>
        <w:spacing w:before="0"/>
        <w:rPr>
          <w:noProof/>
        </w:rPr>
      </w:pPr>
      <w:r>
        <w:rPr>
          <w:noProof/>
        </w:rPr>
        <w:t>suinteresuotųjų šalių mokymo, siekiant pagerinti žinias apie Sąjungos politiką ir Sąjungos teisę, įskaitant, be kita ko, materialinę ir procesinę teisę, ES teisminio bendradarbiavimo priemonių naudojimą, susijusią Europos Sąjungos Teisingumo Teismo praktiką, teisinę kalbą ir lyginamąją teisę;</w:t>
      </w:r>
    </w:p>
    <w:p>
      <w:pPr>
        <w:pStyle w:val="NumPar1"/>
        <w:numPr>
          <w:ilvl w:val="0"/>
          <w:numId w:val="9"/>
        </w:numPr>
        <w:spacing w:before="0"/>
        <w:rPr>
          <w:noProof/>
        </w:rPr>
      </w:pPr>
      <w:r>
        <w:rPr>
          <w:noProof/>
        </w:rPr>
        <w:t>informacinių ir ryšių technologijų (IRT) priemonių kūrimo ir priežiūros, siekiant pagerinti teisminių sistemų veiksmingumą ir jų bendradarbiavimą naudojant informacines ir ryšių technologijas, įskaitant  sistemų ir taikomųjų programų tarpvalstybinę sąveiką;</w:t>
      </w:r>
    </w:p>
    <w:p>
      <w:pPr>
        <w:pStyle w:val="NumPar1"/>
        <w:numPr>
          <w:ilvl w:val="0"/>
          <w:numId w:val="9"/>
        </w:numPr>
        <w:spacing w:before="0"/>
        <w:rPr>
          <w:noProof/>
        </w:rPr>
      </w:pPr>
      <w:r>
        <w:rPr>
          <w:noProof/>
        </w:rPr>
        <w:t>pagrindinių Europos lygmens tinklų ir Europos teisminių tinklų, įskaitant Sąjungos teisės aktais nustatytus tinklus, pajėgumų plėtojimo, siekiant užtikrinti veiksmingą Sąjungos teisės taikymą ir vykdymo užtikrinimą, skatinti ir toliau plėtoti Sąjungos teisę, politikos tikslus ir strategijas programos srityse, taip pat remti pilietinės visuomenės organizacijas, veikiančias Programoje numatytose srityse;</w:t>
      </w:r>
    </w:p>
    <w:p>
      <w:pPr>
        <w:pStyle w:val="NumPar1"/>
        <w:numPr>
          <w:ilvl w:val="0"/>
          <w:numId w:val="9"/>
        </w:numPr>
        <w:spacing w:before="0"/>
        <w:rPr>
          <w:noProof/>
        </w:rPr>
      </w:pPr>
      <w:r>
        <w:rPr>
          <w:noProof/>
        </w:rPr>
        <w:t>žinių apie programą didinimo, jos rezultatų sklaidos bei perkeliamumo ir piliečių informavimo veiklą, be kita ko, sukuriant ir remiant informavimo apie programą biurus ir (arba) nacionalinį ryšių palaikymo tinklą.</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spacing w:before="0"/>
        <w:rPr>
          <w:noProof/>
        </w:rPr>
      </w:pPr>
      <w:r>
        <w:rPr>
          <w:noProof/>
        </w:rPr>
        <w:t>II PRIEDAS</w:t>
      </w:r>
    </w:p>
    <w:p>
      <w:pPr>
        <w:spacing w:before="0"/>
        <w:jc w:val="center"/>
        <w:rPr>
          <w:b/>
          <w:noProof/>
        </w:rPr>
      </w:pPr>
      <w:r>
        <w:rPr>
          <w:b/>
          <w:noProof/>
        </w:rPr>
        <w:t>Rodikliai</w:t>
      </w:r>
    </w:p>
    <w:p>
      <w:pPr>
        <w:rPr>
          <w:noProof/>
        </w:rPr>
      </w:pPr>
      <w:r>
        <w:rPr>
          <w:noProof/>
        </w:rPr>
        <w:t>Programa bus stebima remiantis rodikliais, kuriais siekiama nustatyti, kokiu mastu buvo pasiekta Programos bendrųjų ir konkrečių tikslų, ir sumažinti administracinę naštą ir sąnaudas. Šiuo tikslu bus renkami duomenys, susiję su šiais pagrindiniais rodikliais:</w:t>
      </w:r>
    </w:p>
    <w:tbl>
      <w:tblPr>
        <w:tblW w:w="9464" w:type="dxa"/>
        <w:tblCellMar>
          <w:left w:w="0" w:type="dxa"/>
          <w:right w:w="0" w:type="dxa"/>
        </w:tblCellMar>
        <w:tblLook w:val="04A0" w:firstRow="1" w:lastRow="0" w:firstColumn="1" w:lastColumn="0" w:noHBand="0" w:noVBand="1"/>
      </w:tblPr>
      <w:tblGrid>
        <w:gridCol w:w="9464"/>
      </w:tblGrid>
      <w:tr>
        <w:tc>
          <w:tcPr>
            <w:tcW w:w="946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pPr>
              <w:pStyle w:val="NumPar1"/>
              <w:numPr>
                <w:ilvl w:val="0"/>
                <w:numId w:val="0"/>
              </w:numPr>
              <w:rPr>
                <w:noProof/>
                <w:sz w:val="18"/>
                <w:szCs w:val="18"/>
              </w:rPr>
            </w:pPr>
            <w:r>
              <w:rPr>
                <w:noProof/>
                <w:sz w:val="18"/>
              </w:rPr>
              <w:t>Teisėjų ir teisminių institucijų darbuotojų, dalyvavusių mokymo veikloje (įskaitant darbuotojų mainus, pažintinius vizitus, praktinius seminarus ir seminarus), finansuojamoje pagal Programą, įskaitant ETMT dotacijas veiklai, skaičius</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 xml:space="preserve">Kiek kartų pasikeista informacija per Europos nuosprendžių registrų informacinę sistemą (ECRIS) </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Atitikties atvejų e. teisingumo portale skaičius ir (arba) puslapių, kuriuose patenkinamas informacijos apie tarpvalstybines civilines bylas poreikis, skaičius</w:t>
            </w:r>
          </w:p>
        </w:tc>
      </w:tr>
      <w:tr>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NumPar1"/>
              <w:numPr>
                <w:ilvl w:val="0"/>
                <w:numId w:val="0"/>
              </w:numPr>
              <w:rPr>
                <w:noProof/>
                <w:sz w:val="18"/>
                <w:szCs w:val="18"/>
              </w:rPr>
            </w:pPr>
            <w:r>
              <w:rPr>
                <w:noProof/>
                <w:sz w:val="18"/>
              </w:rPr>
              <w:t>Kiek žmonių:</w:t>
            </w:r>
          </w:p>
          <w:p>
            <w:pPr>
              <w:pStyle w:val="NumPar1"/>
              <w:numPr>
                <w:ilvl w:val="0"/>
                <w:numId w:val="0"/>
              </w:numPr>
              <w:rPr>
                <w:noProof/>
                <w:sz w:val="18"/>
                <w:szCs w:val="18"/>
              </w:rPr>
            </w:pPr>
            <w:r>
              <w:rPr>
                <w:noProof/>
                <w:sz w:val="18"/>
              </w:rPr>
              <w:t>i) dalyvavo tarpusavio mokymosi veikloje ir keitėsi gerosios patirties pavyzdžiais,</w:t>
            </w:r>
          </w:p>
          <w:p>
            <w:pPr>
              <w:pStyle w:val="NumPar1"/>
              <w:numPr>
                <w:ilvl w:val="0"/>
                <w:numId w:val="0"/>
              </w:numPr>
              <w:rPr>
                <w:noProof/>
                <w:sz w:val="18"/>
                <w:szCs w:val="18"/>
              </w:rPr>
            </w:pPr>
            <w:r>
              <w:rPr>
                <w:noProof/>
                <w:sz w:val="18"/>
              </w:rPr>
              <w:t xml:space="preserve">ii) dalyvavo informuotumo didinimo, informavimo ir sklaidos veikloje </w:t>
            </w:r>
          </w:p>
        </w:tc>
      </w:tr>
    </w:tbl>
    <w:p>
      <w:pPr>
        <w:ind w:left="709" w:hanging="709"/>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LT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Šiai veiklai priskiriama, pavyzdžiui, duomenų ir statistikos rinkimas; bendros metodikos ir, atitinkamais atvejais, rodiklių arba kriterijų rengimas; tyrimai, moksliniai tyrimai, analizė ir apklausos; vertinimai; poveikio vertinimas; vadovų, ataskaitų ir šviečiamosios medžiagos rengimas ir skelbimas.</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54A89D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9980A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4A82BC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F780A5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74A18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84591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F044D38"/>
    <w:lvl w:ilvl="0">
      <w:start w:val="1"/>
      <w:numFmt w:val="decimal"/>
      <w:pStyle w:val="ListNumber"/>
      <w:lvlText w:val="%1."/>
      <w:lvlJc w:val="left"/>
      <w:pPr>
        <w:tabs>
          <w:tab w:val="num" w:pos="360"/>
        </w:tabs>
        <w:ind w:left="360" w:hanging="360"/>
      </w:pPr>
    </w:lvl>
  </w:abstractNum>
  <w:abstractNum w:abstractNumId="7">
    <w:nsid w:val="FFFFFF89"/>
    <w:multiLevelType w:val="singleLevel"/>
    <w:tmpl w:val="27AC6B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15:23: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ACCOMPAGNANT" w:val="prie pasi\u363?lymo d\u279?l"/>
    <w:docVar w:name="LW_ACCOMPAGNANT.CP" w:val="prie pasi\u363?lymo d\u279?l"/>
    <w:docVar w:name="LW_ANNEX_NBR_FIRST" w:val="1"/>
    <w:docVar w:name="LW_ANNEX_NBR_LAST" w:val="2"/>
    <w:docVar w:name="LW_ANNEX_UNIQUE" w:val="0"/>
    <w:docVar w:name="LW_CORRIGENDUM" w:val="&lt;UNUSED&gt;"/>
    <w:docVar w:name="LW_COVERPAGE_EXISTS" w:val="True"/>
    <w:docVar w:name="LW_COVERPAGE_GUID" w:val="2031F43B-56F4-42E4-9C05-E221A4F436BC"/>
    <w:docVar w:name="LW_COVERPAGE_TYPE" w:val="1"/>
    <w:docVar w:name="LW_CROSSREFERENCE" w:val="&lt;UNUSED&gt;"/>
    <w:docVar w:name="LW_DocType" w:val="ANNEX"/>
    <w:docVar w:name="LW_EMISSION" w:val="2018 05 30"/>
    <w:docVar w:name="LW_EMISSION_ISODATE" w:val="2018-05-30"/>
    <w:docVar w:name="LW_EMISSION_LOCATION" w:val="BRX"/>
    <w:docVar w:name="LW_EMISSION_PREFIX" w:val="Briuselis,"/>
    <w:docVar w:name="LW_EMISSION_SUFFIX" w:val="&lt;EMPTY&gt;"/>
    <w:docVar w:name="LW_ID_DOCSTRUCTURE" w:val="COM/ANNEX"/>
    <w:docVar w:name="LW_ID_DOCTYPE" w:val="SG-017"/>
    <w:docVar w:name="LW_LANGUE" w:val="LT"/>
    <w:docVar w:name="LW_LEVEL_OF_SENSITIVITY" w:val="Standard treatment"/>
    <w:docVar w:name="LW_NOM.INST" w:val="EUROPOS KOMISIJA"/>
    <w:docVar w:name="LW_NOM.INST_JOINTDOC" w:val="&lt;EMPTY&gt;"/>
    <w:docVar w:name="LW_OBJETACTEPRINCIPAL" w:val="d\u279?l Teisingumo programos"/>
    <w:docVar w:name="LW_OBJETACTEPRINCIPAL.CP" w:val="d\u279?l Teisingumo programos"/>
    <w:docVar w:name="LW_PART_NBR" w:val="&lt;UNUSED&gt;"/>
    <w:docVar w:name="LW_PART_NBR_TOTAL" w:val="&lt;UNUSED&gt;"/>
    <w:docVar w:name="LW_REF.INST.NEW" w:val="COM"/>
    <w:docVar w:name="LW_REF.INST.NEW_ADOPTED" w:val="final"/>
    <w:docVar w:name="LW_REF.INST.NEW_TEXT" w:val="(2018) 3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EDAI"/>
    <w:docVar w:name="LW_TYPE.DOC.CP" w:val="PRIEDAI"/>
    <w:docVar w:name="LW_TYPEACTEPRINCIPAL" w:val="EUROPOS PARLAMENTO IR TARYBOS REGLAMENTO"/>
    <w:docVar w:name="LW_TYPEACTEPRINCIPAL.CP" w:val="EUROPOS PARLAMENTO IR TARYBOS REGLAMENT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lt-LT" w:eastAsia="lt-L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CommentSubject">
    <w:name w:val="annotation subject"/>
    <w:basedOn w:val="CommentText"/>
    <w:next w:val="CommentText"/>
    <w:link w:val="CommentSubjectChar"/>
    <w:uiPriority w:val="99"/>
    <w:semiHidden/>
    <w:unhideWhenUsed/>
    <w:pPr>
      <w:spacing w:before="120" w:after="120"/>
      <w:jc w:val="both"/>
    </w:pPr>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lt-LT" w:eastAsia="lt-L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BBDB-0629-4B4B-B6C1-B40A9F70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374</Words>
  <Characters>2716</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SMITHAM Emma (JUST)</dc:creator>
  <cp:lastModifiedBy>DIGIT/A3</cp:lastModifiedBy>
  <cp:revision>7</cp:revision>
  <cp:lastPrinted>2018-05-14T14:22:00Z</cp:lastPrinted>
  <dcterms:created xsi:type="dcterms:W3CDTF">2018-06-05T15:23:00Z</dcterms:created>
  <dcterms:modified xsi:type="dcterms:W3CDTF">2018-06-11T15:40:00Z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Yellow (DQC version 03)</vt:lpwstr>
  </property>
</Properties>
</file>